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D771" w14:textId="486B9862" w:rsidR="00D04BA2" w:rsidRPr="0090572C" w:rsidRDefault="007970A0" w:rsidP="000C770D">
      <w:pPr>
        <w:spacing w:after="0" w:line="360" w:lineRule="auto"/>
        <w:rPr>
          <w:rFonts w:ascii="Arial" w:hAnsi="Arial" w:cs="Arial"/>
          <w:b/>
          <w:sz w:val="28"/>
          <w:szCs w:val="28"/>
        </w:rPr>
      </w:pPr>
      <w:r>
        <w:rPr>
          <w:rFonts w:ascii="Arial" w:hAnsi="Arial"/>
          <w:b/>
        </w:rPr>
        <w:t>Hamburg: Office letting market, 1st-2nd quarter</w:t>
      </w:r>
      <w:r w:rsidR="00D11649">
        <w:rPr>
          <w:rFonts w:ascii="Arial" w:hAnsi="Arial"/>
          <w:b/>
        </w:rPr>
        <w:t>s</w:t>
      </w:r>
      <w:r>
        <w:rPr>
          <w:rFonts w:ascii="Arial" w:hAnsi="Arial"/>
          <w:b/>
        </w:rPr>
        <w:t xml:space="preserve"> </w:t>
      </w:r>
      <w:r w:rsidR="0090572C">
        <w:rPr>
          <w:rFonts w:ascii="Arial" w:hAnsi="Arial"/>
          <w:b/>
        </w:rPr>
        <w:t xml:space="preserve">of </w:t>
      </w:r>
      <w:r>
        <w:rPr>
          <w:rFonts w:ascii="Arial" w:hAnsi="Arial"/>
          <w:b/>
        </w:rPr>
        <w:t>2020</w:t>
      </w:r>
      <w:r>
        <w:rPr>
          <w:rFonts w:ascii="Arial" w:hAnsi="Arial"/>
          <w:b/>
        </w:rPr>
        <w:br/>
      </w:r>
      <w:r w:rsidRPr="0090572C">
        <w:rPr>
          <w:rFonts w:ascii="Arial" w:hAnsi="Arial"/>
          <w:b/>
          <w:sz w:val="28"/>
          <w:szCs w:val="28"/>
        </w:rPr>
        <w:t>“People are arranging viewings again”</w:t>
      </w:r>
    </w:p>
    <w:p w14:paraId="5DC3EAC5" w14:textId="77777777" w:rsidR="00590903" w:rsidRPr="0090748B" w:rsidRDefault="00590903" w:rsidP="00590903">
      <w:pPr>
        <w:spacing w:after="0" w:line="360" w:lineRule="auto"/>
        <w:jc w:val="both"/>
        <w:rPr>
          <w:rFonts w:ascii="Arial" w:hAnsi="Arial" w:cs="Arial"/>
          <w:b/>
          <w:sz w:val="20"/>
          <w:szCs w:val="20"/>
        </w:rPr>
      </w:pPr>
    </w:p>
    <w:p w14:paraId="296EBDA0" w14:textId="29A8D6FE" w:rsidR="00D412A7" w:rsidRPr="00D412A7" w:rsidRDefault="0089000C" w:rsidP="000F7242">
      <w:pPr>
        <w:spacing w:after="0" w:line="360" w:lineRule="auto"/>
        <w:rPr>
          <w:rFonts w:ascii="Arial" w:hAnsi="Arial" w:cs="Arial"/>
          <w:sz w:val="20"/>
          <w:szCs w:val="20"/>
        </w:rPr>
      </w:pPr>
      <w:r>
        <w:rPr>
          <w:rFonts w:ascii="Arial" w:hAnsi="Arial"/>
          <w:b/>
          <w:sz w:val="20"/>
          <w:szCs w:val="20"/>
        </w:rPr>
        <w:t>Hamburg, 1st July 2020</w:t>
      </w:r>
      <w:r>
        <w:rPr>
          <w:rFonts w:ascii="Arial" w:hAnsi="Arial"/>
          <w:sz w:val="20"/>
          <w:szCs w:val="20"/>
        </w:rPr>
        <w:t xml:space="preserve"> - </w:t>
      </w:r>
      <w:proofErr w:type="gramStart"/>
      <w:r>
        <w:rPr>
          <w:rFonts w:ascii="Arial" w:hAnsi="Arial"/>
          <w:sz w:val="20"/>
          <w:szCs w:val="20"/>
        </w:rPr>
        <w:t>As a result</w:t>
      </w:r>
      <w:proofErr w:type="gramEnd"/>
      <w:r>
        <w:rPr>
          <w:rFonts w:ascii="Arial" w:hAnsi="Arial"/>
          <w:sz w:val="20"/>
          <w:szCs w:val="20"/>
        </w:rPr>
        <w:t xml:space="preserve"> of the Corona lockdown office space lettings in Hamburg during the </w:t>
      </w:r>
      <w:r w:rsidR="0090572C">
        <w:rPr>
          <w:rFonts w:ascii="Arial" w:hAnsi="Arial"/>
          <w:sz w:val="20"/>
          <w:szCs w:val="20"/>
        </w:rPr>
        <w:t>1st</w:t>
      </w:r>
      <w:r>
        <w:rPr>
          <w:rFonts w:ascii="Arial" w:hAnsi="Arial"/>
          <w:sz w:val="20"/>
          <w:szCs w:val="20"/>
        </w:rPr>
        <w:t xml:space="preserve"> half of 2020 were at their lowest since 2004. Figures analysed by Grossmann &amp; Berger, a member of German Property Partners (GPP), reveal take-up during the </w:t>
      </w:r>
      <w:proofErr w:type="gramStart"/>
      <w:r>
        <w:rPr>
          <w:rFonts w:ascii="Arial" w:hAnsi="Arial"/>
          <w:sz w:val="20"/>
          <w:szCs w:val="20"/>
        </w:rPr>
        <w:t>1st</w:t>
      </w:r>
      <w:proofErr w:type="gramEnd"/>
      <w:r>
        <w:rPr>
          <w:rFonts w:ascii="Arial" w:hAnsi="Arial"/>
          <w:sz w:val="20"/>
          <w:szCs w:val="20"/>
        </w:rPr>
        <w:t xml:space="preserve"> half of the year at a mere 165,000 m². However, by June moves to relax the lockdown measures had started to generate a recovery. </w:t>
      </w:r>
      <w:r>
        <w:rPr>
          <w:rFonts w:ascii="Arial" w:hAnsi="Arial"/>
          <w:i/>
          <w:sz w:val="20"/>
          <w:szCs w:val="20"/>
        </w:rPr>
        <w:t>“People are starting to view properties again. But since the full effects of the Corona pandemic are not as yet known, many potential occupants are worried,”</w:t>
      </w:r>
      <w:r>
        <w:rPr>
          <w:rFonts w:ascii="Arial" w:hAnsi="Arial"/>
          <w:sz w:val="20"/>
          <w:szCs w:val="20"/>
        </w:rPr>
        <w:t xml:space="preserve"> says managing director </w:t>
      </w:r>
      <w:r>
        <w:rPr>
          <w:rFonts w:ascii="Arial" w:hAnsi="Arial"/>
          <w:b/>
          <w:sz w:val="20"/>
          <w:szCs w:val="20"/>
        </w:rPr>
        <w:t xml:space="preserve">Andreas </w:t>
      </w:r>
      <w:proofErr w:type="spellStart"/>
      <w:r>
        <w:rPr>
          <w:rFonts w:ascii="Arial" w:hAnsi="Arial"/>
          <w:b/>
          <w:sz w:val="20"/>
          <w:szCs w:val="20"/>
        </w:rPr>
        <w:t>Rehberg</w:t>
      </w:r>
      <w:proofErr w:type="spellEnd"/>
      <w:r>
        <w:rPr>
          <w:rFonts w:ascii="Arial" w:hAnsi="Arial"/>
          <w:sz w:val="20"/>
          <w:szCs w:val="20"/>
        </w:rPr>
        <w:t xml:space="preserve"> reviewing the current state of the market.</w:t>
      </w:r>
    </w:p>
    <w:p w14:paraId="1CE4666C" w14:textId="77777777"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6B67BCC" w14:textId="13D3DED3" w:rsidR="00C171C1" w:rsidRDefault="00D412A7" w:rsidP="00F12C0D">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 xml:space="preserve">In terms of vacant </w:t>
      </w:r>
      <w:proofErr w:type="gramStart"/>
      <w:r>
        <w:rPr>
          <w:rFonts w:ascii="Arial" w:hAnsi="Arial"/>
          <w:sz w:val="20"/>
          <w:szCs w:val="20"/>
        </w:rPr>
        <w:t>sp</w:t>
      </w:r>
      <w:r w:rsidR="0090572C">
        <w:rPr>
          <w:rFonts w:ascii="Arial" w:hAnsi="Arial"/>
          <w:sz w:val="20"/>
          <w:szCs w:val="20"/>
        </w:rPr>
        <w:t>ace</w:t>
      </w:r>
      <w:proofErr w:type="gramEnd"/>
      <w:r w:rsidR="0090572C">
        <w:rPr>
          <w:rFonts w:ascii="Arial" w:hAnsi="Arial"/>
          <w:sz w:val="20"/>
          <w:szCs w:val="20"/>
        </w:rPr>
        <w:t xml:space="preserve"> a new picture is emerging: S</w:t>
      </w:r>
      <w:r>
        <w:rPr>
          <w:rFonts w:ascii="Arial" w:hAnsi="Arial"/>
          <w:sz w:val="20"/>
          <w:szCs w:val="20"/>
        </w:rPr>
        <w:t>tarting from an extremely low base, the amount of office space available at relatively short notice is growing. Accordingly, by the end of the quarter the vacancy rate had climbed to 3.3 %, which translates into some 454,000 m². Year on year the range of properties available to new tenants increased by 34,500 m².</w:t>
      </w:r>
    </w:p>
    <w:p w14:paraId="7638C979" w14:textId="540203F0" w:rsidR="00037784" w:rsidRPr="00037784" w:rsidRDefault="00037784" w:rsidP="00F12C0D">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Greater choice means that property owners will face real competition once more. Rents will therefore remain stable at their current levels. Thus, in the months to come, tenants w</w:t>
      </w:r>
      <w:r w:rsidR="0090572C">
        <w:rPr>
          <w:rFonts w:ascii="Arial" w:hAnsi="Arial"/>
          <w:sz w:val="20"/>
          <w:szCs w:val="20"/>
        </w:rPr>
        <w:t xml:space="preserve">ill probably find that they </w:t>
      </w:r>
      <w:proofErr w:type="gramStart"/>
      <w:r w:rsidR="0090572C">
        <w:rPr>
          <w:rFonts w:ascii="Arial" w:hAnsi="Arial"/>
          <w:sz w:val="20"/>
          <w:szCs w:val="20"/>
        </w:rPr>
        <w:t xml:space="preserve">are </w:t>
      </w:r>
      <w:r>
        <w:rPr>
          <w:rFonts w:ascii="Arial" w:hAnsi="Arial"/>
          <w:sz w:val="20"/>
          <w:szCs w:val="20"/>
        </w:rPr>
        <w:t>offered</w:t>
      </w:r>
      <w:proofErr w:type="gramEnd"/>
      <w:r>
        <w:rPr>
          <w:rFonts w:ascii="Arial" w:hAnsi="Arial"/>
          <w:sz w:val="20"/>
          <w:szCs w:val="20"/>
        </w:rPr>
        <w:t xml:space="preserve"> more generous incentive packages than in the recent past.</w:t>
      </w:r>
    </w:p>
    <w:p w14:paraId="02C7376D" w14:textId="19F8B295" w:rsidR="00037784" w:rsidRDefault="0093659D" w:rsidP="00F12C0D">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 xml:space="preserve">Despite this, the average rent in the 1st </w:t>
      </w:r>
      <w:r w:rsidR="00247C9A">
        <w:rPr>
          <w:rFonts w:ascii="Arial" w:hAnsi="Arial"/>
          <w:sz w:val="20"/>
          <w:szCs w:val="20"/>
        </w:rPr>
        <w:t>half year</w:t>
      </w:r>
      <w:r>
        <w:rPr>
          <w:rFonts w:ascii="Arial" w:hAnsi="Arial"/>
          <w:sz w:val="20"/>
          <w:szCs w:val="20"/>
        </w:rPr>
        <w:t xml:space="preserve"> of 2020 was €17.60/m²/month, or 2.9 % higher than in the same quarter of 2019, while the premium rent rose by 8.9 % to a new high of €30.50/m²/month.</w:t>
      </w:r>
    </w:p>
    <w:p w14:paraId="554FA097" w14:textId="77777777" w:rsidR="00F12C0D" w:rsidRPr="00037784" w:rsidRDefault="00F12C0D" w:rsidP="00F12C0D">
      <w:pPr>
        <w:pStyle w:val="Listenabsatz"/>
        <w:spacing w:after="0" w:line="360" w:lineRule="auto"/>
        <w:ind w:left="426"/>
        <w:textAlignment w:val="baseline"/>
        <w:rPr>
          <w:rFonts w:ascii="Arial" w:hAnsi="Arial" w:cs="Arial"/>
          <w:sz w:val="20"/>
          <w:szCs w:val="20"/>
        </w:rPr>
      </w:pP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67331307" w:rsidR="00126D0B" w:rsidRPr="000E7BC7" w:rsidRDefault="00126D0B" w:rsidP="006640C4">
            <w:pPr>
              <w:widowControl w:val="0"/>
              <w:spacing w:after="0"/>
              <w:rPr>
                <w:rFonts w:ascii="Arial" w:hAnsi="Arial" w:cs="Arial"/>
                <w:b/>
                <w:sz w:val="18"/>
                <w:szCs w:val="16"/>
              </w:rPr>
            </w:pPr>
            <w:r>
              <w:rPr>
                <w:rFonts w:ascii="Arial" w:hAnsi="Arial"/>
                <w:b/>
                <w:sz w:val="18"/>
                <w:szCs w:val="20"/>
              </w:rPr>
              <w:t>Office market | Hamburg | 2020</w:t>
            </w:r>
          </w:p>
        </w:tc>
        <w:tc>
          <w:tcPr>
            <w:tcW w:w="1144" w:type="pct"/>
            <w:shd w:val="clear" w:color="auto" w:fill="1F242B" w:themeFill="accent2"/>
            <w:vAlign w:val="center"/>
          </w:tcPr>
          <w:p w14:paraId="481F2F5D" w14:textId="79E30612" w:rsidR="00126D0B" w:rsidRPr="000E7BC7" w:rsidRDefault="00625156" w:rsidP="006640C4">
            <w:pPr>
              <w:widowControl w:val="0"/>
              <w:spacing w:after="0"/>
              <w:jc w:val="center"/>
              <w:rPr>
                <w:rFonts w:ascii="Arial" w:hAnsi="Arial" w:cs="Arial"/>
                <w:b/>
                <w:sz w:val="18"/>
                <w:szCs w:val="16"/>
              </w:rPr>
            </w:pPr>
            <w:r>
              <w:rPr>
                <w:rFonts w:ascii="Arial" w:hAnsi="Arial"/>
                <w:b/>
                <w:sz w:val="18"/>
                <w:szCs w:val="16"/>
              </w:rPr>
              <w:t>Q1 -2</w:t>
            </w:r>
          </w:p>
        </w:tc>
      </w:tr>
      <w:tr w:rsidR="00126D0B" w:rsidRPr="00F952F7" w14:paraId="77867528" w14:textId="77777777" w:rsidTr="00A3554C">
        <w:trPr>
          <w:trHeight w:val="283"/>
        </w:trPr>
        <w:tc>
          <w:tcPr>
            <w:tcW w:w="3856" w:type="pct"/>
            <w:vAlign w:val="center"/>
          </w:tcPr>
          <w:p w14:paraId="265D46DB"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63741640" w14:textId="4ED93843" w:rsidR="00126D0B" w:rsidRPr="000E7BC7" w:rsidRDefault="003579E5" w:rsidP="007543F0">
            <w:pPr>
              <w:spacing w:after="0"/>
              <w:jc w:val="right"/>
              <w:rPr>
                <w:rFonts w:ascii="Arial" w:hAnsi="Arial" w:cs="Arial"/>
                <w:sz w:val="18"/>
                <w:szCs w:val="16"/>
              </w:rPr>
            </w:pPr>
            <w:r>
              <w:rPr>
                <w:rFonts w:ascii="Arial" w:hAnsi="Arial"/>
                <w:sz w:val="18"/>
                <w:szCs w:val="16"/>
              </w:rPr>
              <w:t>165,000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27D64227" w14:textId="664EE58F" w:rsidR="00126D0B" w:rsidRPr="000E7BC7" w:rsidRDefault="007543F0" w:rsidP="003579E5">
            <w:pPr>
              <w:spacing w:after="0"/>
              <w:jc w:val="right"/>
              <w:rPr>
                <w:rFonts w:ascii="Arial" w:hAnsi="Arial" w:cs="Arial"/>
                <w:sz w:val="18"/>
                <w:szCs w:val="16"/>
              </w:rPr>
            </w:pPr>
            <w:r>
              <w:rPr>
                <w:rFonts w:ascii="Arial" w:hAnsi="Arial"/>
                <w:sz w:val="18"/>
                <w:szCs w:val="16"/>
              </w:rPr>
              <w:t>-46.8</w:t>
            </w:r>
          </w:p>
        </w:tc>
      </w:tr>
      <w:tr w:rsidR="00126D0B" w:rsidRPr="00F952F7" w14:paraId="18A78594" w14:textId="77777777" w:rsidTr="00A3554C">
        <w:trPr>
          <w:trHeight w:val="283"/>
        </w:trPr>
        <w:tc>
          <w:tcPr>
            <w:tcW w:w="3856" w:type="pct"/>
            <w:vAlign w:val="center"/>
          </w:tcPr>
          <w:p w14:paraId="6954B01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70F596CF" w14:textId="65D41162" w:rsidR="00126D0B" w:rsidRPr="000E7BC7" w:rsidRDefault="006640C4" w:rsidP="003579E5">
            <w:pPr>
              <w:spacing w:after="0"/>
              <w:jc w:val="right"/>
              <w:rPr>
                <w:rFonts w:ascii="Arial" w:hAnsi="Arial" w:cs="Arial"/>
                <w:color w:val="000000" w:themeColor="text1"/>
                <w:sz w:val="18"/>
                <w:szCs w:val="16"/>
              </w:rPr>
            </w:pPr>
            <w:r>
              <w:rPr>
                <w:rFonts w:ascii="Arial" w:hAnsi="Arial"/>
                <w:color w:val="000000" w:themeColor="text1"/>
                <w:sz w:val="18"/>
                <w:szCs w:val="16"/>
              </w:rPr>
              <w:t>30.50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830C292" w14:textId="5F73FA88" w:rsidR="00126D0B" w:rsidRPr="000E7BC7" w:rsidRDefault="00010109" w:rsidP="003579E5">
            <w:pPr>
              <w:spacing w:after="0"/>
              <w:jc w:val="right"/>
              <w:rPr>
                <w:rFonts w:ascii="Arial" w:hAnsi="Arial" w:cs="Arial"/>
                <w:color w:val="000000" w:themeColor="text1"/>
                <w:sz w:val="18"/>
                <w:szCs w:val="16"/>
              </w:rPr>
            </w:pPr>
            <w:r>
              <w:rPr>
                <w:rFonts w:ascii="Arial" w:hAnsi="Arial"/>
                <w:color w:val="000000" w:themeColor="text1"/>
                <w:sz w:val="18"/>
                <w:szCs w:val="16"/>
              </w:rPr>
              <w:t>+8.9</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3C14A76E" w14:textId="7E71C5B3" w:rsidR="00126D0B" w:rsidRPr="000E7BC7" w:rsidRDefault="00010109" w:rsidP="003579E5">
            <w:pPr>
              <w:spacing w:after="0"/>
              <w:jc w:val="right"/>
              <w:rPr>
                <w:rFonts w:ascii="Arial" w:hAnsi="Arial" w:cs="Arial"/>
                <w:color w:val="000000" w:themeColor="text1"/>
                <w:sz w:val="18"/>
                <w:szCs w:val="16"/>
              </w:rPr>
            </w:pPr>
            <w:r>
              <w:rPr>
                <w:rFonts w:ascii="Arial" w:hAnsi="Arial"/>
                <w:color w:val="000000" w:themeColor="text1"/>
                <w:sz w:val="18"/>
                <w:szCs w:val="16"/>
              </w:rPr>
              <w:t>17.60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164DE3A" w14:textId="52FF417B" w:rsidR="00126D0B" w:rsidRPr="000E7BC7" w:rsidRDefault="00010109" w:rsidP="003579E5">
            <w:pPr>
              <w:spacing w:after="0"/>
              <w:jc w:val="right"/>
              <w:rPr>
                <w:rFonts w:ascii="Arial" w:hAnsi="Arial" w:cs="Arial"/>
                <w:color w:val="000000" w:themeColor="text1"/>
                <w:sz w:val="18"/>
                <w:szCs w:val="16"/>
              </w:rPr>
            </w:pPr>
            <w:r>
              <w:rPr>
                <w:rFonts w:ascii="Arial" w:hAnsi="Arial"/>
                <w:color w:val="000000" w:themeColor="text1"/>
                <w:sz w:val="18"/>
                <w:szCs w:val="16"/>
              </w:rPr>
              <w:t>+2.9</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26F8983D" w14:textId="506996B6" w:rsidR="00126D0B" w:rsidRPr="000E7BC7" w:rsidRDefault="00990251" w:rsidP="00465B0E">
            <w:pPr>
              <w:spacing w:after="0"/>
              <w:jc w:val="right"/>
              <w:rPr>
                <w:rFonts w:ascii="Arial" w:hAnsi="Arial" w:cs="Arial"/>
                <w:color w:val="000000" w:themeColor="text1"/>
                <w:sz w:val="18"/>
                <w:szCs w:val="16"/>
              </w:rPr>
            </w:pPr>
            <w:r>
              <w:rPr>
                <w:rFonts w:ascii="Arial" w:hAnsi="Arial"/>
                <w:color w:val="000000" w:themeColor="text1"/>
                <w:sz w:val="18"/>
                <w:szCs w:val="16"/>
              </w:rPr>
              <w:t>13.9</w:t>
            </w:r>
          </w:p>
        </w:tc>
      </w:tr>
      <w:tr w:rsidR="00126D0B" w:rsidRPr="00F952F7" w14:paraId="66925CFD" w14:textId="77777777" w:rsidTr="00A3554C">
        <w:trPr>
          <w:trHeight w:val="283"/>
        </w:trPr>
        <w:tc>
          <w:tcPr>
            <w:tcW w:w="3856" w:type="pct"/>
            <w:vAlign w:val="center"/>
          </w:tcPr>
          <w:p w14:paraId="3CAD0C20"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[m²]</w:t>
            </w:r>
          </w:p>
        </w:tc>
        <w:tc>
          <w:tcPr>
            <w:tcW w:w="1144" w:type="pct"/>
            <w:vAlign w:val="center"/>
          </w:tcPr>
          <w:p w14:paraId="55B6F2ED" w14:textId="366EDF30" w:rsidR="00126D0B" w:rsidRPr="000E7BC7" w:rsidRDefault="006640C4" w:rsidP="003579E5">
            <w:pPr>
              <w:spacing w:after="0"/>
              <w:jc w:val="right"/>
              <w:rPr>
                <w:rFonts w:ascii="Arial" w:hAnsi="Arial" w:cs="Arial"/>
                <w:color w:val="000000" w:themeColor="text1"/>
                <w:sz w:val="18"/>
                <w:szCs w:val="16"/>
              </w:rPr>
            </w:pPr>
            <w:r>
              <w:rPr>
                <w:rFonts w:ascii="Arial" w:hAnsi="Arial"/>
                <w:color w:val="000000" w:themeColor="text1"/>
                <w:sz w:val="18"/>
                <w:szCs w:val="16"/>
              </w:rPr>
              <w:t>454,000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257396" w14:textId="12250E2A" w:rsidR="00126D0B" w:rsidRPr="000E7BC7" w:rsidRDefault="003579E5" w:rsidP="003579E5">
            <w:pPr>
              <w:spacing w:after="0"/>
              <w:jc w:val="right"/>
              <w:rPr>
                <w:rFonts w:ascii="Arial" w:hAnsi="Arial" w:cs="Arial"/>
                <w:color w:val="000000" w:themeColor="text1"/>
                <w:sz w:val="18"/>
                <w:szCs w:val="16"/>
              </w:rPr>
            </w:pPr>
            <w:r>
              <w:rPr>
                <w:rFonts w:ascii="Arial" w:hAnsi="Arial"/>
                <w:color w:val="000000" w:themeColor="text1"/>
                <w:sz w:val="18"/>
                <w:szCs w:val="16"/>
              </w:rPr>
              <w:t>+8.2</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0CFC3EE8" w14:textId="4D3CC055" w:rsidR="00126D0B" w:rsidRPr="000E7BC7" w:rsidRDefault="006640C4" w:rsidP="003579E5">
            <w:pPr>
              <w:spacing w:after="0"/>
              <w:jc w:val="right"/>
              <w:rPr>
                <w:rFonts w:ascii="Arial" w:hAnsi="Arial" w:cs="Arial"/>
                <w:color w:val="000000" w:themeColor="text1"/>
                <w:sz w:val="18"/>
                <w:szCs w:val="16"/>
              </w:rPr>
            </w:pPr>
            <w:r>
              <w:rPr>
                <w:rFonts w:ascii="Arial" w:hAnsi="Arial"/>
                <w:color w:val="000000" w:themeColor="text1"/>
                <w:sz w:val="18"/>
                <w:szCs w:val="16"/>
              </w:rPr>
              <w:t>3.3</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58D2158F" w:rsidR="00126D0B" w:rsidRPr="000E7BC7" w:rsidRDefault="00126D0B" w:rsidP="007543F0">
            <w:pPr>
              <w:widowControl w:val="0"/>
              <w:spacing w:before="60" w:after="60"/>
              <w:rPr>
                <w:rFonts w:ascii="Arial" w:hAnsi="Arial" w:cs="Arial"/>
                <w:b/>
                <w:sz w:val="18"/>
                <w:szCs w:val="16"/>
              </w:rPr>
            </w:pPr>
            <w:r>
              <w:rPr>
                <w:rFonts w:ascii="Arial" w:hAnsi="Arial"/>
                <w:b/>
                <w:bCs/>
                <w:sz w:val="18"/>
                <w:szCs w:val="16"/>
              </w:rPr>
              <w:t>Completions 2020+2021</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1B6B2972" w14:textId="1A52B87D" w:rsidR="00126D0B" w:rsidRPr="000E7BC7" w:rsidRDefault="007543F0" w:rsidP="003579E5">
            <w:pPr>
              <w:spacing w:after="0"/>
              <w:jc w:val="right"/>
              <w:rPr>
                <w:rFonts w:ascii="Arial" w:hAnsi="Arial" w:cs="Arial"/>
                <w:color w:val="000000" w:themeColor="text1"/>
                <w:sz w:val="18"/>
                <w:szCs w:val="16"/>
              </w:rPr>
            </w:pPr>
            <w:r>
              <w:rPr>
                <w:rFonts w:ascii="Arial" w:hAnsi="Arial"/>
                <w:color w:val="000000" w:themeColor="text1"/>
                <w:sz w:val="18"/>
                <w:szCs w:val="16"/>
              </w:rPr>
              <w:t>310,000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65F1CE2C" w14:textId="7ECEC139" w:rsidR="00126D0B" w:rsidRPr="000E7BC7" w:rsidRDefault="007543F0" w:rsidP="003579E5">
            <w:pPr>
              <w:spacing w:after="0"/>
              <w:jc w:val="right"/>
              <w:rPr>
                <w:rFonts w:ascii="Arial" w:hAnsi="Arial" w:cs="Arial"/>
                <w:color w:val="000000" w:themeColor="text1"/>
                <w:sz w:val="18"/>
                <w:szCs w:val="16"/>
              </w:rPr>
            </w:pPr>
            <w:r>
              <w:rPr>
                <w:rFonts w:ascii="Arial" w:hAnsi="Arial"/>
                <w:color w:val="000000" w:themeColor="text1"/>
                <w:sz w:val="18"/>
                <w:szCs w:val="16"/>
              </w:rPr>
              <w:t>75</w:t>
            </w:r>
          </w:p>
        </w:tc>
      </w:tr>
    </w:tbl>
    <w:p w14:paraId="20FF3D17" w14:textId="6F6EB160" w:rsidR="00655405" w:rsidRDefault="0090572C" w:rsidP="00F12C0D">
      <w:pPr>
        <w:spacing w:after="0" w:line="360" w:lineRule="auto"/>
        <w:textAlignment w:val="baseline"/>
        <w:rPr>
          <w:rFonts w:ascii="Arial" w:hAnsi="Arial" w:cs="Arial"/>
          <w:b/>
          <w:sz w:val="20"/>
          <w:szCs w:val="20"/>
        </w:rPr>
      </w:pPr>
      <w:r>
        <w:rPr>
          <w:rFonts w:ascii="Arial" w:hAnsi="Arial" w:cs="Arial"/>
          <w:b/>
          <w:noProof/>
          <w:sz w:val="20"/>
          <w:szCs w:val="20"/>
          <w:lang w:val="de-DE" w:eastAsia="de-DE"/>
        </w:rPr>
        <w:drawing>
          <wp:inline distT="0" distB="0" distL="0" distR="0" wp14:anchorId="0497AA50" wp14:editId="0611D060">
            <wp:extent cx="2803584" cy="2052062"/>
            <wp:effectExtent l="19050" t="19050" r="15875" b="247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Letting Market Hamburg 2Q2020_take-up of office space.JPG"/>
                    <pic:cNvPicPr/>
                  </pic:nvPicPr>
                  <pic:blipFill>
                    <a:blip r:embed="rId8">
                      <a:extLst>
                        <a:ext uri="{28A0092B-C50C-407E-A947-70E740481C1C}">
                          <a14:useLocalDpi xmlns:a14="http://schemas.microsoft.com/office/drawing/2010/main" val="0"/>
                        </a:ext>
                      </a:extLst>
                    </a:blip>
                    <a:stretch>
                      <a:fillRect/>
                    </a:stretch>
                  </pic:blipFill>
                  <pic:spPr>
                    <a:xfrm>
                      <a:off x="0" y="0"/>
                      <a:ext cx="2830785" cy="2071972"/>
                    </a:xfrm>
                    <a:prstGeom prst="rect">
                      <a:avLst/>
                    </a:prstGeom>
                    <a:ln w="3175">
                      <a:solidFill>
                        <a:schemeClr val="tx1"/>
                      </a:solidFill>
                    </a:ln>
                  </pic:spPr>
                </pic:pic>
              </a:graphicData>
            </a:graphic>
          </wp:inline>
        </w:drawing>
      </w:r>
    </w:p>
    <w:p w14:paraId="6A996E11" w14:textId="77777777" w:rsidR="00F12C0D" w:rsidRDefault="00F12C0D" w:rsidP="00F12C0D">
      <w:pPr>
        <w:spacing w:after="0" w:line="360" w:lineRule="auto"/>
        <w:textAlignment w:val="baseline"/>
        <w:rPr>
          <w:rFonts w:ascii="Arial" w:hAnsi="Arial" w:cs="Arial"/>
          <w:b/>
          <w:sz w:val="20"/>
          <w:szCs w:val="20"/>
        </w:rPr>
      </w:pPr>
    </w:p>
    <w:p w14:paraId="2BD04854" w14:textId="70739641" w:rsidR="00D412A7" w:rsidRDefault="00D412A7">
      <w:pPr>
        <w:spacing w:after="0"/>
        <w:rPr>
          <w:rFonts w:ascii="Arial" w:hAnsi="Arial" w:cs="Arial"/>
          <w:b/>
          <w:sz w:val="20"/>
          <w:szCs w:val="20"/>
        </w:rPr>
      </w:pPr>
    </w:p>
    <w:p w14:paraId="1D58305B" w14:textId="1FCF3896" w:rsidR="00D412A7" w:rsidRDefault="00D412A7">
      <w:pPr>
        <w:spacing w:after="0"/>
        <w:rPr>
          <w:rFonts w:ascii="Arial" w:hAnsi="Arial" w:cs="Arial"/>
          <w:b/>
          <w:sz w:val="20"/>
          <w:szCs w:val="20"/>
        </w:rPr>
      </w:pPr>
    </w:p>
    <w:p w14:paraId="6BBA9DA5" w14:textId="713EA3E5" w:rsidR="00D412A7" w:rsidRDefault="00D412A7">
      <w:pPr>
        <w:spacing w:after="0"/>
        <w:rPr>
          <w:rFonts w:ascii="Arial" w:hAnsi="Arial" w:cs="Arial"/>
          <w:b/>
          <w:sz w:val="20"/>
          <w:szCs w:val="20"/>
        </w:rPr>
      </w:pPr>
    </w:p>
    <w:p w14:paraId="0B228A32" w14:textId="471C5956" w:rsidR="00D412A7" w:rsidRDefault="00D412A7">
      <w:pPr>
        <w:spacing w:after="0"/>
        <w:rPr>
          <w:rFonts w:ascii="Arial" w:hAnsi="Arial" w:cs="Arial"/>
          <w:b/>
          <w:sz w:val="20"/>
          <w:szCs w:val="20"/>
        </w:rPr>
      </w:pPr>
    </w:p>
    <w:p w14:paraId="259C026C" w14:textId="6D15BC54" w:rsidR="00D412A7" w:rsidRDefault="00D412A7">
      <w:pPr>
        <w:spacing w:after="0"/>
        <w:rPr>
          <w:rFonts w:ascii="Arial" w:hAnsi="Arial" w:cs="Arial"/>
          <w:b/>
          <w:sz w:val="20"/>
          <w:szCs w:val="20"/>
        </w:rPr>
      </w:pPr>
    </w:p>
    <w:p w14:paraId="3A5A543C" w14:textId="77777777" w:rsidR="00916B97" w:rsidRDefault="00916B97">
      <w:pPr>
        <w:spacing w:after="0"/>
        <w:rPr>
          <w:rFonts w:ascii="Arial" w:hAnsi="Arial"/>
          <w:b/>
          <w:sz w:val="20"/>
          <w:szCs w:val="20"/>
        </w:rPr>
      </w:pPr>
    </w:p>
    <w:p w14:paraId="4BAC5D92" w14:textId="77777777" w:rsidR="00916B97" w:rsidRDefault="00916B97">
      <w:pPr>
        <w:spacing w:after="0"/>
        <w:rPr>
          <w:rFonts w:ascii="Arial" w:hAnsi="Arial"/>
          <w:b/>
          <w:sz w:val="20"/>
          <w:szCs w:val="20"/>
        </w:rPr>
      </w:pPr>
    </w:p>
    <w:p w14:paraId="3AA9BC50" w14:textId="10CC2C29" w:rsidR="00B26FFD" w:rsidRDefault="00470BCC">
      <w:pPr>
        <w:spacing w:after="0"/>
        <w:rPr>
          <w:rFonts w:ascii="Arial" w:eastAsia="Arial" w:hAnsi="Arial" w:cs="Arial"/>
          <w:b/>
          <w:color w:val="000000" w:themeColor="text1"/>
          <w:sz w:val="20"/>
          <w:szCs w:val="20"/>
        </w:rPr>
      </w:pPr>
      <w:r>
        <w:rPr>
          <w:rFonts w:ascii="Arial" w:hAnsi="Arial"/>
          <w:b/>
          <w:sz w:val="20"/>
          <w:szCs w:val="20"/>
        </w:rPr>
        <w:lastRenderedPageBreak/>
        <w:t xml:space="preserve">Selected agreements | offices in Hamburg | 1st and 2nd quarters </w:t>
      </w:r>
      <w:r w:rsidR="00916B97">
        <w:rPr>
          <w:rFonts w:ascii="Arial" w:hAnsi="Arial"/>
          <w:b/>
          <w:sz w:val="20"/>
          <w:szCs w:val="20"/>
        </w:rPr>
        <w:t xml:space="preserve">of </w:t>
      </w:r>
      <w:r>
        <w:rPr>
          <w:rFonts w:ascii="Arial" w:hAnsi="Arial"/>
          <w:b/>
          <w:sz w:val="20"/>
          <w:szCs w:val="20"/>
        </w:rPr>
        <w:t>2020</w:t>
      </w:r>
    </w:p>
    <w:tbl>
      <w:tblPr>
        <w:tblStyle w:val="Tabellenraster"/>
        <w:tblpPr w:leftFromText="141" w:rightFromText="141" w:vertAnchor="text" w:horzAnchor="margin" w:tblpY="218"/>
        <w:tblW w:w="9634" w:type="dxa"/>
        <w:tblLook w:val="04A0" w:firstRow="1" w:lastRow="0" w:firstColumn="1" w:lastColumn="0" w:noHBand="0" w:noVBand="1"/>
      </w:tblPr>
      <w:tblGrid>
        <w:gridCol w:w="3681"/>
        <w:gridCol w:w="1701"/>
        <w:gridCol w:w="1984"/>
        <w:gridCol w:w="1418"/>
        <w:gridCol w:w="850"/>
      </w:tblGrid>
      <w:tr w:rsidR="00BB2707" w:rsidRPr="0017364E" w14:paraId="7B788289" w14:textId="77777777" w:rsidTr="00F12C0D">
        <w:trPr>
          <w:trHeight w:val="567"/>
        </w:trPr>
        <w:tc>
          <w:tcPr>
            <w:tcW w:w="3681" w:type="dxa"/>
            <w:shd w:val="clear" w:color="auto" w:fill="1F242B" w:themeFill="accent2"/>
            <w:vAlign w:val="center"/>
          </w:tcPr>
          <w:p w14:paraId="1FF646C4" w14:textId="756E21EE" w:rsidR="00BB2707" w:rsidRDefault="00BB2707" w:rsidP="003D75A6">
            <w:pPr>
              <w:spacing w:before="60" w:after="60"/>
              <w:rPr>
                <w:rFonts w:ascii="Arial" w:hAnsi="Arial" w:cs="Arial"/>
                <w:b/>
                <w:sz w:val="18"/>
                <w:szCs w:val="16"/>
              </w:rPr>
            </w:pPr>
            <w:r>
              <w:rPr>
                <w:rFonts w:ascii="Arial" w:hAnsi="Arial"/>
                <w:b/>
                <w:sz w:val="18"/>
                <w:szCs w:val="16"/>
              </w:rPr>
              <w:t>Tenant/owner-occupier</w:t>
            </w:r>
          </w:p>
          <w:p w14:paraId="4605900A" w14:textId="77777777" w:rsidR="00BB2707" w:rsidRPr="0017364E" w:rsidRDefault="00BB2707" w:rsidP="003D75A6">
            <w:pPr>
              <w:spacing w:before="60" w:after="60"/>
              <w:rPr>
                <w:rFonts w:ascii="Arial" w:hAnsi="Arial" w:cs="Arial"/>
                <w:b/>
                <w:sz w:val="18"/>
                <w:szCs w:val="16"/>
              </w:rPr>
            </w:pPr>
          </w:p>
        </w:tc>
        <w:tc>
          <w:tcPr>
            <w:tcW w:w="1701" w:type="dxa"/>
            <w:shd w:val="clear" w:color="auto" w:fill="1F242B" w:themeFill="accent2"/>
            <w:vAlign w:val="center"/>
          </w:tcPr>
          <w:p w14:paraId="5E73AA5F" w14:textId="77777777" w:rsidR="00BB2707" w:rsidRDefault="00BB2707" w:rsidP="003D75A6">
            <w:pPr>
              <w:spacing w:before="60" w:after="60"/>
              <w:rPr>
                <w:rFonts w:ascii="Arial" w:hAnsi="Arial" w:cs="Arial"/>
                <w:b/>
                <w:sz w:val="18"/>
                <w:szCs w:val="16"/>
              </w:rPr>
            </w:pPr>
            <w:r>
              <w:rPr>
                <w:rFonts w:ascii="Arial" w:hAnsi="Arial"/>
                <w:b/>
                <w:sz w:val="18"/>
                <w:szCs w:val="16"/>
              </w:rPr>
              <w:t>Property/project</w:t>
            </w:r>
          </w:p>
          <w:p w14:paraId="165BD714" w14:textId="77777777" w:rsidR="00BB2707" w:rsidRPr="0017364E" w:rsidRDefault="00BB2707" w:rsidP="003D75A6">
            <w:pPr>
              <w:spacing w:before="60" w:after="60"/>
              <w:rPr>
                <w:rFonts w:ascii="Arial" w:hAnsi="Arial" w:cs="Arial"/>
                <w:b/>
                <w:sz w:val="18"/>
                <w:szCs w:val="16"/>
              </w:rPr>
            </w:pPr>
          </w:p>
        </w:tc>
        <w:tc>
          <w:tcPr>
            <w:tcW w:w="1984" w:type="dxa"/>
            <w:shd w:val="clear" w:color="auto" w:fill="1F242B" w:themeFill="accent2"/>
            <w:vAlign w:val="center"/>
          </w:tcPr>
          <w:p w14:paraId="5C56E890" w14:textId="77777777" w:rsidR="00BB2707" w:rsidRDefault="00BB2707" w:rsidP="003D75A6">
            <w:pPr>
              <w:spacing w:before="60" w:after="60"/>
              <w:rPr>
                <w:rFonts w:ascii="Arial" w:hAnsi="Arial" w:cs="Arial"/>
                <w:b/>
                <w:sz w:val="18"/>
                <w:szCs w:val="16"/>
              </w:rPr>
            </w:pPr>
            <w:r>
              <w:rPr>
                <w:rFonts w:ascii="Arial" w:hAnsi="Arial"/>
                <w:b/>
                <w:sz w:val="18"/>
                <w:szCs w:val="16"/>
              </w:rPr>
              <w:t xml:space="preserve">Street no. </w:t>
            </w:r>
          </w:p>
          <w:p w14:paraId="0D24D566" w14:textId="77777777" w:rsidR="00BB2707" w:rsidRPr="0017364E" w:rsidRDefault="00BB2707" w:rsidP="003D75A6">
            <w:pPr>
              <w:spacing w:before="60" w:after="60"/>
              <w:rPr>
                <w:rFonts w:ascii="Arial" w:hAnsi="Arial" w:cs="Arial"/>
                <w:b/>
                <w:sz w:val="18"/>
                <w:szCs w:val="16"/>
              </w:rPr>
            </w:pPr>
          </w:p>
        </w:tc>
        <w:tc>
          <w:tcPr>
            <w:tcW w:w="1418" w:type="dxa"/>
            <w:shd w:val="clear" w:color="auto" w:fill="1F242B" w:themeFill="accent2"/>
            <w:vAlign w:val="center"/>
          </w:tcPr>
          <w:p w14:paraId="591B71E9" w14:textId="77777777" w:rsidR="00BB2707" w:rsidRDefault="00BB2707" w:rsidP="003D75A6">
            <w:pPr>
              <w:spacing w:before="60" w:after="60"/>
              <w:rPr>
                <w:rFonts w:ascii="Arial" w:hAnsi="Arial" w:cs="Arial"/>
                <w:b/>
                <w:sz w:val="18"/>
                <w:szCs w:val="16"/>
              </w:rPr>
            </w:pPr>
            <w:r>
              <w:rPr>
                <w:rFonts w:ascii="Arial" w:hAnsi="Arial"/>
                <w:b/>
                <w:sz w:val="18"/>
                <w:szCs w:val="16"/>
              </w:rPr>
              <w:t>Sub-market</w:t>
            </w:r>
          </w:p>
          <w:p w14:paraId="0CEDD8E8" w14:textId="77777777" w:rsidR="00BB2707" w:rsidRPr="0017364E" w:rsidRDefault="00BB2707" w:rsidP="003D75A6">
            <w:pPr>
              <w:spacing w:before="60" w:after="60"/>
              <w:rPr>
                <w:rFonts w:ascii="Arial" w:hAnsi="Arial" w:cs="Arial"/>
                <w:b/>
                <w:sz w:val="18"/>
                <w:szCs w:val="16"/>
              </w:rPr>
            </w:pPr>
          </w:p>
        </w:tc>
        <w:tc>
          <w:tcPr>
            <w:tcW w:w="850" w:type="dxa"/>
            <w:shd w:val="clear" w:color="auto" w:fill="1F242B" w:themeFill="accent2"/>
            <w:vAlign w:val="center"/>
          </w:tcPr>
          <w:p w14:paraId="1BA6E6EB" w14:textId="77777777" w:rsidR="00BB2707" w:rsidRPr="0017364E" w:rsidRDefault="00BB2707" w:rsidP="003D75A6">
            <w:pPr>
              <w:spacing w:before="60" w:after="60"/>
              <w:rPr>
                <w:rFonts w:ascii="Arial" w:hAnsi="Arial" w:cs="Arial"/>
                <w:b/>
                <w:sz w:val="18"/>
                <w:szCs w:val="16"/>
              </w:rPr>
            </w:pPr>
            <w:r>
              <w:rPr>
                <w:rFonts w:ascii="Arial" w:hAnsi="Arial"/>
                <w:b/>
                <w:sz w:val="18"/>
                <w:szCs w:val="16"/>
              </w:rPr>
              <w:t>Rental area</w:t>
            </w:r>
            <w:r>
              <w:rPr>
                <w:rFonts w:ascii="Arial" w:hAnsi="Arial"/>
                <w:b/>
                <w:sz w:val="18"/>
                <w:szCs w:val="16"/>
              </w:rPr>
              <w:br/>
            </w:r>
            <w:r>
              <w:rPr>
                <w:rFonts w:ascii="Arial" w:hAnsi="Arial"/>
                <w:sz w:val="18"/>
                <w:szCs w:val="16"/>
              </w:rPr>
              <w:t>[ca. m²]</w:t>
            </w:r>
          </w:p>
        </w:tc>
      </w:tr>
      <w:tr w:rsidR="00D57F53" w:rsidRPr="0017364E" w14:paraId="6B585D4E" w14:textId="77777777" w:rsidTr="003E631E">
        <w:trPr>
          <w:trHeight w:val="567"/>
        </w:trPr>
        <w:tc>
          <w:tcPr>
            <w:tcW w:w="3681" w:type="dxa"/>
            <w:shd w:val="clear" w:color="auto" w:fill="D9D9D9" w:themeFill="background1" w:themeFillShade="D9"/>
            <w:vAlign w:val="center"/>
          </w:tcPr>
          <w:p w14:paraId="5934B469" w14:textId="3101A99C" w:rsidR="00D57F53" w:rsidRPr="0017364E" w:rsidRDefault="00301264" w:rsidP="00D57F53">
            <w:pPr>
              <w:spacing w:before="60" w:after="60"/>
              <w:rPr>
                <w:rFonts w:ascii="Arial" w:hAnsi="Arial" w:cs="Arial"/>
                <w:sz w:val="18"/>
                <w:szCs w:val="16"/>
              </w:rPr>
            </w:pPr>
            <w:proofErr w:type="spellStart"/>
            <w:r>
              <w:rPr>
                <w:rFonts w:ascii="Arial" w:hAnsi="Arial"/>
                <w:sz w:val="18"/>
                <w:szCs w:val="16"/>
              </w:rPr>
              <w:t>Hansainvest</w:t>
            </w:r>
            <w:proofErr w:type="spellEnd"/>
            <w:r>
              <w:rPr>
                <w:rFonts w:ascii="Arial" w:hAnsi="Arial"/>
                <w:sz w:val="18"/>
                <w:szCs w:val="16"/>
              </w:rPr>
              <w:t xml:space="preserve"> </w:t>
            </w:r>
            <w:proofErr w:type="spellStart"/>
            <w:r>
              <w:rPr>
                <w:rFonts w:ascii="Arial" w:hAnsi="Arial"/>
                <w:sz w:val="18"/>
                <w:szCs w:val="16"/>
              </w:rPr>
              <w:t>Hanseatische</w:t>
            </w:r>
            <w:proofErr w:type="spellEnd"/>
            <w:r>
              <w:rPr>
                <w:rFonts w:ascii="Arial" w:hAnsi="Arial"/>
                <w:sz w:val="18"/>
                <w:szCs w:val="16"/>
              </w:rPr>
              <w:t xml:space="preserve"> Investment</w:t>
            </w:r>
          </w:p>
        </w:tc>
        <w:tc>
          <w:tcPr>
            <w:tcW w:w="1701" w:type="dxa"/>
            <w:shd w:val="clear" w:color="auto" w:fill="D9D9D9" w:themeFill="background1" w:themeFillShade="D9"/>
            <w:vAlign w:val="center"/>
          </w:tcPr>
          <w:p w14:paraId="55F9F6B0" w14:textId="15F8AC5C" w:rsidR="00D57F53" w:rsidRPr="0017364E" w:rsidRDefault="00836A75" w:rsidP="00301264">
            <w:pPr>
              <w:spacing w:before="60" w:after="60"/>
              <w:rPr>
                <w:rFonts w:ascii="Arial" w:hAnsi="Arial" w:cs="Arial"/>
                <w:sz w:val="18"/>
                <w:szCs w:val="16"/>
              </w:rPr>
            </w:pPr>
            <w:r>
              <w:rPr>
                <w:rFonts w:ascii="Arial" w:hAnsi="Arial"/>
                <w:sz w:val="18"/>
                <w:szCs w:val="16"/>
              </w:rPr>
              <w:t>“Oval Office”</w:t>
            </w:r>
          </w:p>
        </w:tc>
        <w:tc>
          <w:tcPr>
            <w:tcW w:w="1984" w:type="dxa"/>
            <w:shd w:val="clear" w:color="auto" w:fill="D9D9D9" w:themeFill="background1" w:themeFillShade="D9"/>
            <w:vAlign w:val="center"/>
          </w:tcPr>
          <w:p w14:paraId="71798FE8" w14:textId="4EB14533" w:rsidR="00D57F53" w:rsidRPr="0017364E" w:rsidRDefault="00301264" w:rsidP="00D57F53">
            <w:pPr>
              <w:spacing w:before="60" w:after="60"/>
              <w:rPr>
                <w:rFonts w:ascii="Arial" w:hAnsi="Arial" w:cs="Arial"/>
                <w:sz w:val="18"/>
                <w:szCs w:val="16"/>
              </w:rPr>
            </w:pPr>
            <w:proofErr w:type="spellStart"/>
            <w:r>
              <w:rPr>
                <w:rFonts w:ascii="Arial" w:hAnsi="Arial"/>
                <w:sz w:val="18"/>
                <w:szCs w:val="16"/>
              </w:rPr>
              <w:t>Überseering</w:t>
            </w:r>
            <w:proofErr w:type="spellEnd"/>
            <w:r>
              <w:rPr>
                <w:rFonts w:ascii="Arial" w:hAnsi="Arial"/>
                <w:sz w:val="18"/>
                <w:szCs w:val="16"/>
              </w:rPr>
              <w:t xml:space="preserve"> 10</w:t>
            </w:r>
          </w:p>
        </w:tc>
        <w:tc>
          <w:tcPr>
            <w:tcW w:w="1418" w:type="dxa"/>
            <w:shd w:val="clear" w:color="auto" w:fill="D9D9D9" w:themeFill="background1" w:themeFillShade="D9"/>
            <w:vAlign w:val="center"/>
          </w:tcPr>
          <w:p w14:paraId="5F92AC8B" w14:textId="47869746" w:rsidR="00D57F53" w:rsidRPr="0017364E" w:rsidRDefault="00301264" w:rsidP="006E639E">
            <w:pPr>
              <w:spacing w:before="60" w:after="60"/>
              <w:rPr>
                <w:rFonts w:ascii="Arial" w:hAnsi="Arial" w:cs="Arial"/>
                <w:sz w:val="18"/>
                <w:szCs w:val="16"/>
              </w:rPr>
            </w:pPr>
            <w:r>
              <w:rPr>
                <w:rFonts w:ascii="Arial" w:hAnsi="Arial"/>
                <w:sz w:val="18"/>
                <w:szCs w:val="16"/>
              </w:rPr>
              <w:t>City North</w:t>
            </w:r>
          </w:p>
        </w:tc>
        <w:tc>
          <w:tcPr>
            <w:tcW w:w="850" w:type="dxa"/>
            <w:shd w:val="clear" w:color="auto" w:fill="D9D9D9" w:themeFill="background1" w:themeFillShade="D9"/>
            <w:vAlign w:val="center"/>
          </w:tcPr>
          <w:p w14:paraId="18F234AE" w14:textId="6C2DC5D4" w:rsidR="00D57F53" w:rsidRPr="0017364E" w:rsidRDefault="00301264" w:rsidP="00301264">
            <w:pPr>
              <w:spacing w:before="60" w:after="60"/>
              <w:jc w:val="right"/>
              <w:rPr>
                <w:rFonts w:ascii="Arial" w:hAnsi="Arial" w:cs="Arial"/>
                <w:sz w:val="18"/>
                <w:szCs w:val="16"/>
              </w:rPr>
            </w:pPr>
            <w:r>
              <w:rPr>
                <w:rFonts w:ascii="Arial" w:hAnsi="Arial"/>
                <w:sz w:val="18"/>
                <w:szCs w:val="16"/>
              </w:rPr>
              <w:t>6,000</w:t>
            </w:r>
          </w:p>
        </w:tc>
      </w:tr>
      <w:tr w:rsidR="00D57F53" w:rsidRPr="0017364E" w14:paraId="314139FB" w14:textId="77777777" w:rsidTr="003E631E">
        <w:trPr>
          <w:trHeight w:val="567"/>
        </w:trPr>
        <w:tc>
          <w:tcPr>
            <w:tcW w:w="3681" w:type="dxa"/>
            <w:shd w:val="clear" w:color="auto" w:fill="D9D9D9" w:themeFill="background1" w:themeFillShade="D9"/>
            <w:vAlign w:val="center"/>
          </w:tcPr>
          <w:p w14:paraId="38007B43" w14:textId="4125C95D" w:rsidR="00D57F53" w:rsidRPr="0017364E" w:rsidRDefault="006640C4" w:rsidP="004C638E">
            <w:pPr>
              <w:spacing w:before="60" w:after="60"/>
              <w:rPr>
                <w:rFonts w:ascii="Arial" w:hAnsi="Arial" w:cs="Arial"/>
                <w:sz w:val="18"/>
                <w:szCs w:val="16"/>
              </w:rPr>
            </w:pPr>
            <w:proofErr w:type="spellStart"/>
            <w:r>
              <w:rPr>
                <w:rFonts w:ascii="Arial" w:hAnsi="Arial"/>
                <w:sz w:val="18"/>
                <w:szCs w:val="16"/>
              </w:rPr>
              <w:t>Wärtsilä</w:t>
            </w:r>
            <w:proofErr w:type="spellEnd"/>
            <w:r>
              <w:rPr>
                <w:rFonts w:ascii="Arial" w:hAnsi="Arial"/>
                <w:sz w:val="18"/>
                <w:szCs w:val="16"/>
              </w:rPr>
              <w:t xml:space="preserve"> SAM Electronics</w:t>
            </w:r>
          </w:p>
        </w:tc>
        <w:tc>
          <w:tcPr>
            <w:tcW w:w="1701" w:type="dxa"/>
            <w:shd w:val="clear" w:color="auto" w:fill="D9D9D9" w:themeFill="background1" w:themeFillShade="D9"/>
            <w:vAlign w:val="center"/>
          </w:tcPr>
          <w:p w14:paraId="058591FC" w14:textId="39BFFE11" w:rsidR="00D57F53" w:rsidRPr="0017364E" w:rsidRDefault="00D57F53" w:rsidP="006640C4">
            <w:pPr>
              <w:spacing w:before="60" w:after="60"/>
              <w:rPr>
                <w:rFonts w:ascii="Arial" w:hAnsi="Arial" w:cs="Arial"/>
                <w:sz w:val="18"/>
                <w:szCs w:val="16"/>
              </w:rPr>
            </w:pPr>
          </w:p>
        </w:tc>
        <w:tc>
          <w:tcPr>
            <w:tcW w:w="1984" w:type="dxa"/>
            <w:shd w:val="clear" w:color="auto" w:fill="D9D9D9" w:themeFill="background1" w:themeFillShade="D9"/>
            <w:vAlign w:val="center"/>
          </w:tcPr>
          <w:p w14:paraId="703E1F73" w14:textId="61C0AEC4" w:rsidR="00D57F53" w:rsidRPr="0017364E" w:rsidRDefault="00301264" w:rsidP="00301264">
            <w:pPr>
              <w:spacing w:before="60" w:after="60"/>
              <w:rPr>
                <w:rFonts w:ascii="Arial" w:hAnsi="Arial" w:cs="Arial"/>
                <w:sz w:val="18"/>
                <w:szCs w:val="16"/>
              </w:rPr>
            </w:pPr>
            <w:proofErr w:type="spellStart"/>
            <w:r>
              <w:rPr>
                <w:rFonts w:ascii="Arial" w:hAnsi="Arial"/>
                <w:sz w:val="18"/>
                <w:szCs w:val="16"/>
              </w:rPr>
              <w:t>Behringstrasse</w:t>
            </w:r>
            <w:proofErr w:type="spellEnd"/>
            <w:r>
              <w:rPr>
                <w:rFonts w:ascii="Arial" w:hAnsi="Arial"/>
                <w:sz w:val="18"/>
                <w:szCs w:val="16"/>
              </w:rPr>
              <w:t xml:space="preserve"> 120</w:t>
            </w:r>
          </w:p>
        </w:tc>
        <w:tc>
          <w:tcPr>
            <w:tcW w:w="1418" w:type="dxa"/>
            <w:shd w:val="clear" w:color="auto" w:fill="D9D9D9" w:themeFill="background1" w:themeFillShade="D9"/>
            <w:vAlign w:val="center"/>
          </w:tcPr>
          <w:p w14:paraId="1A4973BE" w14:textId="1D47ACA0" w:rsidR="00D57F53" w:rsidRPr="0017364E" w:rsidRDefault="00301264" w:rsidP="006E639E">
            <w:pPr>
              <w:spacing w:before="60" w:after="60"/>
              <w:rPr>
                <w:rFonts w:ascii="Arial" w:hAnsi="Arial" w:cs="Arial"/>
                <w:sz w:val="18"/>
                <w:szCs w:val="16"/>
              </w:rPr>
            </w:pPr>
            <w:r>
              <w:rPr>
                <w:rFonts w:ascii="Arial" w:hAnsi="Arial"/>
                <w:sz w:val="18"/>
                <w:szCs w:val="16"/>
              </w:rPr>
              <w:t>Altona</w:t>
            </w:r>
          </w:p>
        </w:tc>
        <w:tc>
          <w:tcPr>
            <w:tcW w:w="850" w:type="dxa"/>
            <w:shd w:val="clear" w:color="auto" w:fill="D9D9D9" w:themeFill="background1" w:themeFillShade="D9"/>
            <w:vAlign w:val="center"/>
          </w:tcPr>
          <w:p w14:paraId="0EEA0855" w14:textId="19E53DD6" w:rsidR="00D57F53" w:rsidRPr="0017364E" w:rsidRDefault="006640C4" w:rsidP="00301264">
            <w:pPr>
              <w:spacing w:before="60" w:after="60"/>
              <w:jc w:val="right"/>
              <w:rPr>
                <w:rFonts w:ascii="Arial" w:hAnsi="Arial" w:cs="Arial"/>
                <w:sz w:val="18"/>
                <w:szCs w:val="16"/>
              </w:rPr>
            </w:pPr>
            <w:r>
              <w:rPr>
                <w:rFonts w:ascii="Arial" w:hAnsi="Arial"/>
                <w:sz w:val="18"/>
                <w:szCs w:val="16"/>
              </w:rPr>
              <w:t>5,900</w:t>
            </w:r>
          </w:p>
        </w:tc>
      </w:tr>
      <w:tr w:rsidR="00301264" w:rsidRPr="0017364E" w14:paraId="661E4657" w14:textId="77777777" w:rsidTr="00F12C0D">
        <w:trPr>
          <w:trHeight w:val="567"/>
        </w:trPr>
        <w:tc>
          <w:tcPr>
            <w:tcW w:w="3681" w:type="dxa"/>
            <w:vAlign w:val="center"/>
          </w:tcPr>
          <w:p w14:paraId="2E5A1578" w14:textId="7699CF20" w:rsidR="00301264" w:rsidRPr="0017364E" w:rsidRDefault="00301264" w:rsidP="00301264">
            <w:pPr>
              <w:spacing w:before="60" w:after="60"/>
              <w:rPr>
                <w:rFonts w:ascii="Arial" w:hAnsi="Arial" w:cs="Arial"/>
                <w:sz w:val="18"/>
                <w:szCs w:val="16"/>
              </w:rPr>
            </w:pPr>
            <w:r>
              <w:rPr>
                <w:rFonts w:ascii="Arial" w:hAnsi="Arial"/>
                <w:sz w:val="18"/>
                <w:szCs w:val="16"/>
              </w:rPr>
              <w:t>MSH Medical School Hamburg</w:t>
            </w:r>
          </w:p>
        </w:tc>
        <w:tc>
          <w:tcPr>
            <w:tcW w:w="1701" w:type="dxa"/>
            <w:vAlign w:val="center"/>
          </w:tcPr>
          <w:p w14:paraId="50F67AC7" w14:textId="319585C3" w:rsidR="00301264" w:rsidRPr="0017364E" w:rsidRDefault="00301264" w:rsidP="00301264">
            <w:pPr>
              <w:spacing w:before="60" w:after="60"/>
              <w:rPr>
                <w:rFonts w:ascii="Arial" w:hAnsi="Arial" w:cs="Arial"/>
                <w:sz w:val="18"/>
                <w:szCs w:val="16"/>
              </w:rPr>
            </w:pPr>
            <w:r>
              <w:rPr>
                <w:rFonts w:ascii="Arial" w:hAnsi="Arial"/>
                <w:sz w:val="18"/>
                <w:szCs w:val="16"/>
              </w:rPr>
              <w:t>“HafenCity Gate”</w:t>
            </w:r>
          </w:p>
        </w:tc>
        <w:tc>
          <w:tcPr>
            <w:tcW w:w="1984" w:type="dxa"/>
            <w:vAlign w:val="center"/>
          </w:tcPr>
          <w:p w14:paraId="1AD10A7F" w14:textId="43560B88" w:rsidR="00301264" w:rsidRPr="0017364E" w:rsidRDefault="00301264" w:rsidP="00301264">
            <w:pPr>
              <w:spacing w:before="60" w:after="60"/>
              <w:rPr>
                <w:rFonts w:ascii="Arial" w:hAnsi="Arial" w:cs="Arial"/>
                <w:sz w:val="18"/>
                <w:szCs w:val="16"/>
              </w:rPr>
            </w:pPr>
            <w:r>
              <w:rPr>
                <w:rFonts w:ascii="Arial" w:hAnsi="Arial"/>
                <w:sz w:val="18"/>
                <w:szCs w:val="16"/>
              </w:rPr>
              <w:t xml:space="preserve">Am </w:t>
            </w:r>
            <w:proofErr w:type="spellStart"/>
            <w:r>
              <w:rPr>
                <w:rFonts w:ascii="Arial" w:hAnsi="Arial"/>
                <w:sz w:val="18"/>
                <w:szCs w:val="16"/>
              </w:rPr>
              <w:t>Sandtorkai</w:t>
            </w:r>
            <w:proofErr w:type="spellEnd"/>
            <w:r>
              <w:rPr>
                <w:rFonts w:ascii="Arial" w:hAnsi="Arial"/>
                <w:sz w:val="18"/>
                <w:szCs w:val="16"/>
              </w:rPr>
              <w:t xml:space="preserve"> 74-77</w:t>
            </w:r>
          </w:p>
        </w:tc>
        <w:tc>
          <w:tcPr>
            <w:tcW w:w="1418" w:type="dxa"/>
            <w:vAlign w:val="center"/>
          </w:tcPr>
          <w:p w14:paraId="608C7AAF" w14:textId="7E843576" w:rsidR="00301264" w:rsidRPr="0017364E" w:rsidRDefault="00301264" w:rsidP="00301264">
            <w:pPr>
              <w:spacing w:before="60" w:after="60"/>
              <w:rPr>
                <w:rFonts w:ascii="Arial" w:hAnsi="Arial" w:cs="Arial"/>
                <w:sz w:val="18"/>
                <w:szCs w:val="16"/>
              </w:rPr>
            </w:pPr>
            <w:r>
              <w:rPr>
                <w:rFonts w:ascii="Arial" w:hAnsi="Arial"/>
                <w:sz w:val="18"/>
                <w:szCs w:val="16"/>
              </w:rPr>
              <w:t>HafenCity</w:t>
            </w:r>
          </w:p>
        </w:tc>
        <w:tc>
          <w:tcPr>
            <w:tcW w:w="850" w:type="dxa"/>
            <w:vAlign w:val="center"/>
          </w:tcPr>
          <w:p w14:paraId="084B6F88" w14:textId="7D9F658F" w:rsidR="00301264" w:rsidRPr="0017364E" w:rsidRDefault="00301264" w:rsidP="00301264">
            <w:pPr>
              <w:spacing w:before="60" w:after="60"/>
              <w:jc w:val="right"/>
              <w:rPr>
                <w:rFonts w:ascii="Arial" w:hAnsi="Arial" w:cs="Arial"/>
                <w:sz w:val="18"/>
                <w:szCs w:val="16"/>
              </w:rPr>
            </w:pPr>
            <w:r>
              <w:rPr>
                <w:rFonts w:ascii="Arial" w:hAnsi="Arial"/>
                <w:sz w:val="18"/>
                <w:szCs w:val="16"/>
              </w:rPr>
              <w:t>5,800</w:t>
            </w:r>
          </w:p>
        </w:tc>
      </w:tr>
      <w:tr w:rsidR="006A3FA5" w:rsidRPr="0017364E" w14:paraId="66743358" w14:textId="77777777" w:rsidTr="00F12C0D">
        <w:trPr>
          <w:trHeight w:val="567"/>
        </w:trPr>
        <w:tc>
          <w:tcPr>
            <w:tcW w:w="3681" w:type="dxa"/>
            <w:vAlign w:val="center"/>
          </w:tcPr>
          <w:p w14:paraId="5CEA0DC4" w14:textId="59186C94" w:rsidR="006A3FA5" w:rsidRPr="006640C4" w:rsidRDefault="006A3FA5" w:rsidP="006A3FA5">
            <w:pPr>
              <w:spacing w:before="60" w:after="60"/>
              <w:rPr>
                <w:rFonts w:ascii="Arial" w:hAnsi="Arial" w:cs="Arial"/>
                <w:sz w:val="18"/>
                <w:szCs w:val="16"/>
              </w:rPr>
            </w:pPr>
            <w:proofErr w:type="spellStart"/>
            <w:r>
              <w:rPr>
                <w:rFonts w:ascii="Arial" w:hAnsi="Arial"/>
                <w:sz w:val="18"/>
                <w:szCs w:val="16"/>
              </w:rPr>
              <w:t>Wärtsilä</w:t>
            </w:r>
            <w:proofErr w:type="spellEnd"/>
            <w:r>
              <w:rPr>
                <w:rFonts w:ascii="Arial" w:hAnsi="Arial"/>
                <w:sz w:val="18"/>
                <w:szCs w:val="16"/>
              </w:rPr>
              <w:t xml:space="preserve"> SAM Electronics</w:t>
            </w:r>
          </w:p>
        </w:tc>
        <w:tc>
          <w:tcPr>
            <w:tcW w:w="1701" w:type="dxa"/>
            <w:vAlign w:val="center"/>
          </w:tcPr>
          <w:p w14:paraId="1A1F084C" w14:textId="77777777" w:rsidR="006A3FA5" w:rsidRDefault="006A3FA5" w:rsidP="006A3FA5">
            <w:pPr>
              <w:spacing w:before="60" w:after="60"/>
              <w:rPr>
                <w:rFonts w:ascii="Arial" w:hAnsi="Arial" w:cs="Arial"/>
                <w:sz w:val="18"/>
                <w:szCs w:val="16"/>
              </w:rPr>
            </w:pPr>
          </w:p>
        </w:tc>
        <w:tc>
          <w:tcPr>
            <w:tcW w:w="1984" w:type="dxa"/>
            <w:vAlign w:val="center"/>
          </w:tcPr>
          <w:p w14:paraId="338E1B42" w14:textId="190A5CEF" w:rsidR="006A3FA5" w:rsidRPr="006640C4" w:rsidRDefault="006A3FA5" w:rsidP="006A3FA5">
            <w:pPr>
              <w:spacing w:before="60" w:after="60"/>
              <w:rPr>
                <w:rFonts w:ascii="Arial" w:hAnsi="Arial" w:cs="Arial"/>
                <w:sz w:val="18"/>
                <w:szCs w:val="16"/>
              </w:rPr>
            </w:pPr>
            <w:proofErr w:type="spellStart"/>
            <w:r>
              <w:rPr>
                <w:rFonts w:ascii="Arial" w:hAnsi="Arial"/>
                <w:sz w:val="18"/>
                <w:szCs w:val="16"/>
              </w:rPr>
              <w:t>Gasstrasse</w:t>
            </w:r>
            <w:proofErr w:type="spellEnd"/>
            <w:r>
              <w:rPr>
                <w:rFonts w:ascii="Arial" w:hAnsi="Arial"/>
                <w:sz w:val="18"/>
                <w:szCs w:val="16"/>
              </w:rPr>
              <w:t xml:space="preserve"> 18</w:t>
            </w:r>
          </w:p>
        </w:tc>
        <w:tc>
          <w:tcPr>
            <w:tcW w:w="1418" w:type="dxa"/>
            <w:vAlign w:val="center"/>
          </w:tcPr>
          <w:p w14:paraId="6DB89009" w14:textId="3D9BF745" w:rsidR="006A3FA5" w:rsidRDefault="006A3FA5" w:rsidP="006A3FA5">
            <w:pPr>
              <w:spacing w:before="60" w:after="60"/>
              <w:rPr>
                <w:rFonts w:ascii="Arial" w:hAnsi="Arial" w:cs="Arial"/>
                <w:sz w:val="18"/>
                <w:szCs w:val="16"/>
              </w:rPr>
            </w:pPr>
            <w:proofErr w:type="spellStart"/>
            <w:r>
              <w:rPr>
                <w:rFonts w:ascii="Arial" w:hAnsi="Arial"/>
                <w:sz w:val="18"/>
                <w:szCs w:val="16"/>
              </w:rPr>
              <w:t>Bahrenfeld</w:t>
            </w:r>
            <w:proofErr w:type="spellEnd"/>
          </w:p>
        </w:tc>
        <w:tc>
          <w:tcPr>
            <w:tcW w:w="850" w:type="dxa"/>
            <w:vAlign w:val="center"/>
          </w:tcPr>
          <w:p w14:paraId="5C7A9A09" w14:textId="2369DF9F" w:rsidR="006A3FA5" w:rsidRDefault="006A3FA5" w:rsidP="006A3FA5">
            <w:pPr>
              <w:spacing w:before="60" w:after="60"/>
              <w:jc w:val="right"/>
              <w:rPr>
                <w:rFonts w:ascii="Arial" w:hAnsi="Arial" w:cs="Arial"/>
                <w:sz w:val="18"/>
                <w:szCs w:val="16"/>
              </w:rPr>
            </w:pPr>
            <w:r>
              <w:rPr>
                <w:rFonts w:ascii="Arial" w:hAnsi="Arial"/>
                <w:sz w:val="18"/>
                <w:szCs w:val="16"/>
              </w:rPr>
              <w:t>5,700</w:t>
            </w:r>
          </w:p>
        </w:tc>
      </w:tr>
      <w:tr w:rsidR="006A3FA5" w:rsidRPr="0017364E" w14:paraId="2B77766E" w14:textId="77777777" w:rsidTr="00F12C0D">
        <w:trPr>
          <w:trHeight w:val="567"/>
        </w:trPr>
        <w:tc>
          <w:tcPr>
            <w:tcW w:w="3681" w:type="dxa"/>
            <w:vAlign w:val="center"/>
          </w:tcPr>
          <w:p w14:paraId="3B4C29EA" w14:textId="36755264" w:rsidR="006A3FA5" w:rsidRPr="006640C4" w:rsidRDefault="006A3FA5" w:rsidP="006A3FA5">
            <w:pPr>
              <w:spacing w:before="60" w:after="60"/>
              <w:rPr>
                <w:rFonts w:ascii="Arial" w:hAnsi="Arial" w:cs="Arial"/>
                <w:sz w:val="18"/>
                <w:szCs w:val="16"/>
              </w:rPr>
            </w:pPr>
            <w:proofErr w:type="spellStart"/>
            <w:r>
              <w:rPr>
                <w:rFonts w:ascii="Arial" w:hAnsi="Arial"/>
                <w:sz w:val="18"/>
                <w:szCs w:val="16"/>
              </w:rPr>
              <w:t>officepointONE</w:t>
            </w:r>
            <w:proofErr w:type="spellEnd"/>
          </w:p>
        </w:tc>
        <w:tc>
          <w:tcPr>
            <w:tcW w:w="1701" w:type="dxa"/>
            <w:vAlign w:val="center"/>
          </w:tcPr>
          <w:p w14:paraId="73F0BE29" w14:textId="4DE69E5E" w:rsidR="006A3FA5" w:rsidRDefault="006A3FA5" w:rsidP="006A3FA5">
            <w:pPr>
              <w:spacing w:before="60" w:after="60"/>
              <w:rPr>
                <w:rFonts w:ascii="Arial" w:hAnsi="Arial" w:cs="Arial"/>
                <w:sz w:val="18"/>
                <w:szCs w:val="16"/>
              </w:rPr>
            </w:pPr>
            <w:r>
              <w:rPr>
                <w:rFonts w:ascii="Arial" w:hAnsi="Arial"/>
                <w:sz w:val="18"/>
                <w:szCs w:val="16"/>
              </w:rPr>
              <w:t>“Speicher N26”</w:t>
            </w:r>
          </w:p>
        </w:tc>
        <w:tc>
          <w:tcPr>
            <w:tcW w:w="1984" w:type="dxa"/>
            <w:vAlign w:val="center"/>
          </w:tcPr>
          <w:p w14:paraId="75BC2806" w14:textId="23566666" w:rsidR="006A3FA5" w:rsidRPr="006640C4" w:rsidRDefault="006A3FA5" w:rsidP="006A3FA5">
            <w:pPr>
              <w:spacing w:before="60" w:after="60"/>
              <w:rPr>
                <w:rFonts w:ascii="Arial" w:hAnsi="Arial" w:cs="Arial"/>
                <w:sz w:val="18"/>
                <w:szCs w:val="16"/>
              </w:rPr>
            </w:pPr>
            <w:r>
              <w:rPr>
                <w:rFonts w:ascii="Arial" w:hAnsi="Arial"/>
                <w:sz w:val="18"/>
                <w:szCs w:val="16"/>
              </w:rPr>
              <w:t xml:space="preserve">Am </w:t>
            </w:r>
            <w:proofErr w:type="spellStart"/>
            <w:r>
              <w:rPr>
                <w:rFonts w:ascii="Arial" w:hAnsi="Arial"/>
                <w:sz w:val="18"/>
                <w:szCs w:val="16"/>
              </w:rPr>
              <w:t>Sandtorkai</w:t>
            </w:r>
            <w:proofErr w:type="spellEnd"/>
            <w:r>
              <w:rPr>
                <w:rFonts w:ascii="Arial" w:hAnsi="Arial"/>
                <w:sz w:val="18"/>
                <w:szCs w:val="16"/>
              </w:rPr>
              <w:t xml:space="preserve"> 26</w:t>
            </w:r>
          </w:p>
        </w:tc>
        <w:tc>
          <w:tcPr>
            <w:tcW w:w="1418" w:type="dxa"/>
            <w:vAlign w:val="center"/>
          </w:tcPr>
          <w:p w14:paraId="4E585535" w14:textId="44A32042" w:rsidR="006A3FA5" w:rsidRDefault="006A3FA5" w:rsidP="006A3FA5">
            <w:pPr>
              <w:spacing w:before="60" w:after="60"/>
              <w:rPr>
                <w:rFonts w:ascii="Arial" w:hAnsi="Arial" w:cs="Arial"/>
                <w:sz w:val="18"/>
                <w:szCs w:val="16"/>
              </w:rPr>
            </w:pPr>
            <w:r>
              <w:rPr>
                <w:rFonts w:ascii="Arial" w:hAnsi="Arial"/>
                <w:sz w:val="18"/>
                <w:szCs w:val="16"/>
              </w:rPr>
              <w:t>HafenCity</w:t>
            </w:r>
          </w:p>
        </w:tc>
        <w:tc>
          <w:tcPr>
            <w:tcW w:w="850" w:type="dxa"/>
            <w:vAlign w:val="center"/>
          </w:tcPr>
          <w:p w14:paraId="2DC9A2CE" w14:textId="41196F93" w:rsidR="006A3FA5" w:rsidRDefault="006A3FA5" w:rsidP="006A3FA5">
            <w:pPr>
              <w:spacing w:before="60" w:after="60"/>
              <w:jc w:val="right"/>
              <w:rPr>
                <w:rFonts w:ascii="Arial" w:hAnsi="Arial" w:cs="Arial"/>
                <w:sz w:val="18"/>
                <w:szCs w:val="16"/>
              </w:rPr>
            </w:pPr>
            <w:r>
              <w:rPr>
                <w:rFonts w:ascii="Arial" w:hAnsi="Arial"/>
                <w:sz w:val="18"/>
                <w:szCs w:val="16"/>
              </w:rPr>
              <w:t>4,300</w:t>
            </w:r>
          </w:p>
        </w:tc>
      </w:tr>
    </w:tbl>
    <w:p w14:paraId="52C0FA94" w14:textId="77D68CEA" w:rsidR="00377771" w:rsidRDefault="00377771" w:rsidP="00CF2C0D">
      <w:pPr>
        <w:widowControl w:val="0"/>
        <w:spacing w:after="0"/>
        <w:rPr>
          <w:rFonts w:ascii="Arial" w:hAnsi="Arial" w:cs="Arial"/>
          <w:sz w:val="16"/>
          <w:szCs w:val="16"/>
        </w:rPr>
      </w:pPr>
    </w:p>
    <w:p w14:paraId="12A40C80" w14:textId="77777777" w:rsidR="006A3FA5" w:rsidRDefault="006A3FA5" w:rsidP="00CF2C0D">
      <w:pPr>
        <w:widowControl w:val="0"/>
        <w:spacing w:after="0"/>
        <w:rPr>
          <w:rFonts w:ascii="Arial" w:hAnsi="Arial" w:cs="Arial"/>
          <w:sz w:val="16"/>
          <w:szCs w:val="16"/>
        </w:rPr>
      </w:pPr>
    </w:p>
    <w:p w14:paraId="16E9E595" w14:textId="6EC01F3B" w:rsidR="00FB4C38" w:rsidRDefault="003E631E" w:rsidP="00CF2C0D">
      <w:pPr>
        <w:widowControl w:val="0"/>
        <w:spacing w:after="0"/>
        <w:rPr>
          <w:rFonts w:ascii="Arial" w:hAnsi="Arial" w:cs="Arial"/>
          <w:sz w:val="16"/>
          <w:szCs w:val="16"/>
        </w:rPr>
      </w:pPr>
      <w:r>
        <w:rPr>
          <w:rFonts w:ascii="Arial" w:hAnsi="Arial"/>
          <w:sz w:val="16"/>
          <w:szCs w:val="16"/>
        </w:rPr>
        <w:t xml:space="preserve">New transactions or those occurring in the </w:t>
      </w:r>
      <w:r w:rsidR="00916B97">
        <w:rPr>
          <w:rFonts w:ascii="Arial" w:hAnsi="Arial"/>
          <w:sz w:val="16"/>
          <w:szCs w:val="16"/>
        </w:rPr>
        <w:t>quarter covered by this report, are highlighted</w:t>
      </w:r>
    </w:p>
    <w:p w14:paraId="557BAFB6" w14:textId="645837AF" w:rsidR="00FB4C38" w:rsidRPr="00A3554C" w:rsidRDefault="00FB4C38" w:rsidP="00A3554C">
      <w:pPr>
        <w:widowControl w:val="0"/>
        <w:spacing w:after="0" w:line="360" w:lineRule="auto"/>
        <w:rPr>
          <w:rFonts w:ascii="Arial" w:hAnsi="Arial" w:cs="Arial"/>
          <w:sz w:val="20"/>
          <w:szCs w:val="20"/>
        </w:rPr>
      </w:pPr>
    </w:p>
    <w:p w14:paraId="10570D34" w14:textId="3C4EF87A" w:rsidR="003D75A6" w:rsidRPr="000A5ED1" w:rsidRDefault="00FB4C38" w:rsidP="00A3554C">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hyperlink r:id="rId9" w:history="1">
        <w:r>
          <w:rPr>
            <w:rStyle w:val="Hyperlink"/>
            <w:rFonts w:ascii="Arial" w:hAnsi="Arial"/>
            <w:sz w:val="20"/>
            <w:szCs w:val="20"/>
          </w:rPr>
          <w:t>market survey</w:t>
        </w:r>
      </w:hyperlink>
      <w:r>
        <w:rPr>
          <w:rFonts w:ascii="Arial" w:hAnsi="Arial"/>
          <w:color w:val="000000" w:themeColor="text1"/>
          <w:sz w:val="20"/>
          <w:szCs w:val="20"/>
        </w:rPr>
        <w:t xml:space="preserve"> will soon be available and </w:t>
      </w:r>
      <w:proofErr w:type="gramStart"/>
      <w:r>
        <w:rPr>
          <w:rFonts w:ascii="Arial" w:hAnsi="Arial"/>
          <w:color w:val="000000" w:themeColor="text1"/>
          <w:sz w:val="20"/>
          <w:szCs w:val="20"/>
        </w:rPr>
        <w:t>can be downloaded</w:t>
      </w:r>
      <w:proofErr w:type="gramEnd"/>
      <w:r>
        <w:rPr>
          <w:rFonts w:ascii="Arial" w:hAnsi="Arial"/>
          <w:color w:val="000000" w:themeColor="text1"/>
          <w:sz w:val="20"/>
          <w:szCs w:val="20"/>
        </w:rPr>
        <w:t xml:space="preserve"> from our website.</w:t>
      </w:r>
    </w:p>
    <w:p w14:paraId="7C6DFBB0" w14:textId="77777777" w:rsidR="0047313D" w:rsidRPr="00A3554C" w:rsidRDefault="0047313D"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b/>
          <w:sz w:val="16"/>
          <w:szCs w:val="16"/>
        </w:rPr>
        <w:t>About Grossmann &amp; Berger</w:t>
      </w:r>
    </w:p>
    <w:p w14:paraId="3C7D58B9" w14:textId="76356385" w:rsidR="00F12C0D" w:rsidRPr="00583E25" w:rsidRDefault="00D34CCF" w:rsidP="00F12C0D">
      <w:pPr>
        <w:spacing w:after="0" w:line="360" w:lineRule="auto"/>
        <w:rPr>
          <w:rFonts w:ascii="Arial" w:hAnsi="Arial" w:cs="Arial"/>
          <w:snapToGrid w:val="0"/>
          <w:sz w:val="16"/>
          <w:szCs w:val="16"/>
        </w:rPr>
      </w:pPr>
      <w:hyperlink r:id="rId10" w:history="1">
        <w:r w:rsidR="00F12C0D">
          <w:rPr>
            <w:rStyle w:val="Hyperlink"/>
            <w:rFonts w:ascii="Arial" w:hAnsi="Arial"/>
            <w:snapToGrid w:val="0"/>
            <w:sz w:val="16"/>
            <w:szCs w:val="16"/>
          </w:rPr>
          <w:t>Grossmann &amp; Berger GmbH</w:t>
        </w:r>
      </w:hyperlink>
      <w:r w:rsidR="00F12C0D">
        <w:rPr>
          <w:rFonts w:ascii="Arial" w:hAnsi="Arial"/>
          <w:snapToGrid w:val="0"/>
          <w:sz w:val="16"/>
          <w:szCs w:val="16"/>
        </w:rPr>
        <w:t xml:space="preserve"> is one of the leading service providers for selling and letting commercial and residential properties in North Germany. Headquartered in Hamburg, the Company has a branch office in Berlin, a total of </w:t>
      </w:r>
      <w:proofErr w:type="gramStart"/>
      <w:r w:rsidR="00F12C0D">
        <w:rPr>
          <w:rFonts w:ascii="Arial" w:hAnsi="Arial"/>
          <w:snapToGrid w:val="0"/>
          <w:sz w:val="16"/>
          <w:szCs w:val="16"/>
        </w:rPr>
        <w:t>fourteen</w:t>
      </w:r>
      <w:proofErr w:type="gramEnd"/>
      <w:r w:rsidR="00F12C0D">
        <w:rPr>
          <w:rFonts w:ascii="Arial" w:hAnsi="Arial"/>
          <w:snapToGrid w:val="0"/>
          <w:sz w:val="16"/>
          <w:szCs w:val="16"/>
        </w:rPr>
        <w:t xml:space="preserve"> property shops</w:t>
      </w:r>
      <w:r w:rsidR="00D11649">
        <w:rPr>
          <w:rFonts w:ascii="Arial" w:hAnsi="Arial"/>
          <w:snapToGrid w:val="0"/>
          <w:sz w:val="16"/>
          <w:szCs w:val="16"/>
        </w:rPr>
        <w:t xml:space="preserve">, and </w:t>
      </w:r>
      <w:r w:rsidR="00F12C0D">
        <w:rPr>
          <w:rFonts w:ascii="Arial" w:hAnsi="Arial"/>
          <w:snapToGrid w:val="0"/>
          <w:sz w:val="16"/>
          <w:szCs w:val="16"/>
        </w:rPr>
        <w:t>over 190 employees who cover the entire North German market. With over 85 years of experience in the business, Grossmann &amp; Berger offers a complete package of real estate expertise.</w:t>
      </w:r>
    </w:p>
    <w:p w14:paraId="2FC18C52" w14:textId="77777777" w:rsidR="00F12C0D" w:rsidRPr="00583E25" w:rsidRDefault="00F12C0D" w:rsidP="00F12C0D">
      <w:pPr>
        <w:spacing w:after="0" w:line="360" w:lineRule="auto"/>
        <w:rPr>
          <w:rFonts w:ascii="Arial" w:hAnsi="Arial" w:cs="Arial"/>
          <w:snapToGrid w:val="0"/>
          <w:sz w:val="16"/>
          <w:szCs w:val="16"/>
        </w:rPr>
      </w:pPr>
    </w:p>
    <w:p w14:paraId="2F30FAD6" w14:textId="77777777" w:rsidR="00F12C0D" w:rsidRPr="00583E25" w:rsidRDefault="00F12C0D" w:rsidP="00F12C0D">
      <w:pPr>
        <w:spacing w:after="0" w:line="360" w:lineRule="auto"/>
        <w:rPr>
          <w:rFonts w:ascii="Arial" w:hAnsi="Arial" w:cs="Arial"/>
          <w:snapToGrid w:val="0"/>
          <w:sz w:val="16"/>
          <w:szCs w:val="16"/>
        </w:rPr>
      </w:pPr>
      <w:r>
        <w:rPr>
          <w:rFonts w:ascii="Arial" w:hAnsi="Arial"/>
          <w:sz w:val="16"/>
          <w:szCs w:val="16"/>
        </w:rPr>
        <w:t xml:space="preserve">Grossmann &amp; Berger is a member of the HASPA Group of Companies, which also includes Germany's largest savings bank, Hamburger </w:t>
      </w:r>
      <w:proofErr w:type="spellStart"/>
      <w:r>
        <w:rPr>
          <w:rFonts w:ascii="Arial" w:hAnsi="Arial"/>
          <w:sz w:val="16"/>
          <w:szCs w:val="16"/>
        </w:rPr>
        <w:t>Sparkasse</w:t>
      </w:r>
      <w:proofErr w:type="spellEnd"/>
      <w:r>
        <w:rPr>
          <w:rFonts w:ascii="Arial" w:hAnsi="Arial"/>
          <w:sz w:val="16"/>
          <w:szCs w:val="16"/>
        </w:rPr>
        <w:t xml:space="preserve"> (</w:t>
      </w:r>
      <w:proofErr w:type="spellStart"/>
      <w:r>
        <w:rPr>
          <w:rFonts w:ascii="Arial" w:hAnsi="Arial"/>
          <w:sz w:val="16"/>
          <w:szCs w:val="16"/>
        </w:rPr>
        <w:t>Haspa</w:t>
      </w:r>
      <w:proofErr w:type="spellEnd"/>
      <w:r>
        <w:rPr>
          <w:rFonts w:ascii="Arial" w:hAnsi="Arial"/>
          <w:sz w:val="16"/>
          <w:szCs w:val="16"/>
        </w:rPr>
        <w:t xml:space="preserve">). </w:t>
      </w:r>
      <w:proofErr w:type="gramStart"/>
      <w:r>
        <w:rPr>
          <w:rFonts w:ascii="Arial" w:hAnsi="Arial"/>
          <w:sz w:val="16"/>
          <w:szCs w:val="16"/>
        </w:rPr>
        <w:t>Moreover</w:t>
      </w:r>
      <w:proofErr w:type="gramEnd"/>
      <w:r>
        <w:rPr>
          <w:rFonts w:ascii="Arial" w:hAnsi="Arial"/>
          <w:sz w:val="16"/>
          <w:szCs w:val="16"/>
        </w:rPr>
        <w:t xml:space="preserve"> the Company is a founding member of the nation-wide commercial property network </w:t>
      </w:r>
      <w:hyperlink r:id="rId11" w:history="1">
        <w:r>
          <w:rPr>
            <w:rStyle w:val="Hyperlink"/>
            <w:rFonts w:ascii="Arial" w:hAnsi="Arial"/>
            <w:sz w:val="16"/>
            <w:szCs w:val="16"/>
          </w:rPr>
          <w:t>German Property Partners</w:t>
        </w:r>
      </w:hyperlink>
      <w:r>
        <w:rPr>
          <w:rFonts w:ascii="Arial" w:hAnsi="Arial"/>
          <w:sz w:val="16"/>
          <w:szCs w:val="16"/>
        </w:rPr>
        <w:t xml:space="preserve"> (GPP) and the working group of brokers associated with banks and building societies, </w:t>
      </w:r>
      <w:proofErr w:type="spellStart"/>
      <w:r>
        <w:rPr>
          <w:rFonts w:ascii="Arial" w:hAnsi="Arial"/>
          <w:sz w:val="16"/>
          <w:szCs w:val="16"/>
        </w:rPr>
        <w:t>Arbeitsgemeinschaft</w:t>
      </w:r>
      <w:proofErr w:type="spellEnd"/>
      <w:r>
        <w:rPr>
          <w:rFonts w:ascii="Arial" w:hAnsi="Arial"/>
          <w:sz w:val="16"/>
          <w:szCs w:val="16"/>
        </w:rPr>
        <w:t xml:space="preserve"> </w:t>
      </w:r>
      <w:proofErr w:type="spellStart"/>
      <w:r>
        <w:rPr>
          <w:rFonts w:ascii="Arial" w:hAnsi="Arial"/>
          <w:sz w:val="16"/>
          <w:szCs w:val="16"/>
        </w:rPr>
        <w:t>ImmobilienVermittler</w:t>
      </w:r>
      <w:proofErr w:type="spellEnd"/>
      <w:r>
        <w:rPr>
          <w:rFonts w:ascii="Arial" w:hAnsi="Arial"/>
          <w:sz w:val="16"/>
          <w:szCs w:val="16"/>
        </w:rPr>
        <w:t xml:space="preserve"> </w:t>
      </w:r>
      <w:proofErr w:type="spellStart"/>
      <w:r>
        <w:rPr>
          <w:rFonts w:ascii="Arial" w:hAnsi="Arial"/>
          <w:sz w:val="16"/>
          <w:szCs w:val="16"/>
        </w:rPr>
        <w:t>Banken</w:t>
      </w:r>
      <w:proofErr w:type="spellEnd"/>
      <w:r>
        <w:rPr>
          <w:rFonts w:ascii="Arial" w:hAnsi="Arial"/>
          <w:sz w:val="16"/>
          <w:szCs w:val="16"/>
        </w:rPr>
        <w:t xml:space="preserve"> </w:t>
      </w:r>
      <w:proofErr w:type="spellStart"/>
      <w:r>
        <w:rPr>
          <w:rFonts w:ascii="Arial" w:hAnsi="Arial"/>
          <w:sz w:val="16"/>
          <w:szCs w:val="16"/>
        </w:rPr>
        <w:t>Bausparkassen</w:t>
      </w:r>
      <w:proofErr w:type="spellEnd"/>
      <w:r>
        <w:rPr>
          <w:rFonts w:ascii="Arial" w:hAnsi="Arial"/>
          <w:sz w:val="16"/>
          <w:szCs w:val="16"/>
        </w:rPr>
        <w:t xml:space="preserve"> </w:t>
      </w:r>
      <w:proofErr w:type="spellStart"/>
      <w:r>
        <w:rPr>
          <w:rFonts w:ascii="Arial" w:hAnsi="Arial"/>
          <w:sz w:val="16"/>
          <w:szCs w:val="16"/>
        </w:rPr>
        <w:t>e.V</w:t>
      </w:r>
      <w:proofErr w:type="spellEnd"/>
      <w:r>
        <w:rPr>
          <w:rFonts w:ascii="Arial" w:hAnsi="Arial"/>
          <w:sz w:val="16"/>
          <w:szCs w:val="16"/>
        </w:rPr>
        <w:t>. (IVBB).</w:t>
      </w:r>
      <w:r>
        <w:rPr>
          <w:rFonts w:ascii="Arial" w:hAnsi="Arial"/>
          <w:snapToGrid w:val="0"/>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75EC6946" w:rsidR="00503D8C" w:rsidRPr="00503D8C" w:rsidRDefault="00F12C0D" w:rsidP="00F12C0D">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3" w:history="1">
        <w:bookmarkStart w:id="0" w:name="_GoBack"/>
        <w:bookmarkEnd w:id="0"/>
        <w:r>
          <w:rPr>
            <w:rStyle w:val="Hyperlink"/>
            <w:rFonts w:ascii="Arial" w:hAnsi="Arial"/>
            <w:sz w:val="16"/>
            <w:szCs w:val="16"/>
          </w:rPr>
          <w:t xml:space="preserve">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21BEC" w14:textId="77777777" w:rsidR="007653B1" w:rsidRDefault="007653B1">
      <w:r>
        <w:separator/>
      </w:r>
    </w:p>
  </w:endnote>
  <w:endnote w:type="continuationSeparator" w:id="0">
    <w:p w14:paraId="6531B94F" w14:textId="77777777" w:rsidR="007653B1" w:rsidRDefault="0076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90572C">
      <w:rPr>
        <w:rFonts w:ascii="Arial" w:hAnsi="Arial"/>
        <w:b/>
        <w:bCs/>
        <w:color w:val="918F90"/>
        <w:sz w:val="18"/>
        <w:szCs w:val="18"/>
        <w:lang w:val="de-DE"/>
      </w:rPr>
      <w:t xml:space="preserve">Grossmann &amp; Berger GmbH </w:t>
    </w:r>
    <w:r w:rsidRPr="0090572C">
      <w:rPr>
        <w:rFonts w:ascii="Arial" w:hAnsi="Arial"/>
        <w:color w:val="918F90"/>
        <w:sz w:val="18"/>
        <w:szCs w:val="18"/>
        <w:lang w:val="de-DE"/>
      </w:rPr>
      <w:t xml:space="preserve">| </w:t>
    </w:r>
    <w:proofErr w:type="spellStart"/>
    <w:r w:rsidRPr="0090572C">
      <w:rPr>
        <w:rFonts w:ascii="Arial" w:hAnsi="Arial"/>
        <w:color w:val="918F90"/>
        <w:sz w:val="18"/>
        <w:szCs w:val="18"/>
        <w:lang w:val="de-DE"/>
      </w:rPr>
      <w:t>Bleichenbrücke</w:t>
    </w:r>
    <w:proofErr w:type="spellEnd"/>
    <w:r w:rsidRPr="0090572C">
      <w:rPr>
        <w:rFonts w:ascii="Arial" w:hAnsi="Arial"/>
        <w:color w:val="918F90"/>
        <w:sz w:val="18"/>
        <w:szCs w:val="18"/>
        <w:lang w:val="de-DE"/>
      </w:rPr>
      <w:t xml:space="preserve"> 9 | D-20354 Hamburg | Tel. </w:t>
    </w:r>
    <w:r>
      <w:rPr>
        <w:rFonts w:ascii="Arial" w:hAnsi="Arial"/>
        <w:color w:val="918F90"/>
        <w:sz w:val="18"/>
        <w:szCs w:val="18"/>
      </w:rPr>
      <w:t>+49 (0)40/350 80 2-0 | www.grossmann-berger.de</w:t>
    </w:r>
  </w:p>
  <w:p w14:paraId="5440A7EF" w14:textId="1846C162"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D34CCF">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D34CCF">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581E" w14:textId="77777777" w:rsidR="007653B1" w:rsidRDefault="007653B1">
      <w:r>
        <w:separator/>
      </w:r>
    </w:p>
  </w:footnote>
  <w:footnote w:type="continuationSeparator" w:id="0">
    <w:p w14:paraId="7A1D8744" w14:textId="77777777" w:rsidR="007653B1" w:rsidRDefault="0076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59FE"/>
    <w:rsid w:val="00022F16"/>
    <w:rsid w:val="00023D78"/>
    <w:rsid w:val="00026DC2"/>
    <w:rsid w:val="0003075C"/>
    <w:rsid w:val="00032A2D"/>
    <w:rsid w:val="00037784"/>
    <w:rsid w:val="00041B84"/>
    <w:rsid w:val="0004323A"/>
    <w:rsid w:val="00060743"/>
    <w:rsid w:val="00066796"/>
    <w:rsid w:val="0007181C"/>
    <w:rsid w:val="000766D7"/>
    <w:rsid w:val="0007670A"/>
    <w:rsid w:val="00084B37"/>
    <w:rsid w:val="0009653E"/>
    <w:rsid w:val="00097786"/>
    <w:rsid w:val="000B1606"/>
    <w:rsid w:val="000B174E"/>
    <w:rsid w:val="000B3315"/>
    <w:rsid w:val="000C118E"/>
    <w:rsid w:val="000C770D"/>
    <w:rsid w:val="000D2874"/>
    <w:rsid w:val="000D3E9F"/>
    <w:rsid w:val="000E03F3"/>
    <w:rsid w:val="000E2A43"/>
    <w:rsid w:val="000E404B"/>
    <w:rsid w:val="000E7457"/>
    <w:rsid w:val="000E7BC7"/>
    <w:rsid w:val="000F7242"/>
    <w:rsid w:val="001029C4"/>
    <w:rsid w:val="00104638"/>
    <w:rsid w:val="0011486D"/>
    <w:rsid w:val="00121E33"/>
    <w:rsid w:val="00126550"/>
    <w:rsid w:val="00126D0B"/>
    <w:rsid w:val="001324D6"/>
    <w:rsid w:val="00135BD2"/>
    <w:rsid w:val="00135E09"/>
    <w:rsid w:val="0014445B"/>
    <w:rsid w:val="001522BE"/>
    <w:rsid w:val="00154825"/>
    <w:rsid w:val="00163A27"/>
    <w:rsid w:val="0016611C"/>
    <w:rsid w:val="0017364E"/>
    <w:rsid w:val="0017516B"/>
    <w:rsid w:val="00176F1D"/>
    <w:rsid w:val="0018068D"/>
    <w:rsid w:val="001A2ABE"/>
    <w:rsid w:val="001A360C"/>
    <w:rsid w:val="001C0250"/>
    <w:rsid w:val="001D14DA"/>
    <w:rsid w:val="001E6995"/>
    <w:rsid w:val="001F0339"/>
    <w:rsid w:val="001F1513"/>
    <w:rsid w:val="00205769"/>
    <w:rsid w:val="00210C50"/>
    <w:rsid w:val="00212FEC"/>
    <w:rsid w:val="002131BB"/>
    <w:rsid w:val="0022086D"/>
    <w:rsid w:val="00226296"/>
    <w:rsid w:val="00227E31"/>
    <w:rsid w:val="00230F81"/>
    <w:rsid w:val="00231F4E"/>
    <w:rsid w:val="002341EE"/>
    <w:rsid w:val="00237341"/>
    <w:rsid w:val="002432BE"/>
    <w:rsid w:val="00247C9A"/>
    <w:rsid w:val="00251D5F"/>
    <w:rsid w:val="00254C6F"/>
    <w:rsid w:val="00255679"/>
    <w:rsid w:val="00267258"/>
    <w:rsid w:val="0027266B"/>
    <w:rsid w:val="00281E80"/>
    <w:rsid w:val="002834B0"/>
    <w:rsid w:val="00283671"/>
    <w:rsid w:val="002837B6"/>
    <w:rsid w:val="00284A5D"/>
    <w:rsid w:val="00284E27"/>
    <w:rsid w:val="00294B7D"/>
    <w:rsid w:val="002A11A2"/>
    <w:rsid w:val="002A1973"/>
    <w:rsid w:val="002A32F5"/>
    <w:rsid w:val="002A382D"/>
    <w:rsid w:val="002B0DAB"/>
    <w:rsid w:val="002B14F6"/>
    <w:rsid w:val="002C055A"/>
    <w:rsid w:val="002C2392"/>
    <w:rsid w:val="002C60E4"/>
    <w:rsid w:val="002C7D6D"/>
    <w:rsid w:val="002D1C5C"/>
    <w:rsid w:val="002D1E20"/>
    <w:rsid w:val="002D525C"/>
    <w:rsid w:val="002D68BA"/>
    <w:rsid w:val="002E0757"/>
    <w:rsid w:val="002E4FA1"/>
    <w:rsid w:val="002E6860"/>
    <w:rsid w:val="002F0411"/>
    <w:rsid w:val="002F767E"/>
    <w:rsid w:val="00301264"/>
    <w:rsid w:val="0030699E"/>
    <w:rsid w:val="00312D28"/>
    <w:rsid w:val="00315D47"/>
    <w:rsid w:val="003246F0"/>
    <w:rsid w:val="00325E2A"/>
    <w:rsid w:val="003272F3"/>
    <w:rsid w:val="00337AAB"/>
    <w:rsid w:val="00345716"/>
    <w:rsid w:val="0034786C"/>
    <w:rsid w:val="003517C9"/>
    <w:rsid w:val="003579E5"/>
    <w:rsid w:val="00357EC4"/>
    <w:rsid w:val="00370000"/>
    <w:rsid w:val="00372924"/>
    <w:rsid w:val="00373507"/>
    <w:rsid w:val="00377771"/>
    <w:rsid w:val="0038230E"/>
    <w:rsid w:val="00382529"/>
    <w:rsid w:val="00397AD9"/>
    <w:rsid w:val="003A00C9"/>
    <w:rsid w:val="003A25A4"/>
    <w:rsid w:val="003B49E4"/>
    <w:rsid w:val="003B4CCF"/>
    <w:rsid w:val="003C57EB"/>
    <w:rsid w:val="003C6AB4"/>
    <w:rsid w:val="003D75A6"/>
    <w:rsid w:val="003E099F"/>
    <w:rsid w:val="003E167F"/>
    <w:rsid w:val="003E4DF9"/>
    <w:rsid w:val="003E631E"/>
    <w:rsid w:val="003E684D"/>
    <w:rsid w:val="003E6983"/>
    <w:rsid w:val="003F1FE3"/>
    <w:rsid w:val="003F3EBE"/>
    <w:rsid w:val="003F665D"/>
    <w:rsid w:val="0040086D"/>
    <w:rsid w:val="004017D8"/>
    <w:rsid w:val="00405188"/>
    <w:rsid w:val="00411E03"/>
    <w:rsid w:val="004123B1"/>
    <w:rsid w:val="00414EB4"/>
    <w:rsid w:val="00423634"/>
    <w:rsid w:val="004303A1"/>
    <w:rsid w:val="00440DC9"/>
    <w:rsid w:val="004506D2"/>
    <w:rsid w:val="00452892"/>
    <w:rsid w:val="00456F40"/>
    <w:rsid w:val="004609BD"/>
    <w:rsid w:val="004661EE"/>
    <w:rsid w:val="00466741"/>
    <w:rsid w:val="00470064"/>
    <w:rsid w:val="00470BCC"/>
    <w:rsid w:val="0047313D"/>
    <w:rsid w:val="00476156"/>
    <w:rsid w:val="00481938"/>
    <w:rsid w:val="004844BE"/>
    <w:rsid w:val="004A2BEA"/>
    <w:rsid w:val="004A3C64"/>
    <w:rsid w:val="004A5AEA"/>
    <w:rsid w:val="004A78AB"/>
    <w:rsid w:val="004A7FB6"/>
    <w:rsid w:val="004B2FDA"/>
    <w:rsid w:val="004B480A"/>
    <w:rsid w:val="004B509C"/>
    <w:rsid w:val="004B5D36"/>
    <w:rsid w:val="004C0CA2"/>
    <w:rsid w:val="004C3F08"/>
    <w:rsid w:val="004C638E"/>
    <w:rsid w:val="004D50C0"/>
    <w:rsid w:val="004D772A"/>
    <w:rsid w:val="004E339B"/>
    <w:rsid w:val="004E4273"/>
    <w:rsid w:val="004E4562"/>
    <w:rsid w:val="004E5E8F"/>
    <w:rsid w:val="004F077F"/>
    <w:rsid w:val="004F5914"/>
    <w:rsid w:val="005023DD"/>
    <w:rsid w:val="00503D8C"/>
    <w:rsid w:val="00522B84"/>
    <w:rsid w:val="00531A7F"/>
    <w:rsid w:val="00534BAD"/>
    <w:rsid w:val="005360E8"/>
    <w:rsid w:val="0053705C"/>
    <w:rsid w:val="005405CF"/>
    <w:rsid w:val="005428C5"/>
    <w:rsid w:val="00543C55"/>
    <w:rsid w:val="005507D3"/>
    <w:rsid w:val="0055393B"/>
    <w:rsid w:val="005554C7"/>
    <w:rsid w:val="00556F58"/>
    <w:rsid w:val="00557716"/>
    <w:rsid w:val="00560C86"/>
    <w:rsid w:val="00567D57"/>
    <w:rsid w:val="00575083"/>
    <w:rsid w:val="005768D5"/>
    <w:rsid w:val="00582B99"/>
    <w:rsid w:val="00590903"/>
    <w:rsid w:val="005A617A"/>
    <w:rsid w:val="005A7774"/>
    <w:rsid w:val="005B0FC9"/>
    <w:rsid w:val="005B623D"/>
    <w:rsid w:val="005B66D3"/>
    <w:rsid w:val="005C37D1"/>
    <w:rsid w:val="005C4556"/>
    <w:rsid w:val="005C5302"/>
    <w:rsid w:val="005D1DAB"/>
    <w:rsid w:val="005D307B"/>
    <w:rsid w:val="005D603E"/>
    <w:rsid w:val="005E1425"/>
    <w:rsid w:val="005E2ABB"/>
    <w:rsid w:val="005E3419"/>
    <w:rsid w:val="005E362E"/>
    <w:rsid w:val="005F1B2F"/>
    <w:rsid w:val="005F5C8E"/>
    <w:rsid w:val="005F7593"/>
    <w:rsid w:val="006029D7"/>
    <w:rsid w:val="00602CCA"/>
    <w:rsid w:val="0061109D"/>
    <w:rsid w:val="00612AA0"/>
    <w:rsid w:val="006138CB"/>
    <w:rsid w:val="006201E1"/>
    <w:rsid w:val="006224C4"/>
    <w:rsid w:val="006225EA"/>
    <w:rsid w:val="00623750"/>
    <w:rsid w:val="00625156"/>
    <w:rsid w:val="006261DF"/>
    <w:rsid w:val="00626680"/>
    <w:rsid w:val="00640CD0"/>
    <w:rsid w:val="00641270"/>
    <w:rsid w:val="00642074"/>
    <w:rsid w:val="00642409"/>
    <w:rsid w:val="006424F8"/>
    <w:rsid w:val="00644AED"/>
    <w:rsid w:val="006517DA"/>
    <w:rsid w:val="00652204"/>
    <w:rsid w:val="00655405"/>
    <w:rsid w:val="00656301"/>
    <w:rsid w:val="00663428"/>
    <w:rsid w:val="006640C4"/>
    <w:rsid w:val="00681CAB"/>
    <w:rsid w:val="006842EF"/>
    <w:rsid w:val="00695E58"/>
    <w:rsid w:val="0069757D"/>
    <w:rsid w:val="006977FA"/>
    <w:rsid w:val="006A1329"/>
    <w:rsid w:val="006A3FA5"/>
    <w:rsid w:val="006A66F9"/>
    <w:rsid w:val="006E5C9C"/>
    <w:rsid w:val="006E639E"/>
    <w:rsid w:val="006F1774"/>
    <w:rsid w:val="006F5757"/>
    <w:rsid w:val="006F6BF1"/>
    <w:rsid w:val="00711680"/>
    <w:rsid w:val="00717A20"/>
    <w:rsid w:val="00720DFF"/>
    <w:rsid w:val="007227E9"/>
    <w:rsid w:val="00730E23"/>
    <w:rsid w:val="007543F0"/>
    <w:rsid w:val="00762CC5"/>
    <w:rsid w:val="007653B1"/>
    <w:rsid w:val="00774D89"/>
    <w:rsid w:val="007906B4"/>
    <w:rsid w:val="007970A0"/>
    <w:rsid w:val="007B215B"/>
    <w:rsid w:val="007B4617"/>
    <w:rsid w:val="007D19A7"/>
    <w:rsid w:val="007D5CE6"/>
    <w:rsid w:val="007E6598"/>
    <w:rsid w:val="007E759D"/>
    <w:rsid w:val="007F2DBE"/>
    <w:rsid w:val="007F33B6"/>
    <w:rsid w:val="007F4E12"/>
    <w:rsid w:val="007F642D"/>
    <w:rsid w:val="007F756A"/>
    <w:rsid w:val="00812471"/>
    <w:rsid w:val="008261A5"/>
    <w:rsid w:val="0083382E"/>
    <w:rsid w:val="00836A75"/>
    <w:rsid w:val="0085083D"/>
    <w:rsid w:val="00855325"/>
    <w:rsid w:val="00862E34"/>
    <w:rsid w:val="00865915"/>
    <w:rsid w:val="00871832"/>
    <w:rsid w:val="00883F52"/>
    <w:rsid w:val="00886CCE"/>
    <w:rsid w:val="0089000C"/>
    <w:rsid w:val="008942C6"/>
    <w:rsid w:val="00896B33"/>
    <w:rsid w:val="008A62FB"/>
    <w:rsid w:val="008A77B7"/>
    <w:rsid w:val="008B0F67"/>
    <w:rsid w:val="008B2F6A"/>
    <w:rsid w:val="008C0E8F"/>
    <w:rsid w:val="008C608D"/>
    <w:rsid w:val="008E461D"/>
    <w:rsid w:val="008E6D4E"/>
    <w:rsid w:val="008F08E5"/>
    <w:rsid w:val="008F0EA4"/>
    <w:rsid w:val="008F38F6"/>
    <w:rsid w:val="008F5213"/>
    <w:rsid w:val="008F69E2"/>
    <w:rsid w:val="009000CF"/>
    <w:rsid w:val="009003ED"/>
    <w:rsid w:val="00904E1E"/>
    <w:rsid w:val="0090572C"/>
    <w:rsid w:val="0090748B"/>
    <w:rsid w:val="00916B97"/>
    <w:rsid w:val="00920C9C"/>
    <w:rsid w:val="00922754"/>
    <w:rsid w:val="00925781"/>
    <w:rsid w:val="009258D0"/>
    <w:rsid w:val="00926753"/>
    <w:rsid w:val="009275BE"/>
    <w:rsid w:val="00935AB3"/>
    <w:rsid w:val="0093659D"/>
    <w:rsid w:val="00962189"/>
    <w:rsid w:val="009646C4"/>
    <w:rsid w:val="009734CE"/>
    <w:rsid w:val="0098460C"/>
    <w:rsid w:val="00990251"/>
    <w:rsid w:val="00992B56"/>
    <w:rsid w:val="00996030"/>
    <w:rsid w:val="00996E1A"/>
    <w:rsid w:val="00997000"/>
    <w:rsid w:val="009B4392"/>
    <w:rsid w:val="009B7D09"/>
    <w:rsid w:val="009C14B3"/>
    <w:rsid w:val="009D24DA"/>
    <w:rsid w:val="009D5D75"/>
    <w:rsid w:val="009D7601"/>
    <w:rsid w:val="009E0C0B"/>
    <w:rsid w:val="009E349F"/>
    <w:rsid w:val="009F32A2"/>
    <w:rsid w:val="009F4C68"/>
    <w:rsid w:val="009F54CE"/>
    <w:rsid w:val="00A06264"/>
    <w:rsid w:val="00A128E3"/>
    <w:rsid w:val="00A1639A"/>
    <w:rsid w:val="00A215C9"/>
    <w:rsid w:val="00A30B7F"/>
    <w:rsid w:val="00A31351"/>
    <w:rsid w:val="00A32F0C"/>
    <w:rsid w:val="00A3554C"/>
    <w:rsid w:val="00A5364B"/>
    <w:rsid w:val="00A60999"/>
    <w:rsid w:val="00A615E0"/>
    <w:rsid w:val="00A65E2B"/>
    <w:rsid w:val="00A7200E"/>
    <w:rsid w:val="00A74AA0"/>
    <w:rsid w:val="00A7546D"/>
    <w:rsid w:val="00A77100"/>
    <w:rsid w:val="00A773B2"/>
    <w:rsid w:val="00A91138"/>
    <w:rsid w:val="00AA4D97"/>
    <w:rsid w:val="00AB1E81"/>
    <w:rsid w:val="00AD17B7"/>
    <w:rsid w:val="00AE33D7"/>
    <w:rsid w:val="00AF08D2"/>
    <w:rsid w:val="00B069C5"/>
    <w:rsid w:val="00B06D1B"/>
    <w:rsid w:val="00B077D5"/>
    <w:rsid w:val="00B16A78"/>
    <w:rsid w:val="00B200E4"/>
    <w:rsid w:val="00B26FFD"/>
    <w:rsid w:val="00B35AFE"/>
    <w:rsid w:val="00B35B6D"/>
    <w:rsid w:val="00B35DC6"/>
    <w:rsid w:val="00B3619D"/>
    <w:rsid w:val="00B4232D"/>
    <w:rsid w:val="00B51699"/>
    <w:rsid w:val="00B53FAF"/>
    <w:rsid w:val="00B63153"/>
    <w:rsid w:val="00B6527D"/>
    <w:rsid w:val="00B66C16"/>
    <w:rsid w:val="00B73B3A"/>
    <w:rsid w:val="00B74507"/>
    <w:rsid w:val="00B75718"/>
    <w:rsid w:val="00B75E7E"/>
    <w:rsid w:val="00B77EAB"/>
    <w:rsid w:val="00B90261"/>
    <w:rsid w:val="00B92FD0"/>
    <w:rsid w:val="00B93817"/>
    <w:rsid w:val="00B9682D"/>
    <w:rsid w:val="00B96FB1"/>
    <w:rsid w:val="00B97144"/>
    <w:rsid w:val="00BA0B96"/>
    <w:rsid w:val="00BB15DA"/>
    <w:rsid w:val="00BB2707"/>
    <w:rsid w:val="00BB340D"/>
    <w:rsid w:val="00BB438E"/>
    <w:rsid w:val="00BB658C"/>
    <w:rsid w:val="00BC1B54"/>
    <w:rsid w:val="00BC2A3A"/>
    <w:rsid w:val="00BC64EC"/>
    <w:rsid w:val="00BD073D"/>
    <w:rsid w:val="00BE4198"/>
    <w:rsid w:val="00BF3AFD"/>
    <w:rsid w:val="00C023E8"/>
    <w:rsid w:val="00C1438E"/>
    <w:rsid w:val="00C1606C"/>
    <w:rsid w:val="00C171C1"/>
    <w:rsid w:val="00C23180"/>
    <w:rsid w:val="00C41492"/>
    <w:rsid w:val="00C502EC"/>
    <w:rsid w:val="00C50874"/>
    <w:rsid w:val="00C51EB2"/>
    <w:rsid w:val="00C5466E"/>
    <w:rsid w:val="00C63201"/>
    <w:rsid w:val="00C67D85"/>
    <w:rsid w:val="00C702B5"/>
    <w:rsid w:val="00C70389"/>
    <w:rsid w:val="00C733F1"/>
    <w:rsid w:val="00C8495F"/>
    <w:rsid w:val="00C904B6"/>
    <w:rsid w:val="00C90A75"/>
    <w:rsid w:val="00C9231A"/>
    <w:rsid w:val="00C935BC"/>
    <w:rsid w:val="00C96DF4"/>
    <w:rsid w:val="00CA58B6"/>
    <w:rsid w:val="00CA6A66"/>
    <w:rsid w:val="00CC1337"/>
    <w:rsid w:val="00CC2514"/>
    <w:rsid w:val="00CC3E33"/>
    <w:rsid w:val="00CC48DF"/>
    <w:rsid w:val="00CD42E0"/>
    <w:rsid w:val="00CD4A91"/>
    <w:rsid w:val="00CD70E7"/>
    <w:rsid w:val="00CD7363"/>
    <w:rsid w:val="00CE0BB9"/>
    <w:rsid w:val="00CE0C1F"/>
    <w:rsid w:val="00CE455F"/>
    <w:rsid w:val="00CF0BF9"/>
    <w:rsid w:val="00CF2C0D"/>
    <w:rsid w:val="00CF5957"/>
    <w:rsid w:val="00D04BA2"/>
    <w:rsid w:val="00D077B0"/>
    <w:rsid w:val="00D11649"/>
    <w:rsid w:val="00D22D42"/>
    <w:rsid w:val="00D27B75"/>
    <w:rsid w:val="00D34CCF"/>
    <w:rsid w:val="00D36D8D"/>
    <w:rsid w:val="00D412A7"/>
    <w:rsid w:val="00D41EEF"/>
    <w:rsid w:val="00D45711"/>
    <w:rsid w:val="00D500FC"/>
    <w:rsid w:val="00D5144F"/>
    <w:rsid w:val="00D51597"/>
    <w:rsid w:val="00D5326E"/>
    <w:rsid w:val="00D55867"/>
    <w:rsid w:val="00D57F53"/>
    <w:rsid w:val="00D634A3"/>
    <w:rsid w:val="00D64145"/>
    <w:rsid w:val="00D702C8"/>
    <w:rsid w:val="00D72339"/>
    <w:rsid w:val="00D73E47"/>
    <w:rsid w:val="00D74ABB"/>
    <w:rsid w:val="00D83CB7"/>
    <w:rsid w:val="00D916E0"/>
    <w:rsid w:val="00D95394"/>
    <w:rsid w:val="00D97FA8"/>
    <w:rsid w:val="00DC7B25"/>
    <w:rsid w:val="00DD6B73"/>
    <w:rsid w:val="00DE23F8"/>
    <w:rsid w:val="00DE3897"/>
    <w:rsid w:val="00DE7CC2"/>
    <w:rsid w:val="00E05CF6"/>
    <w:rsid w:val="00E112C9"/>
    <w:rsid w:val="00E1314C"/>
    <w:rsid w:val="00E158F7"/>
    <w:rsid w:val="00E2087E"/>
    <w:rsid w:val="00E23DD5"/>
    <w:rsid w:val="00E2636D"/>
    <w:rsid w:val="00E34976"/>
    <w:rsid w:val="00E36818"/>
    <w:rsid w:val="00E36E5F"/>
    <w:rsid w:val="00E42887"/>
    <w:rsid w:val="00E47B97"/>
    <w:rsid w:val="00E5203C"/>
    <w:rsid w:val="00E634CC"/>
    <w:rsid w:val="00E67D78"/>
    <w:rsid w:val="00E82F0E"/>
    <w:rsid w:val="00E9556E"/>
    <w:rsid w:val="00E95F89"/>
    <w:rsid w:val="00E96065"/>
    <w:rsid w:val="00E96FAC"/>
    <w:rsid w:val="00EA129F"/>
    <w:rsid w:val="00EB7A31"/>
    <w:rsid w:val="00EB7C48"/>
    <w:rsid w:val="00ED0582"/>
    <w:rsid w:val="00ED7374"/>
    <w:rsid w:val="00EE2C4F"/>
    <w:rsid w:val="00EE31F6"/>
    <w:rsid w:val="00EE36DC"/>
    <w:rsid w:val="00EE77BB"/>
    <w:rsid w:val="00EE7B4E"/>
    <w:rsid w:val="00F00799"/>
    <w:rsid w:val="00F044EE"/>
    <w:rsid w:val="00F12C0D"/>
    <w:rsid w:val="00F135B3"/>
    <w:rsid w:val="00F3320B"/>
    <w:rsid w:val="00F4044F"/>
    <w:rsid w:val="00F40E92"/>
    <w:rsid w:val="00F41947"/>
    <w:rsid w:val="00F435AA"/>
    <w:rsid w:val="00F4603A"/>
    <w:rsid w:val="00F66FF2"/>
    <w:rsid w:val="00F75C84"/>
    <w:rsid w:val="00F76C6A"/>
    <w:rsid w:val="00F83BF1"/>
    <w:rsid w:val="00F90CB9"/>
    <w:rsid w:val="00F97373"/>
    <w:rsid w:val="00FA0254"/>
    <w:rsid w:val="00FA6854"/>
    <w:rsid w:val="00FB064F"/>
    <w:rsid w:val="00FB0F6B"/>
    <w:rsid w:val="00FB144F"/>
    <w:rsid w:val="00FB159A"/>
    <w:rsid w:val="00FB4C38"/>
    <w:rsid w:val="00FB4D77"/>
    <w:rsid w:val="00FC0A53"/>
    <w:rsid w:val="00FC497D"/>
    <w:rsid w:val="00FD076B"/>
    <w:rsid w:val="00FD160F"/>
    <w:rsid w:val="00FD41F3"/>
    <w:rsid w:val="00FE031D"/>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76BF7842-D587-4FA9-A271-B6330ED9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buero/"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A391-4444-4814-8299-C664EBF8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6</cp:revision>
  <cp:lastPrinted>2020-07-01T06:08:00Z</cp:lastPrinted>
  <dcterms:created xsi:type="dcterms:W3CDTF">2020-07-01T07:22:00Z</dcterms:created>
  <dcterms:modified xsi:type="dcterms:W3CDTF">2020-07-03T12:37:00Z</dcterms:modified>
</cp:coreProperties>
</file>