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D771" w14:textId="6F6EAE3B" w:rsidR="00D04BA2" w:rsidRPr="005D1DAB" w:rsidRDefault="007970A0" w:rsidP="000C770D">
      <w:pPr>
        <w:spacing w:after="0" w:line="360" w:lineRule="auto"/>
        <w:rPr>
          <w:rFonts w:ascii="Arial" w:hAnsi="Arial" w:cs="Arial"/>
          <w:b/>
          <w:sz w:val="28"/>
          <w:szCs w:val="28"/>
        </w:rPr>
      </w:pPr>
      <w:r w:rsidRPr="00470BCC">
        <w:rPr>
          <w:rFonts w:ascii="Arial" w:hAnsi="Arial" w:cs="Arial"/>
          <w:b/>
        </w:rPr>
        <w:t xml:space="preserve">Hamburg: </w:t>
      </w:r>
      <w:r w:rsidR="0018068D" w:rsidRPr="00470BCC">
        <w:rPr>
          <w:rFonts w:ascii="Arial" w:hAnsi="Arial" w:cs="Arial"/>
          <w:b/>
        </w:rPr>
        <w:t>Büro</w:t>
      </w:r>
      <w:r w:rsidR="00E2636D" w:rsidRPr="00470BCC">
        <w:rPr>
          <w:rFonts w:ascii="Arial" w:hAnsi="Arial" w:cs="Arial"/>
          <w:b/>
        </w:rPr>
        <w:t>vermietungs</w:t>
      </w:r>
      <w:r w:rsidR="002C055A" w:rsidRPr="00470BCC">
        <w:rPr>
          <w:rFonts w:ascii="Arial" w:hAnsi="Arial" w:cs="Arial"/>
          <w:b/>
        </w:rPr>
        <w:t xml:space="preserve">markt </w:t>
      </w:r>
      <w:r w:rsidR="00452892">
        <w:rPr>
          <w:rFonts w:ascii="Arial" w:hAnsi="Arial" w:cs="Arial"/>
          <w:b/>
        </w:rPr>
        <w:t>1</w:t>
      </w:r>
      <w:r w:rsidR="0089000C" w:rsidRPr="00470BCC">
        <w:rPr>
          <w:rFonts w:ascii="Arial" w:hAnsi="Arial" w:cs="Arial"/>
          <w:b/>
        </w:rPr>
        <w:t>. Quartal 20</w:t>
      </w:r>
      <w:r w:rsidR="00452892">
        <w:rPr>
          <w:rFonts w:ascii="Arial" w:hAnsi="Arial" w:cs="Arial"/>
          <w:b/>
        </w:rPr>
        <w:t>20</w:t>
      </w:r>
      <w:r w:rsidR="00470BCC">
        <w:rPr>
          <w:rFonts w:ascii="Arial" w:hAnsi="Arial" w:cs="Arial"/>
          <w:b/>
        </w:rPr>
        <w:br/>
      </w:r>
      <w:r w:rsidR="00602CCA">
        <w:rPr>
          <w:rFonts w:ascii="Arial" w:hAnsi="Arial" w:cs="Arial"/>
          <w:b/>
          <w:sz w:val="28"/>
          <w:szCs w:val="28"/>
        </w:rPr>
        <w:t>Mehr</w:t>
      </w:r>
      <w:r w:rsidR="000F7242">
        <w:rPr>
          <w:rFonts w:ascii="Arial" w:hAnsi="Arial" w:cs="Arial"/>
          <w:b/>
          <w:sz w:val="28"/>
          <w:szCs w:val="28"/>
        </w:rPr>
        <w:t xml:space="preserve"> </w:t>
      </w:r>
      <w:r w:rsidR="00210C50">
        <w:rPr>
          <w:rFonts w:ascii="Arial" w:hAnsi="Arial" w:cs="Arial"/>
          <w:b/>
          <w:sz w:val="28"/>
          <w:szCs w:val="28"/>
        </w:rPr>
        <w:t>Untermietflächen</w:t>
      </w:r>
      <w:r w:rsidR="00602CCA">
        <w:rPr>
          <w:rFonts w:ascii="Arial" w:hAnsi="Arial" w:cs="Arial"/>
          <w:b/>
          <w:sz w:val="28"/>
          <w:szCs w:val="28"/>
        </w:rPr>
        <w:t>, g</w:t>
      </w:r>
      <w:r w:rsidR="00210C50">
        <w:rPr>
          <w:rFonts w:ascii="Arial" w:hAnsi="Arial" w:cs="Arial"/>
          <w:b/>
          <w:sz w:val="28"/>
          <w:szCs w:val="28"/>
        </w:rPr>
        <w:t xml:space="preserve">roßzügigere </w:t>
      </w:r>
      <w:proofErr w:type="spellStart"/>
      <w:r w:rsidR="00210C50">
        <w:rPr>
          <w:rFonts w:ascii="Arial" w:hAnsi="Arial" w:cs="Arial"/>
          <w:b/>
          <w:sz w:val="28"/>
          <w:szCs w:val="28"/>
        </w:rPr>
        <w:t>Incentivepakete</w:t>
      </w:r>
      <w:proofErr w:type="spellEnd"/>
      <w:r w:rsidR="00210C50">
        <w:rPr>
          <w:rFonts w:ascii="Arial" w:hAnsi="Arial" w:cs="Arial"/>
          <w:b/>
          <w:sz w:val="28"/>
          <w:szCs w:val="28"/>
        </w:rPr>
        <w:t xml:space="preserve"> </w:t>
      </w:r>
    </w:p>
    <w:p w14:paraId="5DC3EAC5" w14:textId="77777777" w:rsidR="00590903" w:rsidRPr="0090748B" w:rsidRDefault="00590903" w:rsidP="00590903">
      <w:pPr>
        <w:spacing w:after="0" w:line="360" w:lineRule="auto"/>
        <w:jc w:val="both"/>
        <w:rPr>
          <w:rFonts w:ascii="Arial" w:hAnsi="Arial" w:cs="Arial"/>
          <w:b/>
          <w:sz w:val="20"/>
          <w:szCs w:val="20"/>
        </w:rPr>
      </w:pPr>
    </w:p>
    <w:p w14:paraId="2EB34212" w14:textId="3D039618" w:rsidR="00B90261" w:rsidRPr="00B90261" w:rsidRDefault="0089000C" w:rsidP="000F7242">
      <w:pPr>
        <w:spacing w:after="0" w:line="360" w:lineRule="auto"/>
        <w:rPr>
          <w:rFonts w:ascii="Arial" w:hAnsi="Arial" w:cs="Arial"/>
          <w:sz w:val="20"/>
          <w:szCs w:val="20"/>
        </w:rPr>
      </w:pPr>
      <w:r>
        <w:rPr>
          <w:rFonts w:ascii="Arial" w:hAnsi="Arial" w:cs="Arial"/>
          <w:b/>
          <w:sz w:val="20"/>
          <w:szCs w:val="20"/>
        </w:rPr>
        <w:t xml:space="preserve">Hamburg, </w:t>
      </w:r>
      <w:r w:rsidR="00E96065">
        <w:rPr>
          <w:rFonts w:ascii="Arial" w:hAnsi="Arial" w:cs="Arial"/>
          <w:b/>
          <w:sz w:val="20"/>
          <w:szCs w:val="20"/>
        </w:rPr>
        <w:t>1</w:t>
      </w:r>
      <w:r w:rsidR="002C055A" w:rsidRPr="00063A33">
        <w:rPr>
          <w:rFonts w:ascii="Arial" w:hAnsi="Arial" w:cs="Arial"/>
          <w:b/>
          <w:sz w:val="20"/>
          <w:szCs w:val="20"/>
        </w:rPr>
        <w:t xml:space="preserve">. </w:t>
      </w:r>
      <w:r w:rsidR="00E96065">
        <w:rPr>
          <w:rFonts w:ascii="Arial" w:hAnsi="Arial" w:cs="Arial"/>
          <w:b/>
          <w:sz w:val="20"/>
          <w:szCs w:val="20"/>
        </w:rPr>
        <w:t>April</w:t>
      </w:r>
      <w:r w:rsidR="00B77EAB">
        <w:rPr>
          <w:rFonts w:ascii="Arial" w:hAnsi="Arial" w:cs="Arial"/>
          <w:b/>
          <w:sz w:val="20"/>
          <w:szCs w:val="20"/>
        </w:rPr>
        <w:t xml:space="preserve"> </w:t>
      </w:r>
      <w:r w:rsidR="002C055A" w:rsidRPr="00063A33">
        <w:rPr>
          <w:rFonts w:ascii="Arial" w:hAnsi="Arial" w:cs="Arial"/>
          <w:b/>
          <w:sz w:val="20"/>
          <w:szCs w:val="20"/>
        </w:rPr>
        <w:t>20</w:t>
      </w:r>
      <w:r w:rsidR="007543F0">
        <w:rPr>
          <w:rFonts w:ascii="Arial" w:hAnsi="Arial" w:cs="Arial"/>
          <w:b/>
          <w:sz w:val="20"/>
          <w:szCs w:val="20"/>
        </w:rPr>
        <w:t>20</w:t>
      </w:r>
      <w:r w:rsidR="002C055A" w:rsidRPr="00063A33">
        <w:rPr>
          <w:rFonts w:ascii="Arial" w:hAnsi="Arial" w:cs="Arial"/>
          <w:b/>
          <w:sz w:val="20"/>
          <w:szCs w:val="20"/>
        </w:rPr>
        <w:t xml:space="preserve"> </w:t>
      </w:r>
      <w:r w:rsidR="00FB0F6B" w:rsidRPr="00084B37">
        <w:rPr>
          <w:rFonts w:ascii="Arial" w:hAnsi="Arial" w:cs="Arial"/>
          <w:sz w:val="20"/>
          <w:szCs w:val="20"/>
        </w:rPr>
        <w:t>–</w:t>
      </w:r>
      <w:r w:rsidR="00FB4C38">
        <w:rPr>
          <w:rFonts w:ascii="Arial" w:hAnsi="Arial" w:cs="Arial"/>
          <w:sz w:val="20"/>
          <w:szCs w:val="20"/>
        </w:rPr>
        <w:t xml:space="preserve"> </w:t>
      </w:r>
      <w:r w:rsidR="00711680" w:rsidRPr="00B90261">
        <w:rPr>
          <w:rFonts w:ascii="Arial" w:hAnsi="Arial" w:cs="Arial"/>
          <w:sz w:val="20"/>
          <w:szCs w:val="20"/>
        </w:rPr>
        <w:t xml:space="preserve">Obwohl die Auswirkungen der </w:t>
      </w:r>
      <w:r w:rsidR="005768D5">
        <w:rPr>
          <w:rFonts w:ascii="Arial" w:hAnsi="Arial" w:cs="Arial"/>
          <w:sz w:val="20"/>
          <w:szCs w:val="20"/>
        </w:rPr>
        <w:t>Corona-Pandemie</w:t>
      </w:r>
      <w:r w:rsidR="005768D5" w:rsidRPr="00B90261">
        <w:rPr>
          <w:rFonts w:ascii="Arial" w:hAnsi="Arial" w:cs="Arial"/>
          <w:sz w:val="20"/>
          <w:szCs w:val="20"/>
        </w:rPr>
        <w:t xml:space="preserve"> </w:t>
      </w:r>
      <w:r w:rsidR="00711680" w:rsidRPr="00B90261">
        <w:rPr>
          <w:rFonts w:ascii="Arial" w:hAnsi="Arial" w:cs="Arial"/>
          <w:sz w:val="20"/>
          <w:szCs w:val="20"/>
        </w:rPr>
        <w:t xml:space="preserve">für die Hamburger Wirtschaft im </w:t>
      </w:r>
      <w:r w:rsidR="005768D5">
        <w:rPr>
          <w:rFonts w:ascii="Arial" w:hAnsi="Arial" w:cs="Arial"/>
          <w:sz w:val="20"/>
          <w:szCs w:val="20"/>
        </w:rPr>
        <w:t>1.</w:t>
      </w:r>
      <w:r w:rsidR="005768D5" w:rsidRPr="00B90261">
        <w:rPr>
          <w:rFonts w:ascii="Arial" w:hAnsi="Arial" w:cs="Arial"/>
          <w:sz w:val="20"/>
          <w:szCs w:val="20"/>
        </w:rPr>
        <w:t xml:space="preserve"> </w:t>
      </w:r>
      <w:r w:rsidR="00711680" w:rsidRPr="00B90261">
        <w:rPr>
          <w:rFonts w:ascii="Arial" w:hAnsi="Arial" w:cs="Arial"/>
          <w:sz w:val="20"/>
          <w:szCs w:val="20"/>
        </w:rPr>
        <w:t xml:space="preserve">Jahresviertel noch nicht gänzlich spürbar waren, </w:t>
      </w:r>
      <w:r w:rsidR="005768D5">
        <w:rPr>
          <w:rFonts w:ascii="Arial" w:hAnsi="Arial" w:cs="Arial"/>
          <w:sz w:val="20"/>
          <w:szCs w:val="20"/>
        </w:rPr>
        <w:t>brach</w:t>
      </w:r>
      <w:r w:rsidR="005768D5" w:rsidRPr="00B90261">
        <w:rPr>
          <w:rFonts w:ascii="Arial" w:hAnsi="Arial" w:cs="Arial"/>
          <w:sz w:val="20"/>
          <w:szCs w:val="20"/>
        </w:rPr>
        <w:t xml:space="preserve"> </w:t>
      </w:r>
      <w:r w:rsidR="00711680" w:rsidRPr="00B90261">
        <w:rPr>
          <w:rFonts w:ascii="Arial" w:hAnsi="Arial" w:cs="Arial"/>
          <w:sz w:val="20"/>
          <w:szCs w:val="20"/>
        </w:rPr>
        <w:t xml:space="preserve">der </w:t>
      </w:r>
      <w:r w:rsidR="005768D5">
        <w:rPr>
          <w:rFonts w:ascii="Arial" w:hAnsi="Arial" w:cs="Arial"/>
          <w:sz w:val="20"/>
          <w:szCs w:val="20"/>
        </w:rPr>
        <w:t>Bürof</w:t>
      </w:r>
      <w:r w:rsidR="00711680" w:rsidRPr="00B90261">
        <w:rPr>
          <w:rFonts w:ascii="Arial" w:hAnsi="Arial" w:cs="Arial"/>
          <w:sz w:val="20"/>
          <w:szCs w:val="20"/>
        </w:rPr>
        <w:t xml:space="preserve">lächenumsatz </w:t>
      </w:r>
      <w:r w:rsidR="005768D5">
        <w:rPr>
          <w:rFonts w:ascii="Arial" w:hAnsi="Arial" w:cs="Arial"/>
          <w:sz w:val="20"/>
          <w:szCs w:val="20"/>
        </w:rPr>
        <w:t>in diesem Zeitraum</w:t>
      </w:r>
      <w:r w:rsidR="00711680" w:rsidRPr="00B90261">
        <w:rPr>
          <w:rFonts w:ascii="Arial" w:hAnsi="Arial" w:cs="Arial"/>
          <w:sz w:val="20"/>
          <w:szCs w:val="20"/>
        </w:rPr>
        <w:t xml:space="preserve"> </w:t>
      </w:r>
      <w:r w:rsidR="005768D5">
        <w:rPr>
          <w:rFonts w:ascii="Arial" w:hAnsi="Arial" w:cs="Arial"/>
          <w:sz w:val="20"/>
          <w:szCs w:val="20"/>
        </w:rPr>
        <w:t>um</w:t>
      </w:r>
      <w:r w:rsidR="00711680" w:rsidRPr="00B90261">
        <w:rPr>
          <w:rFonts w:ascii="Arial" w:hAnsi="Arial" w:cs="Arial"/>
          <w:sz w:val="20"/>
          <w:szCs w:val="20"/>
        </w:rPr>
        <w:t xml:space="preserve"> knapp 30 % </w:t>
      </w:r>
      <w:r w:rsidR="005768D5" w:rsidRPr="00B90261">
        <w:rPr>
          <w:rFonts w:ascii="Arial" w:hAnsi="Arial" w:cs="Arial"/>
          <w:sz w:val="20"/>
          <w:szCs w:val="20"/>
        </w:rPr>
        <w:t>gegenüber dem Vorjahr</w:t>
      </w:r>
      <w:r w:rsidR="00A31351">
        <w:rPr>
          <w:rFonts w:ascii="Arial" w:hAnsi="Arial" w:cs="Arial"/>
          <w:sz w:val="20"/>
          <w:szCs w:val="20"/>
        </w:rPr>
        <w:t>eszeitraum</w:t>
      </w:r>
      <w:r w:rsidR="005768D5" w:rsidRPr="00B90261">
        <w:rPr>
          <w:rFonts w:ascii="Arial" w:hAnsi="Arial" w:cs="Arial"/>
          <w:sz w:val="20"/>
          <w:szCs w:val="20"/>
        </w:rPr>
        <w:t xml:space="preserve"> </w:t>
      </w:r>
      <w:r w:rsidR="00711680" w:rsidRPr="00B90261">
        <w:rPr>
          <w:rFonts w:ascii="Arial" w:hAnsi="Arial" w:cs="Arial"/>
          <w:sz w:val="20"/>
          <w:szCs w:val="20"/>
        </w:rPr>
        <w:t xml:space="preserve">ein. </w:t>
      </w:r>
      <w:r w:rsidR="00210C50" w:rsidRPr="00B90261">
        <w:rPr>
          <w:rFonts w:ascii="Arial" w:hAnsi="Arial" w:cs="Arial"/>
          <w:sz w:val="20"/>
          <w:szCs w:val="20"/>
        </w:rPr>
        <w:t>Nach Analysen von Grossmann &amp; Berger, Mitglied von German Property Partners (GPP)</w:t>
      </w:r>
      <w:r w:rsidR="00E96065">
        <w:rPr>
          <w:rFonts w:ascii="Arial" w:hAnsi="Arial" w:cs="Arial"/>
          <w:sz w:val="20"/>
          <w:szCs w:val="20"/>
        </w:rPr>
        <w:t>,</w:t>
      </w:r>
      <w:r w:rsidR="00210C50" w:rsidRPr="00B90261">
        <w:rPr>
          <w:rFonts w:ascii="Arial" w:hAnsi="Arial" w:cs="Arial"/>
          <w:sz w:val="20"/>
          <w:szCs w:val="20"/>
        </w:rPr>
        <w:t xml:space="preserve"> belief sich der </w:t>
      </w:r>
      <w:r w:rsidR="00F4044F">
        <w:rPr>
          <w:rFonts w:ascii="Arial" w:hAnsi="Arial" w:cs="Arial"/>
          <w:sz w:val="20"/>
          <w:szCs w:val="20"/>
        </w:rPr>
        <w:t>F</w:t>
      </w:r>
      <w:r w:rsidR="00210C50" w:rsidRPr="00B90261">
        <w:rPr>
          <w:rFonts w:ascii="Arial" w:hAnsi="Arial" w:cs="Arial"/>
          <w:sz w:val="20"/>
          <w:szCs w:val="20"/>
        </w:rPr>
        <w:t xml:space="preserve">lächenumsatz </w:t>
      </w:r>
      <w:r w:rsidR="00B90261">
        <w:rPr>
          <w:rFonts w:ascii="Arial" w:hAnsi="Arial" w:cs="Arial"/>
          <w:sz w:val="20"/>
          <w:szCs w:val="20"/>
        </w:rPr>
        <w:t xml:space="preserve">im 1. Quartal </w:t>
      </w:r>
      <w:r w:rsidR="00210C50" w:rsidRPr="00B90261">
        <w:rPr>
          <w:rFonts w:ascii="Arial" w:hAnsi="Arial" w:cs="Arial"/>
          <w:sz w:val="20"/>
          <w:szCs w:val="20"/>
        </w:rPr>
        <w:t xml:space="preserve">auf 95.000 m². </w:t>
      </w:r>
      <w:r w:rsidR="00B90261">
        <w:rPr>
          <w:rFonts w:ascii="Arial" w:hAnsi="Arial" w:cs="Arial"/>
          <w:sz w:val="20"/>
          <w:szCs w:val="20"/>
        </w:rPr>
        <w:t xml:space="preserve">Das </w:t>
      </w:r>
      <w:r w:rsidR="005768D5">
        <w:rPr>
          <w:rFonts w:ascii="Arial" w:hAnsi="Arial" w:cs="Arial"/>
          <w:sz w:val="20"/>
          <w:szCs w:val="20"/>
        </w:rPr>
        <w:t>Geschehen auf dem Bürov</w:t>
      </w:r>
      <w:r w:rsidR="00B90261">
        <w:rPr>
          <w:rFonts w:ascii="Arial" w:hAnsi="Arial" w:cs="Arial"/>
          <w:sz w:val="20"/>
          <w:szCs w:val="20"/>
        </w:rPr>
        <w:t>ermietungs</w:t>
      </w:r>
      <w:r w:rsidR="005768D5">
        <w:rPr>
          <w:rFonts w:ascii="Arial" w:hAnsi="Arial" w:cs="Arial"/>
          <w:sz w:val="20"/>
          <w:szCs w:val="20"/>
        </w:rPr>
        <w:t xml:space="preserve">markt Hamburg </w:t>
      </w:r>
      <w:r w:rsidR="00A31351">
        <w:rPr>
          <w:rFonts w:ascii="Arial" w:hAnsi="Arial" w:cs="Arial"/>
          <w:sz w:val="20"/>
          <w:szCs w:val="20"/>
        </w:rPr>
        <w:t>in diesem Jahr</w:t>
      </w:r>
      <w:r w:rsidR="00B90261" w:rsidRPr="00B90261">
        <w:rPr>
          <w:rFonts w:ascii="Arial" w:hAnsi="Arial" w:cs="Arial"/>
          <w:sz w:val="20"/>
          <w:szCs w:val="20"/>
        </w:rPr>
        <w:t xml:space="preserve"> </w:t>
      </w:r>
      <w:r w:rsidR="00B90261">
        <w:rPr>
          <w:rFonts w:ascii="Arial" w:hAnsi="Arial" w:cs="Arial"/>
          <w:sz w:val="20"/>
          <w:szCs w:val="20"/>
        </w:rPr>
        <w:t xml:space="preserve">wird </w:t>
      </w:r>
      <w:r w:rsidR="00B90261" w:rsidRPr="00B90261">
        <w:rPr>
          <w:rFonts w:ascii="Arial" w:hAnsi="Arial" w:cs="Arial"/>
          <w:sz w:val="20"/>
          <w:szCs w:val="20"/>
        </w:rPr>
        <w:t>von der Corona-Krise und deren Folgen für die Wirtschaft</w:t>
      </w:r>
      <w:r w:rsidR="00B90261">
        <w:rPr>
          <w:rFonts w:ascii="Arial" w:hAnsi="Arial" w:cs="Arial"/>
          <w:sz w:val="20"/>
          <w:szCs w:val="20"/>
        </w:rPr>
        <w:t xml:space="preserve"> geprägt sein</w:t>
      </w:r>
      <w:r w:rsidR="00B90261" w:rsidRPr="00B90261">
        <w:rPr>
          <w:rFonts w:ascii="Arial" w:hAnsi="Arial" w:cs="Arial"/>
          <w:sz w:val="20"/>
          <w:szCs w:val="20"/>
        </w:rPr>
        <w:t>. Das Hinauszögern von Anmietungsentscheidungen wird die Marktdynamik erheblich verlangsam</w:t>
      </w:r>
      <w:r w:rsidR="005768D5">
        <w:rPr>
          <w:rFonts w:ascii="Arial" w:hAnsi="Arial" w:cs="Arial"/>
          <w:sz w:val="20"/>
          <w:szCs w:val="20"/>
        </w:rPr>
        <w:t>en</w:t>
      </w:r>
      <w:r w:rsidR="00B90261" w:rsidRPr="00B90261">
        <w:rPr>
          <w:rFonts w:ascii="Arial" w:hAnsi="Arial" w:cs="Arial"/>
          <w:sz w:val="20"/>
          <w:szCs w:val="20"/>
        </w:rPr>
        <w:t xml:space="preserve"> </w:t>
      </w:r>
      <w:r w:rsidR="005768D5">
        <w:rPr>
          <w:rFonts w:ascii="Arial" w:hAnsi="Arial" w:cs="Arial"/>
          <w:sz w:val="20"/>
          <w:szCs w:val="20"/>
        </w:rPr>
        <w:t xml:space="preserve">und sich </w:t>
      </w:r>
      <w:r w:rsidR="00B90261" w:rsidRPr="00B90261">
        <w:rPr>
          <w:rFonts w:ascii="Arial" w:hAnsi="Arial" w:cs="Arial"/>
          <w:sz w:val="20"/>
          <w:szCs w:val="20"/>
        </w:rPr>
        <w:t xml:space="preserve">entsprechend negativ </w:t>
      </w:r>
      <w:r w:rsidR="005768D5">
        <w:rPr>
          <w:rFonts w:ascii="Arial" w:hAnsi="Arial" w:cs="Arial"/>
          <w:sz w:val="20"/>
          <w:szCs w:val="20"/>
        </w:rPr>
        <w:t>auf</w:t>
      </w:r>
      <w:r w:rsidR="00B90261" w:rsidRPr="00B90261">
        <w:rPr>
          <w:rFonts w:ascii="Arial" w:hAnsi="Arial" w:cs="Arial"/>
          <w:sz w:val="20"/>
          <w:szCs w:val="20"/>
        </w:rPr>
        <w:t xml:space="preserve"> den </w:t>
      </w:r>
      <w:r w:rsidR="00B90261">
        <w:rPr>
          <w:rFonts w:ascii="Arial" w:hAnsi="Arial" w:cs="Arial"/>
          <w:sz w:val="20"/>
          <w:szCs w:val="20"/>
        </w:rPr>
        <w:t>Jahresflächenumsatz</w:t>
      </w:r>
      <w:r w:rsidR="005768D5">
        <w:rPr>
          <w:rFonts w:ascii="Arial" w:hAnsi="Arial" w:cs="Arial"/>
          <w:sz w:val="20"/>
          <w:szCs w:val="20"/>
        </w:rPr>
        <w:t xml:space="preserve"> in Hamburg auswirken</w:t>
      </w:r>
      <w:r w:rsidR="00B90261" w:rsidRPr="00B90261">
        <w:rPr>
          <w:rFonts w:ascii="Arial" w:hAnsi="Arial" w:cs="Arial"/>
          <w:sz w:val="20"/>
          <w:szCs w:val="20"/>
        </w:rPr>
        <w:t xml:space="preserve">. Durch besonnenes Handeln der Politik besteht </w:t>
      </w:r>
      <w:r w:rsidR="00B90261">
        <w:rPr>
          <w:rFonts w:ascii="Arial" w:hAnsi="Arial" w:cs="Arial"/>
          <w:sz w:val="20"/>
          <w:szCs w:val="20"/>
        </w:rPr>
        <w:t xml:space="preserve">jedoch </w:t>
      </w:r>
      <w:r w:rsidR="00B90261" w:rsidRPr="00B90261">
        <w:rPr>
          <w:rFonts w:ascii="Arial" w:hAnsi="Arial" w:cs="Arial"/>
          <w:sz w:val="20"/>
          <w:szCs w:val="20"/>
        </w:rPr>
        <w:t>die Hoffnung auf eine Belebung des Marktes zum Jahresende.</w:t>
      </w:r>
      <w:r w:rsidR="00B90261">
        <w:rPr>
          <w:rFonts w:ascii="Arial" w:hAnsi="Arial" w:cs="Arial"/>
          <w:sz w:val="20"/>
          <w:szCs w:val="20"/>
        </w:rPr>
        <w:t xml:space="preserve"> Zudem wird sich</w:t>
      </w:r>
      <w:r w:rsidR="000F7242">
        <w:rPr>
          <w:rFonts w:ascii="Arial" w:hAnsi="Arial" w:cs="Arial"/>
          <w:sz w:val="20"/>
          <w:szCs w:val="20"/>
        </w:rPr>
        <w:t xml:space="preserve"> </w:t>
      </w:r>
      <w:r w:rsidR="00A31351">
        <w:rPr>
          <w:rFonts w:ascii="Arial" w:hAnsi="Arial" w:cs="Arial"/>
          <w:sz w:val="20"/>
          <w:szCs w:val="20"/>
        </w:rPr>
        <w:t>der starke Anstieg der Büromieten</w:t>
      </w:r>
      <w:r w:rsidR="00B90261" w:rsidRPr="000F7242">
        <w:rPr>
          <w:rFonts w:ascii="Arial" w:hAnsi="Arial" w:cs="Arial"/>
          <w:sz w:val="20"/>
          <w:szCs w:val="20"/>
        </w:rPr>
        <w:t xml:space="preserve"> </w:t>
      </w:r>
      <w:r w:rsidR="00602CCA">
        <w:rPr>
          <w:rFonts w:ascii="Arial" w:hAnsi="Arial" w:cs="Arial"/>
          <w:sz w:val="20"/>
          <w:szCs w:val="20"/>
        </w:rPr>
        <w:t xml:space="preserve">der </w:t>
      </w:r>
      <w:r w:rsidR="000F7242">
        <w:rPr>
          <w:rFonts w:ascii="Arial" w:hAnsi="Arial" w:cs="Arial"/>
          <w:sz w:val="20"/>
          <w:szCs w:val="20"/>
        </w:rPr>
        <w:t>vergangenen</w:t>
      </w:r>
      <w:r w:rsidR="00655405">
        <w:rPr>
          <w:rFonts w:ascii="Arial" w:hAnsi="Arial" w:cs="Arial"/>
          <w:sz w:val="20"/>
          <w:szCs w:val="20"/>
        </w:rPr>
        <w:t xml:space="preserve"> Monate</w:t>
      </w:r>
      <w:r w:rsidR="00B90261" w:rsidRPr="000F7242">
        <w:rPr>
          <w:rFonts w:ascii="Arial" w:hAnsi="Arial" w:cs="Arial"/>
          <w:sz w:val="20"/>
          <w:szCs w:val="20"/>
        </w:rPr>
        <w:t xml:space="preserve"> abschwächen</w:t>
      </w:r>
      <w:r w:rsidR="000F7242" w:rsidRPr="000F7242">
        <w:rPr>
          <w:rFonts w:ascii="Arial" w:hAnsi="Arial" w:cs="Arial"/>
          <w:sz w:val="20"/>
          <w:szCs w:val="20"/>
        </w:rPr>
        <w:t>.</w:t>
      </w:r>
      <w:r w:rsidR="000F7242">
        <w:rPr>
          <w:rFonts w:ascii="Arial" w:hAnsi="Arial" w:cs="Arial"/>
          <w:i/>
          <w:sz w:val="20"/>
          <w:szCs w:val="20"/>
        </w:rPr>
        <w:t xml:space="preserve"> „D</w:t>
      </w:r>
      <w:r w:rsidR="00B90261" w:rsidRPr="00711680">
        <w:rPr>
          <w:rFonts w:ascii="Arial" w:hAnsi="Arial" w:cs="Arial"/>
          <w:i/>
          <w:sz w:val="20"/>
          <w:szCs w:val="20"/>
        </w:rPr>
        <w:t>a</w:t>
      </w:r>
      <w:r w:rsidR="000F7242">
        <w:rPr>
          <w:rFonts w:ascii="Arial" w:hAnsi="Arial" w:cs="Arial"/>
          <w:i/>
          <w:sz w:val="20"/>
          <w:szCs w:val="20"/>
        </w:rPr>
        <w:t>s</w:t>
      </w:r>
      <w:r w:rsidR="00B90261" w:rsidRPr="00711680">
        <w:rPr>
          <w:rFonts w:ascii="Arial" w:hAnsi="Arial" w:cs="Arial"/>
          <w:i/>
          <w:sz w:val="20"/>
          <w:szCs w:val="20"/>
        </w:rPr>
        <w:t xml:space="preserve"> Flächenangebot </w:t>
      </w:r>
      <w:r w:rsidR="000F7242">
        <w:rPr>
          <w:rFonts w:ascii="Arial" w:hAnsi="Arial" w:cs="Arial"/>
          <w:i/>
          <w:sz w:val="20"/>
          <w:szCs w:val="20"/>
        </w:rPr>
        <w:t xml:space="preserve">wird sich </w:t>
      </w:r>
      <w:r w:rsidR="00B90261" w:rsidRPr="00711680">
        <w:rPr>
          <w:rFonts w:ascii="Arial" w:hAnsi="Arial" w:cs="Arial"/>
          <w:i/>
          <w:sz w:val="20"/>
          <w:szCs w:val="20"/>
        </w:rPr>
        <w:t>als Folge der Corona-Krise spürbar</w:t>
      </w:r>
      <w:r w:rsidR="000F7242">
        <w:rPr>
          <w:rFonts w:ascii="Arial" w:hAnsi="Arial" w:cs="Arial"/>
          <w:i/>
          <w:sz w:val="20"/>
          <w:szCs w:val="20"/>
        </w:rPr>
        <w:t xml:space="preserve"> erhöhen</w:t>
      </w:r>
      <w:bookmarkStart w:id="0" w:name="_GoBack"/>
      <w:bookmarkEnd w:id="0"/>
      <w:r w:rsidR="00B90261" w:rsidRPr="00711680">
        <w:rPr>
          <w:rFonts w:ascii="Arial" w:hAnsi="Arial" w:cs="Arial"/>
          <w:i/>
          <w:sz w:val="20"/>
          <w:szCs w:val="20"/>
        </w:rPr>
        <w:t xml:space="preserve">. Nutzer werden insbesondere </w:t>
      </w:r>
      <w:r w:rsidR="0053705C">
        <w:rPr>
          <w:rFonts w:ascii="Arial" w:hAnsi="Arial" w:cs="Arial"/>
          <w:i/>
          <w:sz w:val="20"/>
          <w:szCs w:val="20"/>
        </w:rPr>
        <w:t>bei</w:t>
      </w:r>
      <w:r w:rsidR="00B90261" w:rsidRPr="00711680">
        <w:rPr>
          <w:rFonts w:ascii="Arial" w:hAnsi="Arial" w:cs="Arial"/>
          <w:i/>
          <w:sz w:val="20"/>
          <w:szCs w:val="20"/>
        </w:rPr>
        <w:t xml:space="preserve"> Untermietfläch</w:t>
      </w:r>
      <w:r w:rsidR="00CE0BB9">
        <w:rPr>
          <w:rFonts w:ascii="Arial" w:hAnsi="Arial" w:cs="Arial"/>
          <w:i/>
          <w:sz w:val="20"/>
          <w:szCs w:val="20"/>
        </w:rPr>
        <w:t>en künftig mehr Optionen haben. Zudem dürften d</w:t>
      </w:r>
      <w:r w:rsidR="00A31351">
        <w:rPr>
          <w:rFonts w:ascii="Arial" w:hAnsi="Arial" w:cs="Arial"/>
          <w:i/>
          <w:sz w:val="20"/>
          <w:szCs w:val="20"/>
        </w:rPr>
        <w:t>ie</w:t>
      </w:r>
      <w:r w:rsidR="00B90261" w:rsidRPr="00711680">
        <w:rPr>
          <w:rFonts w:ascii="Arial" w:hAnsi="Arial" w:cs="Arial"/>
          <w:i/>
          <w:sz w:val="20"/>
          <w:szCs w:val="20"/>
        </w:rPr>
        <w:t xml:space="preserve"> Nominalmieten</w:t>
      </w:r>
      <w:r w:rsidR="00A31351">
        <w:rPr>
          <w:rFonts w:ascii="Arial" w:hAnsi="Arial" w:cs="Arial"/>
          <w:i/>
          <w:sz w:val="20"/>
          <w:szCs w:val="20"/>
        </w:rPr>
        <w:t xml:space="preserve"> tendenziell stagnieren</w:t>
      </w:r>
      <w:r w:rsidR="00B90261" w:rsidRPr="00711680">
        <w:rPr>
          <w:rFonts w:ascii="Arial" w:hAnsi="Arial" w:cs="Arial"/>
          <w:i/>
          <w:sz w:val="20"/>
          <w:szCs w:val="20"/>
        </w:rPr>
        <w:t xml:space="preserve">, während die </w:t>
      </w:r>
      <w:proofErr w:type="spellStart"/>
      <w:r w:rsidR="00B90261" w:rsidRPr="00711680">
        <w:rPr>
          <w:rFonts w:ascii="Arial" w:hAnsi="Arial" w:cs="Arial"/>
          <w:i/>
          <w:sz w:val="20"/>
          <w:szCs w:val="20"/>
        </w:rPr>
        <w:t>Incentivepakete</w:t>
      </w:r>
      <w:proofErr w:type="spellEnd"/>
      <w:r w:rsidR="00B90261" w:rsidRPr="00711680">
        <w:rPr>
          <w:rFonts w:ascii="Arial" w:hAnsi="Arial" w:cs="Arial"/>
          <w:i/>
          <w:sz w:val="20"/>
          <w:szCs w:val="20"/>
        </w:rPr>
        <w:t xml:space="preserve"> großzügiger </w:t>
      </w:r>
      <w:r w:rsidR="005507D3">
        <w:rPr>
          <w:rFonts w:ascii="Arial" w:hAnsi="Arial" w:cs="Arial"/>
          <w:i/>
          <w:sz w:val="20"/>
          <w:szCs w:val="20"/>
        </w:rPr>
        <w:t>ausfallen</w:t>
      </w:r>
      <w:r w:rsidR="00B90261" w:rsidRPr="00711680">
        <w:rPr>
          <w:rFonts w:ascii="Arial" w:hAnsi="Arial" w:cs="Arial"/>
          <w:i/>
          <w:sz w:val="20"/>
          <w:szCs w:val="20"/>
        </w:rPr>
        <w:t>"</w:t>
      </w:r>
      <w:r w:rsidR="00B90261" w:rsidRPr="00711680">
        <w:t xml:space="preserve">, </w:t>
      </w:r>
      <w:r w:rsidR="00B90261" w:rsidRPr="00711680">
        <w:rPr>
          <w:rFonts w:ascii="Arial" w:hAnsi="Arial" w:cs="Arial"/>
          <w:sz w:val="20"/>
          <w:szCs w:val="20"/>
        </w:rPr>
        <w:t>schätzt</w:t>
      </w:r>
      <w:r w:rsidR="00B90261" w:rsidRPr="00711680">
        <w:t xml:space="preserve"> </w:t>
      </w:r>
      <w:r w:rsidR="00B90261" w:rsidRPr="00711680">
        <w:rPr>
          <w:rFonts w:ascii="Arial" w:hAnsi="Arial" w:cs="Arial"/>
          <w:sz w:val="20"/>
          <w:szCs w:val="20"/>
        </w:rPr>
        <w:t xml:space="preserve">Geschäftsführer </w:t>
      </w:r>
      <w:r w:rsidR="00B90261" w:rsidRPr="00711680">
        <w:rPr>
          <w:rStyle w:val="Fett"/>
          <w:rFonts w:ascii="Arial" w:hAnsi="Arial" w:cs="Arial"/>
          <w:sz w:val="20"/>
          <w:szCs w:val="20"/>
        </w:rPr>
        <w:t>Andreas Rehberg</w:t>
      </w:r>
      <w:r w:rsidR="00B90261" w:rsidRPr="00711680">
        <w:rPr>
          <w:rFonts w:ascii="Arial" w:hAnsi="Arial" w:cs="Arial"/>
          <w:sz w:val="20"/>
          <w:szCs w:val="20"/>
        </w:rPr>
        <w:t xml:space="preserve"> die </w:t>
      </w:r>
      <w:r w:rsidR="002633D2">
        <w:rPr>
          <w:rFonts w:ascii="Arial" w:hAnsi="Arial" w:cs="Arial"/>
          <w:sz w:val="20"/>
          <w:szCs w:val="20"/>
        </w:rPr>
        <w:t>Entwicklung der Büromieten</w:t>
      </w:r>
      <w:r w:rsidR="00B90261" w:rsidRPr="00711680">
        <w:rPr>
          <w:rFonts w:ascii="Arial" w:hAnsi="Arial" w:cs="Arial"/>
          <w:sz w:val="20"/>
          <w:szCs w:val="20"/>
        </w:rPr>
        <w:t xml:space="preserve"> ein.</w:t>
      </w:r>
      <w:r w:rsidR="00B90261">
        <w:rPr>
          <w:rFonts w:ascii="Arial" w:hAnsi="Arial" w:cs="Arial"/>
          <w:sz w:val="20"/>
          <w:szCs w:val="20"/>
        </w:rPr>
        <w:t xml:space="preserve"> </w:t>
      </w:r>
    </w:p>
    <w:p w14:paraId="1CE4666C" w14:textId="77777777"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sidRPr="006F5757">
        <w:rPr>
          <w:rFonts w:ascii="Arial" w:hAnsi="Arial" w:cs="Arial"/>
          <w:b/>
          <w:sz w:val="20"/>
          <w:szCs w:val="20"/>
        </w:rPr>
        <w:t xml:space="preserve">Markt im Detail: </w:t>
      </w:r>
    </w:p>
    <w:p w14:paraId="20339070" w14:textId="295470B5" w:rsidR="00397AD9" w:rsidRDefault="00026DC2">
      <w:pPr>
        <w:pStyle w:val="Listenabsatz"/>
        <w:numPr>
          <w:ilvl w:val="0"/>
          <w:numId w:val="16"/>
        </w:numPr>
        <w:spacing w:after="0" w:line="360" w:lineRule="auto"/>
        <w:ind w:left="426"/>
        <w:textAlignment w:val="baseline"/>
        <w:rPr>
          <w:rFonts w:ascii="Arial" w:hAnsi="Arial" w:cs="Arial"/>
          <w:sz w:val="20"/>
          <w:szCs w:val="20"/>
        </w:rPr>
      </w:pPr>
      <w:r>
        <w:rPr>
          <w:rFonts w:ascii="Arial" w:hAnsi="Arial" w:cs="Arial"/>
          <w:sz w:val="20"/>
          <w:szCs w:val="20"/>
        </w:rPr>
        <w:t>Gegenüber dem 1. Quartal 201</w:t>
      </w:r>
      <w:r w:rsidR="00AB1E81">
        <w:rPr>
          <w:rFonts w:ascii="Arial" w:hAnsi="Arial" w:cs="Arial"/>
          <w:sz w:val="20"/>
          <w:szCs w:val="20"/>
        </w:rPr>
        <w:t xml:space="preserve">9 </w:t>
      </w:r>
      <w:r>
        <w:rPr>
          <w:rFonts w:ascii="Arial" w:hAnsi="Arial" w:cs="Arial"/>
          <w:sz w:val="20"/>
          <w:szCs w:val="20"/>
        </w:rPr>
        <w:t xml:space="preserve">mit vier </w:t>
      </w:r>
      <w:r w:rsidR="00210C50" w:rsidRPr="00711680">
        <w:rPr>
          <w:rFonts w:ascii="Arial" w:hAnsi="Arial" w:cs="Arial"/>
          <w:sz w:val="20"/>
          <w:szCs w:val="20"/>
        </w:rPr>
        <w:t xml:space="preserve">Großabschlüssen </w:t>
      </w:r>
      <w:r>
        <w:rPr>
          <w:rFonts w:ascii="Arial" w:hAnsi="Arial" w:cs="Arial"/>
          <w:sz w:val="20"/>
          <w:szCs w:val="20"/>
        </w:rPr>
        <w:t xml:space="preserve">über </w:t>
      </w:r>
      <w:r w:rsidRPr="00711680">
        <w:rPr>
          <w:rFonts w:ascii="Arial" w:hAnsi="Arial" w:cs="Arial"/>
          <w:sz w:val="20"/>
          <w:szCs w:val="20"/>
        </w:rPr>
        <w:t>5.000 m²</w:t>
      </w:r>
      <w:r>
        <w:rPr>
          <w:rFonts w:ascii="Arial" w:hAnsi="Arial" w:cs="Arial"/>
          <w:sz w:val="20"/>
          <w:szCs w:val="20"/>
        </w:rPr>
        <w:t xml:space="preserve"> halbierte sich die Anzahl der </w:t>
      </w:r>
      <w:r w:rsidR="00210C50">
        <w:rPr>
          <w:rFonts w:ascii="Arial" w:hAnsi="Arial" w:cs="Arial"/>
          <w:sz w:val="20"/>
          <w:szCs w:val="20"/>
        </w:rPr>
        <w:t>Verträge</w:t>
      </w:r>
      <w:r>
        <w:rPr>
          <w:rFonts w:ascii="Arial" w:hAnsi="Arial" w:cs="Arial"/>
          <w:sz w:val="20"/>
          <w:szCs w:val="20"/>
        </w:rPr>
        <w:t xml:space="preserve"> in diesem Segment</w:t>
      </w:r>
      <w:r w:rsidR="00E9556E">
        <w:rPr>
          <w:rFonts w:ascii="Arial" w:hAnsi="Arial" w:cs="Arial"/>
          <w:sz w:val="20"/>
          <w:szCs w:val="20"/>
        </w:rPr>
        <w:t xml:space="preserve"> (siehe Tabelle)</w:t>
      </w:r>
      <w:r w:rsidR="00210C50" w:rsidRPr="00711680">
        <w:rPr>
          <w:rFonts w:ascii="Arial" w:hAnsi="Arial" w:cs="Arial"/>
          <w:sz w:val="20"/>
          <w:szCs w:val="20"/>
        </w:rPr>
        <w:t>.</w:t>
      </w:r>
      <w:r>
        <w:rPr>
          <w:rFonts w:ascii="Arial" w:hAnsi="Arial" w:cs="Arial"/>
          <w:sz w:val="20"/>
          <w:szCs w:val="20"/>
        </w:rPr>
        <w:t xml:space="preserve"> Der höchste Anteil am Büroflächenumsatz entfiel mit rund 33 % auf das Flächensegment 1.000 bis 2.000 m².</w:t>
      </w:r>
    </w:p>
    <w:p w14:paraId="39D556FB" w14:textId="1CB756E8" w:rsidR="000F7242" w:rsidRDefault="00210C50" w:rsidP="000F7242">
      <w:pPr>
        <w:pStyle w:val="Listenabsatz"/>
        <w:numPr>
          <w:ilvl w:val="0"/>
          <w:numId w:val="16"/>
        </w:numPr>
        <w:spacing w:after="0" w:line="360" w:lineRule="auto"/>
        <w:ind w:left="426"/>
        <w:textAlignment w:val="baseline"/>
        <w:rPr>
          <w:rFonts w:ascii="Arial" w:hAnsi="Arial" w:cs="Arial"/>
          <w:sz w:val="20"/>
          <w:szCs w:val="20"/>
        </w:rPr>
      </w:pPr>
      <w:r w:rsidRPr="00210C50">
        <w:rPr>
          <w:rFonts w:ascii="Arial" w:hAnsi="Arial" w:cs="Arial"/>
          <w:sz w:val="20"/>
          <w:szCs w:val="20"/>
        </w:rPr>
        <w:t xml:space="preserve">Im </w:t>
      </w:r>
      <w:r w:rsidR="00026DC2">
        <w:rPr>
          <w:rFonts w:ascii="Arial" w:hAnsi="Arial" w:cs="Arial"/>
          <w:sz w:val="20"/>
          <w:szCs w:val="20"/>
        </w:rPr>
        <w:t>1.</w:t>
      </w:r>
      <w:r w:rsidR="00026DC2" w:rsidRPr="00210C50">
        <w:rPr>
          <w:rFonts w:ascii="Arial" w:hAnsi="Arial" w:cs="Arial"/>
          <w:sz w:val="20"/>
          <w:szCs w:val="20"/>
        </w:rPr>
        <w:t xml:space="preserve"> </w:t>
      </w:r>
      <w:r w:rsidRPr="00210C50">
        <w:rPr>
          <w:rFonts w:ascii="Arial" w:hAnsi="Arial" w:cs="Arial"/>
          <w:sz w:val="20"/>
          <w:szCs w:val="20"/>
        </w:rPr>
        <w:t>Quartal stabilisierte sich die Durchschnittsmiete gegenüber dem Vorquartal bei 17,70 €/m²</w:t>
      </w:r>
      <w:r w:rsidR="008C0E8F">
        <w:rPr>
          <w:rFonts w:ascii="Arial" w:hAnsi="Arial" w:cs="Arial"/>
          <w:sz w:val="20"/>
          <w:szCs w:val="20"/>
        </w:rPr>
        <w:t>/Monat. M</w:t>
      </w:r>
      <w:r w:rsidRPr="00210C50">
        <w:rPr>
          <w:rFonts w:ascii="Arial" w:hAnsi="Arial" w:cs="Arial"/>
          <w:sz w:val="20"/>
          <w:szCs w:val="20"/>
        </w:rPr>
        <w:t>it 30,00 €/m²</w:t>
      </w:r>
      <w:r w:rsidR="008C0E8F">
        <w:rPr>
          <w:rFonts w:ascii="Arial" w:hAnsi="Arial" w:cs="Arial"/>
          <w:sz w:val="20"/>
          <w:szCs w:val="20"/>
        </w:rPr>
        <w:t xml:space="preserve">/Monat legte die </w:t>
      </w:r>
      <w:r w:rsidR="008C0E8F" w:rsidRPr="00210C50">
        <w:rPr>
          <w:rFonts w:ascii="Arial" w:hAnsi="Arial" w:cs="Arial"/>
          <w:sz w:val="20"/>
          <w:szCs w:val="20"/>
        </w:rPr>
        <w:t>Spitzenm</w:t>
      </w:r>
      <w:r w:rsidR="008C0E8F">
        <w:rPr>
          <w:rFonts w:ascii="Arial" w:hAnsi="Arial" w:cs="Arial"/>
          <w:sz w:val="20"/>
          <w:szCs w:val="20"/>
        </w:rPr>
        <w:t xml:space="preserve">iete bei einem Anstieg um 7,1 % </w:t>
      </w:r>
      <w:r w:rsidRPr="00210C50">
        <w:rPr>
          <w:rFonts w:ascii="Arial" w:hAnsi="Arial" w:cs="Arial"/>
          <w:sz w:val="20"/>
          <w:szCs w:val="20"/>
        </w:rPr>
        <w:t xml:space="preserve">einen neuen </w:t>
      </w:r>
      <w:r w:rsidR="00026DC2">
        <w:rPr>
          <w:rFonts w:ascii="Arial" w:hAnsi="Arial" w:cs="Arial"/>
          <w:sz w:val="20"/>
          <w:szCs w:val="20"/>
        </w:rPr>
        <w:t>Maximal</w:t>
      </w:r>
      <w:r w:rsidRPr="00210C50">
        <w:rPr>
          <w:rFonts w:ascii="Arial" w:hAnsi="Arial" w:cs="Arial"/>
          <w:sz w:val="20"/>
          <w:szCs w:val="20"/>
        </w:rPr>
        <w:t>wert</w:t>
      </w:r>
      <w:r w:rsidR="008C0E8F">
        <w:rPr>
          <w:rFonts w:ascii="Arial" w:hAnsi="Arial" w:cs="Arial"/>
          <w:sz w:val="20"/>
          <w:szCs w:val="20"/>
        </w:rPr>
        <w:t xml:space="preserve"> vor</w:t>
      </w:r>
      <w:r w:rsidRPr="00210C50">
        <w:rPr>
          <w:rFonts w:ascii="Arial" w:hAnsi="Arial" w:cs="Arial"/>
          <w:sz w:val="20"/>
          <w:szCs w:val="20"/>
        </w:rPr>
        <w:t>.</w:t>
      </w:r>
      <w:r w:rsidR="00C9231A">
        <w:rPr>
          <w:rFonts w:ascii="Arial" w:hAnsi="Arial" w:cs="Arial"/>
          <w:sz w:val="20"/>
          <w:szCs w:val="20"/>
        </w:rPr>
        <w:t xml:space="preserve"> Durch die bis zum Corona-</w:t>
      </w:r>
      <w:proofErr w:type="spellStart"/>
      <w:r w:rsidR="00C9231A">
        <w:rPr>
          <w:rFonts w:ascii="Arial" w:hAnsi="Arial" w:cs="Arial"/>
          <w:sz w:val="20"/>
          <w:szCs w:val="20"/>
        </w:rPr>
        <w:t>Shutdown</w:t>
      </w:r>
      <w:proofErr w:type="spellEnd"/>
      <w:r w:rsidR="00C9231A">
        <w:rPr>
          <w:rFonts w:ascii="Arial" w:hAnsi="Arial" w:cs="Arial"/>
          <w:sz w:val="20"/>
          <w:szCs w:val="20"/>
        </w:rPr>
        <w:t xml:space="preserve"> vorherrschende Flächenknappheit akzeptierten viele Unternehmen für Neubauten oder neuwertige Objekte in besten Lagen Höchstmieten.</w:t>
      </w:r>
    </w:p>
    <w:p w14:paraId="13B44F2F" w14:textId="509552FA" w:rsidR="00210C50" w:rsidRPr="000F7242" w:rsidRDefault="00EE2C4F" w:rsidP="000F7242">
      <w:pPr>
        <w:pStyle w:val="Listenabsatz"/>
        <w:numPr>
          <w:ilvl w:val="0"/>
          <w:numId w:val="16"/>
        </w:numPr>
        <w:spacing w:after="0" w:line="360" w:lineRule="auto"/>
        <w:ind w:left="426"/>
        <w:textAlignment w:val="baseline"/>
        <w:rPr>
          <w:rFonts w:ascii="Arial" w:hAnsi="Arial" w:cs="Arial"/>
          <w:sz w:val="20"/>
          <w:szCs w:val="20"/>
        </w:rPr>
      </w:pPr>
      <w:r>
        <w:rPr>
          <w:rFonts w:ascii="Arial" w:hAnsi="Arial" w:cs="Arial"/>
          <w:sz w:val="20"/>
          <w:szCs w:val="20"/>
        </w:rPr>
        <w:t>Das Bürof</w:t>
      </w:r>
      <w:r w:rsidR="000F7242" w:rsidRPr="000F7242">
        <w:rPr>
          <w:rFonts w:ascii="Arial" w:hAnsi="Arial" w:cs="Arial"/>
          <w:sz w:val="20"/>
          <w:szCs w:val="20"/>
        </w:rPr>
        <w:t xml:space="preserve">lächenangebot nahm </w:t>
      </w:r>
      <w:r w:rsidR="000F7242">
        <w:rPr>
          <w:rFonts w:ascii="Arial" w:hAnsi="Arial" w:cs="Arial"/>
          <w:sz w:val="20"/>
          <w:szCs w:val="20"/>
        </w:rPr>
        <w:t>im Vorjahresvergleich</w:t>
      </w:r>
      <w:r w:rsidR="000F7242" w:rsidRPr="000F7242">
        <w:rPr>
          <w:rFonts w:ascii="Arial" w:hAnsi="Arial" w:cs="Arial"/>
          <w:sz w:val="20"/>
          <w:szCs w:val="20"/>
        </w:rPr>
        <w:t xml:space="preserve"> </w:t>
      </w:r>
      <w:r w:rsidR="008C0E8F">
        <w:rPr>
          <w:rFonts w:ascii="Arial" w:hAnsi="Arial" w:cs="Arial"/>
          <w:sz w:val="20"/>
          <w:szCs w:val="20"/>
        </w:rPr>
        <w:t xml:space="preserve">um 6,3 % </w:t>
      </w:r>
      <w:r w:rsidR="000F7242" w:rsidRPr="000F7242">
        <w:rPr>
          <w:rFonts w:ascii="Arial" w:hAnsi="Arial" w:cs="Arial"/>
          <w:sz w:val="20"/>
          <w:szCs w:val="20"/>
        </w:rPr>
        <w:t>weiter ab</w:t>
      </w:r>
      <w:r w:rsidR="008C0E8F">
        <w:rPr>
          <w:rFonts w:ascii="Arial" w:hAnsi="Arial" w:cs="Arial"/>
          <w:sz w:val="20"/>
          <w:szCs w:val="20"/>
        </w:rPr>
        <w:t xml:space="preserve">. </w:t>
      </w:r>
      <w:r w:rsidR="00652204">
        <w:rPr>
          <w:rFonts w:ascii="Arial" w:hAnsi="Arial" w:cs="Arial"/>
          <w:sz w:val="20"/>
          <w:szCs w:val="20"/>
        </w:rPr>
        <w:t>G</w:t>
      </w:r>
      <w:r w:rsidR="000F7242" w:rsidRPr="000F7242">
        <w:rPr>
          <w:rFonts w:ascii="Arial" w:hAnsi="Arial" w:cs="Arial"/>
          <w:sz w:val="20"/>
          <w:szCs w:val="20"/>
        </w:rPr>
        <w:t xml:space="preserve">egenüber dem Vorquartal </w:t>
      </w:r>
      <w:r w:rsidR="00652204">
        <w:rPr>
          <w:rFonts w:ascii="Arial" w:hAnsi="Arial" w:cs="Arial"/>
          <w:sz w:val="20"/>
          <w:szCs w:val="20"/>
        </w:rPr>
        <w:t xml:space="preserve">kletterte die </w:t>
      </w:r>
      <w:proofErr w:type="spellStart"/>
      <w:r w:rsidR="000F7242" w:rsidRPr="000F7242">
        <w:rPr>
          <w:rFonts w:ascii="Arial" w:hAnsi="Arial" w:cs="Arial"/>
          <w:sz w:val="20"/>
          <w:szCs w:val="20"/>
        </w:rPr>
        <w:t>Leerstandsquote</w:t>
      </w:r>
      <w:proofErr w:type="spellEnd"/>
      <w:r w:rsidR="000F7242" w:rsidRPr="000F7242">
        <w:rPr>
          <w:rFonts w:ascii="Arial" w:hAnsi="Arial" w:cs="Arial"/>
          <w:sz w:val="20"/>
          <w:szCs w:val="20"/>
        </w:rPr>
        <w:t xml:space="preserve"> </w:t>
      </w:r>
      <w:r w:rsidR="00652204">
        <w:rPr>
          <w:rFonts w:ascii="Arial" w:hAnsi="Arial" w:cs="Arial"/>
          <w:sz w:val="20"/>
          <w:szCs w:val="20"/>
        </w:rPr>
        <w:t xml:space="preserve">inklusive Untermietflächen jedoch </w:t>
      </w:r>
      <w:r w:rsidR="000F7242" w:rsidRPr="000F7242">
        <w:rPr>
          <w:rFonts w:ascii="Arial" w:hAnsi="Arial" w:cs="Arial"/>
          <w:sz w:val="20"/>
          <w:szCs w:val="20"/>
        </w:rPr>
        <w:t>von 2,9 auf 3,0 %.</w:t>
      </w:r>
    </w:p>
    <w:p w14:paraId="76B67BCC" w14:textId="52F47674" w:rsidR="00C171C1" w:rsidRPr="008E6D4E" w:rsidRDefault="00C171C1" w:rsidP="008E6D4E">
      <w:pPr>
        <w:spacing w:after="0" w:line="360" w:lineRule="auto"/>
        <w:ind w:left="66"/>
        <w:textAlignment w:val="baseline"/>
        <w:rPr>
          <w:rFonts w:ascii="Arial" w:hAnsi="Arial" w:cs="Arial"/>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67331307" w:rsidR="00126D0B" w:rsidRPr="000E7BC7" w:rsidRDefault="00126D0B" w:rsidP="006640C4">
            <w:pPr>
              <w:widowControl w:val="0"/>
              <w:spacing w:after="0"/>
              <w:rPr>
                <w:rFonts w:ascii="Arial" w:hAnsi="Arial" w:cs="Arial"/>
                <w:b/>
                <w:sz w:val="18"/>
                <w:szCs w:val="16"/>
                <w:lang w:val="en-US"/>
              </w:rPr>
            </w:pPr>
            <w:proofErr w:type="spellStart"/>
            <w:r w:rsidRPr="000E7BC7">
              <w:rPr>
                <w:rFonts w:ascii="Arial" w:hAnsi="Arial" w:cs="Arial"/>
                <w:b/>
                <w:sz w:val="18"/>
                <w:szCs w:val="20"/>
                <w:lang w:val="en-US"/>
              </w:rPr>
              <w:t>Büromarkt</w:t>
            </w:r>
            <w:proofErr w:type="spellEnd"/>
            <w:r w:rsidRPr="000E7BC7">
              <w:rPr>
                <w:rFonts w:ascii="Arial" w:hAnsi="Arial" w:cs="Arial"/>
                <w:b/>
                <w:sz w:val="18"/>
                <w:szCs w:val="20"/>
                <w:lang w:val="en-US"/>
              </w:rPr>
              <w:t xml:space="preserve"> </w:t>
            </w:r>
            <w:r w:rsidR="00C171C1">
              <w:rPr>
                <w:rFonts w:ascii="Arial" w:hAnsi="Arial" w:cs="Arial"/>
                <w:b/>
                <w:sz w:val="18"/>
                <w:szCs w:val="20"/>
                <w:lang w:val="en-US"/>
              </w:rPr>
              <w:t xml:space="preserve">| </w:t>
            </w:r>
            <w:r w:rsidRPr="000E7BC7">
              <w:rPr>
                <w:rFonts w:ascii="Arial" w:hAnsi="Arial" w:cs="Arial"/>
                <w:b/>
                <w:sz w:val="18"/>
                <w:szCs w:val="20"/>
                <w:lang w:val="en-US"/>
              </w:rPr>
              <w:t>Hamburg</w:t>
            </w:r>
            <w:r w:rsidR="00C171C1">
              <w:rPr>
                <w:rFonts w:ascii="Arial" w:hAnsi="Arial" w:cs="Arial"/>
                <w:b/>
                <w:sz w:val="18"/>
                <w:szCs w:val="20"/>
                <w:lang w:val="en-US"/>
              </w:rPr>
              <w:t xml:space="preserve"> | 20</w:t>
            </w:r>
            <w:r w:rsidR="006640C4">
              <w:rPr>
                <w:rFonts w:ascii="Arial" w:hAnsi="Arial" w:cs="Arial"/>
                <w:b/>
                <w:sz w:val="18"/>
                <w:szCs w:val="20"/>
                <w:lang w:val="en-US"/>
              </w:rPr>
              <w:t>20</w:t>
            </w:r>
          </w:p>
        </w:tc>
        <w:tc>
          <w:tcPr>
            <w:tcW w:w="1144" w:type="pct"/>
            <w:shd w:val="clear" w:color="auto" w:fill="1F242B" w:themeFill="accent2"/>
            <w:vAlign w:val="center"/>
          </w:tcPr>
          <w:p w14:paraId="481F2F5D" w14:textId="3BF38B42" w:rsidR="00126D0B" w:rsidRPr="000E7BC7" w:rsidRDefault="00625156" w:rsidP="006640C4">
            <w:pPr>
              <w:widowControl w:val="0"/>
              <w:spacing w:after="0"/>
              <w:jc w:val="center"/>
              <w:rPr>
                <w:rFonts w:ascii="Arial" w:hAnsi="Arial" w:cs="Arial"/>
                <w:b/>
                <w:sz w:val="18"/>
                <w:szCs w:val="16"/>
                <w:lang w:val="en-US"/>
              </w:rPr>
            </w:pPr>
            <w:r>
              <w:rPr>
                <w:rFonts w:ascii="Arial" w:hAnsi="Arial" w:cs="Arial"/>
                <w:b/>
                <w:sz w:val="18"/>
                <w:szCs w:val="16"/>
                <w:lang w:val="en-US"/>
              </w:rPr>
              <w:t>Q</w:t>
            </w:r>
            <w:r w:rsidR="005E2ABB">
              <w:rPr>
                <w:rFonts w:ascii="Arial" w:hAnsi="Arial" w:cs="Arial"/>
                <w:b/>
                <w:sz w:val="18"/>
                <w:szCs w:val="16"/>
                <w:lang w:val="en-US"/>
              </w:rPr>
              <w:t>1</w:t>
            </w:r>
          </w:p>
        </w:tc>
      </w:tr>
      <w:tr w:rsidR="00126D0B" w:rsidRPr="00F952F7" w14:paraId="77867528" w14:textId="77777777" w:rsidTr="00A3554C">
        <w:trPr>
          <w:trHeight w:val="283"/>
        </w:trPr>
        <w:tc>
          <w:tcPr>
            <w:tcW w:w="3856" w:type="pct"/>
            <w:vAlign w:val="center"/>
          </w:tcPr>
          <w:p w14:paraId="265D46DB" w14:textId="77777777" w:rsidR="00126D0B" w:rsidRPr="000E7BC7" w:rsidRDefault="00126D0B" w:rsidP="00465B0E">
            <w:pPr>
              <w:widowControl w:val="0"/>
              <w:spacing w:before="60" w:after="60"/>
              <w:rPr>
                <w:rFonts w:ascii="Arial" w:hAnsi="Arial" w:cs="Arial"/>
                <w:b/>
                <w:sz w:val="18"/>
                <w:szCs w:val="16"/>
              </w:rPr>
            </w:pPr>
            <w:proofErr w:type="spellStart"/>
            <w:r w:rsidRPr="000E7BC7">
              <w:rPr>
                <w:rFonts w:ascii="Arial" w:hAnsi="Arial" w:cs="Arial"/>
                <w:b/>
                <w:sz w:val="18"/>
                <w:szCs w:val="16"/>
                <w:lang w:val="en-US"/>
              </w:rPr>
              <w:t>Flächenum</w:t>
            </w:r>
            <w:r w:rsidRPr="000E7BC7">
              <w:rPr>
                <w:rFonts w:ascii="Arial" w:hAnsi="Arial" w:cs="Arial"/>
                <w:b/>
                <w:sz w:val="18"/>
                <w:szCs w:val="16"/>
              </w:rPr>
              <w:t>satz</w:t>
            </w:r>
            <w:proofErr w:type="spellEnd"/>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63741640" w14:textId="59AA7F94" w:rsidR="00126D0B" w:rsidRPr="000E7BC7" w:rsidRDefault="006640C4" w:rsidP="007543F0">
            <w:pPr>
              <w:spacing w:after="0"/>
              <w:jc w:val="right"/>
              <w:rPr>
                <w:rFonts w:ascii="Arial" w:hAnsi="Arial" w:cs="Arial"/>
                <w:sz w:val="18"/>
                <w:szCs w:val="16"/>
              </w:rPr>
            </w:pPr>
            <w:r>
              <w:rPr>
                <w:rFonts w:ascii="Arial" w:hAnsi="Arial" w:cs="Arial"/>
                <w:sz w:val="18"/>
                <w:szCs w:val="16"/>
              </w:rPr>
              <w:t>95</w:t>
            </w:r>
            <w:r w:rsidR="00010109">
              <w:rPr>
                <w:rFonts w:ascii="Arial" w:hAnsi="Arial" w:cs="Arial"/>
                <w:sz w:val="18"/>
                <w:szCs w:val="16"/>
              </w:rPr>
              <w:t>.000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27D64227" w14:textId="6CB1CEFA" w:rsidR="00126D0B" w:rsidRPr="000E7BC7" w:rsidRDefault="007543F0" w:rsidP="006640C4">
            <w:pPr>
              <w:spacing w:after="0"/>
              <w:jc w:val="right"/>
              <w:rPr>
                <w:rFonts w:ascii="Arial" w:hAnsi="Arial" w:cs="Arial"/>
                <w:sz w:val="18"/>
                <w:szCs w:val="16"/>
              </w:rPr>
            </w:pPr>
            <w:r>
              <w:rPr>
                <w:rFonts w:ascii="Arial" w:hAnsi="Arial" w:cs="Arial"/>
                <w:sz w:val="18"/>
                <w:szCs w:val="16"/>
              </w:rPr>
              <w:t>-</w:t>
            </w:r>
            <w:r w:rsidR="006640C4">
              <w:rPr>
                <w:rFonts w:ascii="Arial" w:hAnsi="Arial" w:cs="Arial"/>
                <w:sz w:val="18"/>
                <w:szCs w:val="16"/>
              </w:rPr>
              <w:t>29</w:t>
            </w:r>
            <w:r w:rsidR="00010109">
              <w:rPr>
                <w:rFonts w:ascii="Arial" w:hAnsi="Arial" w:cs="Arial"/>
                <w:sz w:val="18"/>
                <w:szCs w:val="16"/>
              </w:rPr>
              <w:t>,</w:t>
            </w:r>
            <w:r>
              <w:rPr>
                <w:rFonts w:ascii="Arial" w:hAnsi="Arial" w:cs="Arial"/>
                <w:sz w:val="18"/>
                <w:szCs w:val="16"/>
              </w:rPr>
              <w:t>6</w:t>
            </w:r>
          </w:p>
        </w:tc>
      </w:tr>
      <w:tr w:rsidR="00126D0B" w:rsidRPr="00F952F7" w14:paraId="18A78594" w14:textId="77777777" w:rsidTr="00A3554C">
        <w:trPr>
          <w:trHeight w:val="283"/>
        </w:trPr>
        <w:tc>
          <w:tcPr>
            <w:tcW w:w="3856" w:type="pct"/>
            <w:vAlign w:val="center"/>
          </w:tcPr>
          <w:p w14:paraId="6954B01F" w14:textId="77777777"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Spitzenmiete</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€/m²/Monat</w:t>
            </w:r>
            <w:r>
              <w:rPr>
                <w:rFonts w:ascii="Arial" w:hAnsi="Arial" w:cs="Arial"/>
                <w:sz w:val="18"/>
                <w:szCs w:val="16"/>
              </w:rPr>
              <w:t xml:space="preserve"> nettokalt]</w:t>
            </w:r>
          </w:p>
        </w:tc>
        <w:tc>
          <w:tcPr>
            <w:tcW w:w="1144" w:type="pct"/>
            <w:vAlign w:val="center"/>
          </w:tcPr>
          <w:p w14:paraId="70F596CF" w14:textId="68C214B5" w:rsidR="00126D0B" w:rsidRPr="000E7BC7" w:rsidRDefault="006640C4"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30,00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6830C292" w14:textId="596C9A51" w:rsidR="00126D0B" w:rsidRPr="000E7BC7" w:rsidRDefault="00010109" w:rsidP="007543F0">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7543F0">
              <w:rPr>
                <w:rFonts w:ascii="Arial" w:hAnsi="Arial" w:cs="Arial"/>
                <w:color w:val="000000" w:themeColor="text1"/>
                <w:sz w:val="18"/>
                <w:szCs w:val="16"/>
              </w:rPr>
              <w:t>7</w:t>
            </w:r>
            <w:r>
              <w:rPr>
                <w:rFonts w:ascii="Arial" w:hAnsi="Arial" w:cs="Arial"/>
                <w:color w:val="000000" w:themeColor="text1"/>
                <w:sz w:val="18"/>
                <w:szCs w:val="16"/>
              </w:rPr>
              <w:t>,</w:t>
            </w:r>
            <w:r w:rsidR="006640C4">
              <w:rPr>
                <w:rFonts w:ascii="Arial" w:hAnsi="Arial" w:cs="Arial"/>
                <w:color w:val="000000" w:themeColor="text1"/>
                <w:sz w:val="18"/>
                <w:szCs w:val="16"/>
              </w:rPr>
              <w:t>1</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sidRPr="000E7BC7">
              <w:rPr>
                <w:rFonts w:ascii="Arial" w:hAnsi="Arial" w:cs="Arial"/>
                <w:b/>
                <w:sz w:val="18"/>
                <w:szCs w:val="16"/>
              </w:rPr>
              <w:t xml:space="preserve">Durchschnittsmiete </w:t>
            </w:r>
            <w:r w:rsidR="000E2A43">
              <w:rPr>
                <w:rFonts w:ascii="Arial" w:hAnsi="Arial" w:cs="Arial"/>
                <w:sz w:val="18"/>
                <w:szCs w:val="16"/>
              </w:rPr>
              <w:t>[</w:t>
            </w:r>
            <w:r w:rsidRPr="000E7BC7">
              <w:rPr>
                <w:rFonts w:ascii="Arial" w:hAnsi="Arial" w:cs="Arial"/>
                <w:sz w:val="18"/>
                <w:szCs w:val="16"/>
              </w:rPr>
              <w:t>€/m²/Monat</w:t>
            </w:r>
            <w:r w:rsidR="00904E1E">
              <w:rPr>
                <w:rFonts w:ascii="Arial" w:hAnsi="Arial" w:cs="Arial"/>
                <w:sz w:val="18"/>
                <w:szCs w:val="16"/>
              </w:rPr>
              <w:t xml:space="preserve"> nettokalt</w:t>
            </w:r>
            <w:r w:rsidR="000E2A43">
              <w:rPr>
                <w:rFonts w:ascii="Arial" w:hAnsi="Arial" w:cs="Arial"/>
                <w:sz w:val="18"/>
                <w:szCs w:val="16"/>
              </w:rPr>
              <w:t>]</w:t>
            </w:r>
          </w:p>
        </w:tc>
        <w:tc>
          <w:tcPr>
            <w:tcW w:w="1144" w:type="pct"/>
            <w:vAlign w:val="center"/>
          </w:tcPr>
          <w:p w14:paraId="3C14A76E" w14:textId="6CC44971" w:rsidR="00126D0B" w:rsidRPr="000E7BC7" w:rsidRDefault="00010109" w:rsidP="007543F0">
            <w:pPr>
              <w:spacing w:after="0"/>
              <w:jc w:val="right"/>
              <w:rPr>
                <w:rFonts w:ascii="Arial" w:hAnsi="Arial" w:cs="Arial"/>
                <w:color w:val="000000" w:themeColor="text1"/>
                <w:sz w:val="18"/>
                <w:szCs w:val="16"/>
              </w:rPr>
            </w:pPr>
            <w:r>
              <w:rPr>
                <w:rFonts w:ascii="Arial" w:hAnsi="Arial" w:cs="Arial"/>
                <w:color w:val="000000" w:themeColor="text1"/>
                <w:sz w:val="18"/>
                <w:szCs w:val="16"/>
              </w:rPr>
              <w:t>17,</w:t>
            </w:r>
            <w:r w:rsidR="007543F0">
              <w:rPr>
                <w:rFonts w:ascii="Arial" w:hAnsi="Arial" w:cs="Arial"/>
                <w:color w:val="000000" w:themeColor="text1"/>
                <w:sz w:val="18"/>
                <w:szCs w:val="16"/>
              </w:rPr>
              <w:t>7</w:t>
            </w:r>
            <w:r>
              <w:rPr>
                <w:rFonts w:ascii="Arial" w:hAnsi="Arial" w:cs="Arial"/>
                <w:color w:val="000000" w:themeColor="text1"/>
                <w:sz w:val="18"/>
                <w:szCs w:val="16"/>
              </w:rPr>
              <w:t>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164DE3A" w14:textId="35120145" w:rsidR="00126D0B" w:rsidRPr="000E7BC7" w:rsidRDefault="00010109"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6640C4">
              <w:rPr>
                <w:rFonts w:ascii="Arial" w:hAnsi="Arial" w:cs="Arial"/>
                <w:color w:val="000000" w:themeColor="text1"/>
                <w:sz w:val="18"/>
                <w:szCs w:val="16"/>
              </w:rPr>
              <w:t>7</w:t>
            </w:r>
            <w:r>
              <w:rPr>
                <w:rFonts w:ascii="Arial" w:hAnsi="Arial" w:cs="Arial"/>
                <w:color w:val="000000" w:themeColor="text1"/>
                <w:sz w:val="18"/>
                <w:szCs w:val="16"/>
              </w:rPr>
              <w:t>,</w:t>
            </w:r>
            <w:r w:rsidR="006640C4">
              <w:rPr>
                <w:rFonts w:ascii="Arial" w:hAnsi="Arial" w:cs="Arial"/>
                <w:color w:val="000000" w:themeColor="text1"/>
                <w:sz w:val="18"/>
                <w:szCs w:val="16"/>
              </w:rPr>
              <w:t>3</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sidRPr="000E7BC7">
              <w:rPr>
                <w:rFonts w:ascii="Arial" w:hAnsi="Arial" w:cs="Arial"/>
                <w:b/>
                <w:sz w:val="18"/>
                <w:szCs w:val="16"/>
              </w:rPr>
              <w:t xml:space="preserve">Büroflächenbestand </w:t>
            </w:r>
            <w:r>
              <w:rPr>
                <w:rFonts w:ascii="Arial" w:hAnsi="Arial" w:cs="Arial"/>
                <w:sz w:val="18"/>
                <w:szCs w:val="16"/>
              </w:rPr>
              <w:t>[</w:t>
            </w:r>
            <w:r w:rsidRPr="000E7BC7">
              <w:rPr>
                <w:rFonts w:ascii="Arial" w:hAnsi="Arial" w:cs="Arial"/>
                <w:sz w:val="18"/>
                <w:szCs w:val="16"/>
              </w:rPr>
              <w:t>Mio. m²</w:t>
            </w:r>
            <w:r>
              <w:rPr>
                <w:rFonts w:ascii="Arial" w:hAnsi="Arial" w:cs="Arial"/>
                <w:sz w:val="18"/>
                <w:szCs w:val="16"/>
              </w:rPr>
              <w:t>]</w:t>
            </w:r>
          </w:p>
        </w:tc>
        <w:tc>
          <w:tcPr>
            <w:tcW w:w="1144" w:type="pct"/>
            <w:vAlign w:val="center"/>
          </w:tcPr>
          <w:p w14:paraId="26F8983D" w14:textId="202C5D0B" w:rsidR="00126D0B" w:rsidRPr="000E7BC7" w:rsidRDefault="00010109" w:rsidP="00465B0E">
            <w:pPr>
              <w:spacing w:after="0"/>
              <w:jc w:val="right"/>
              <w:rPr>
                <w:rFonts w:ascii="Arial" w:hAnsi="Arial" w:cs="Arial"/>
                <w:color w:val="000000" w:themeColor="text1"/>
                <w:sz w:val="18"/>
                <w:szCs w:val="16"/>
              </w:rPr>
            </w:pPr>
            <w:r>
              <w:rPr>
                <w:rFonts w:ascii="Arial" w:hAnsi="Arial" w:cs="Arial"/>
                <w:color w:val="000000" w:themeColor="text1"/>
                <w:sz w:val="18"/>
                <w:szCs w:val="16"/>
              </w:rPr>
              <w:t>13,8</w:t>
            </w:r>
          </w:p>
        </w:tc>
      </w:tr>
      <w:tr w:rsidR="00126D0B" w:rsidRPr="00F952F7" w14:paraId="66925CFD" w14:textId="77777777" w:rsidTr="00A3554C">
        <w:trPr>
          <w:trHeight w:val="283"/>
        </w:trPr>
        <w:tc>
          <w:tcPr>
            <w:tcW w:w="3856" w:type="pct"/>
            <w:vAlign w:val="center"/>
          </w:tcPr>
          <w:p w14:paraId="3CAD0C20" w14:textId="77777777"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Leerstand</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55B6F2ED" w14:textId="29EBDD57" w:rsidR="00126D0B" w:rsidRPr="000E7BC7" w:rsidRDefault="006640C4" w:rsidP="00465B0E">
            <w:pPr>
              <w:spacing w:after="0"/>
              <w:jc w:val="right"/>
              <w:rPr>
                <w:rFonts w:ascii="Arial" w:hAnsi="Arial" w:cs="Arial"/>
                <w:color w:val="000000" w:themeColor="text1"/>
                <w:sz w:val="18"/>
                <w:szCs w:val="16"/>
              </w:rPr>
            </w:pPr>
            <w:r>
              <w:rPr>
                <w:rFonts w:ascii="Arial" w:hAnsi="Arial" w:cs="Arial"/>
                <w:color w:val="000000" w:themeColor="text1"/>
                <w:sz w:val="18"/>
                <w:szCs w:val="16"/>
              </w:rPr>
              <w:t>412.6</w:t>
            </w:r>
            <w:r w:rsidR="00010109">
              <w:rPr>
                <w:rFonts w:ascii="Arial" w:hAnsi="Arial" w:cs="Arial"/>
                <w:color w:val="000000" w:themeColor="text1"/>
                <w:sz w:val="18"/>
                <w:szCs w:val="16"/>
              </w:rPr>
              <w:t>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lastRenderedPageBreak/>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5257396" w14:textId="2037CB9A" w:rsidR="00126D0B" w:rsidRPr="000E7BC7" w:rsidRDefault="00010109"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6640C4">
              <w:rPr>
                <w:rFonts w:ascii="Arial" w:hAnsi="Arial" w:cs="Arial"/>
                <w:color w:val="000000" w:themeColor="text1"/>
                <w:sz w:val="18"/>
                <w:szCs w:val="16"/>
              </w:rPr>
              <w:t>6,3</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proofErr w:type="spellStart"/>
            <w:r>
              <w:rPr>
                <w:rFonts w:ascii="Arial" w:hAnsi="Arial" w:cs="Arial"/>
                <w:b/>
                <w:sz w:val="18"/>
                <w:szCs w:val="16"/>
              </w:rPr>
              <w:t>Leerstandsquote</w:t>
            </w:r>
            <w:proofErr w:type="spellEnd"/>
            <w:r>
              <w:rPr>
                <w:rFonts w:ascii="Arial" w:hAnsi="Arial" w:cs="Arial"/>
                <w:b/>
                <w:sz w:val="18"/>
                <w:szCs w:val="16"/>
              </w:rPr>
              <w:t xml:space="preserve"> </w:t>
            </w:r>
            <w:r w:rsidR="008C0E8F">
              <w:rPr>
                <w:rFonts w:ascii="Arial" w:hAnsi="Arial" w:cs="Arial"/>
                <w:sz w:val="18"/>
                <w:szCs w:val="16"/>
              </w:rPr>
              <w:t>inkl</w:t>
            </w:r>
            <w:r w:rsidR="00E96065" w:rsidRPr="00CE0BB9">
              <w:rPr>
                <w:rFonts w:ascii="Arial" w:hAnsi="Arial" w:cs="Arial"/>
                <w:sz w:val="18"/>
                <w:szCs w:val="16"/>
              </w:rPr>
              <w:t>. Untermietflächen</w:t>
            </w:r>
            <w:r w:rsidR="00E96065">
              <w:rPr>
                <w:rFonts w:ascii="Arial" w:hAnsi="Arial" w:cs="Arial"/>
                <w:b/>
                <w:sz w:val="18"/>
                <w:szCs w:val="16"/>
              </w:rPr>
              <w:t xml:space="preserve"> </w:t>
            </w:r>
            <w:r>
              <w:rPr>
                <w:rFonts w:ascii="Arial" w:hAnsi="Arial" w:cs="Arial"/>
                <w:sz w:val="18"/>
                <w:szCs w:val="16"/>
              </w:rPr>
              <w:t>[%]</w:t>
            </w:r>
          </w:p>
        </w:tc>
        <w:tc>
          <w:tcPr>
            <w:tcW w:w="1144" w:type="pct"/>
            <w:vAlign w:val="center"/>
          </w:tcPr>
          <w:p w14:paraId="0CFC3EE8" w14:textId="5C9F2B42" w:rsidR="00126D0B" w:rsidRPr="000E7BC7" w:rsidRDefault="006640C4"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3,0</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58D2158F" w:rsidR="00126D0B" w:rsidRPr="000E7BC7" w:rsidRDefault="00126D0B" w:rsidP="007543F0">
            <w:pPr>
              <w:widowControl w:val="0"/>
              <w:spacing w:before="60" w:after="60"/>
              <w:rPr>
                <w:rFonts w:ascii="Arial" w:hAnsi="Arial" w:cs="Arial"/>
                <w:b/>
                <w:sz w:val="18"/>
                <w:szCs w:val="16"/>
              </w:rPr>
            </w:pPr>
            <w:r>
              <w:rPr>
                <w:rFonts w:ascii="Arial" w:hAnsi="Arial" w:cs="Arial"/>
                <w:b/>
                <w:sz w:val="18"/>
                <w:szCs w:val="16"/>
              </w:rPr>
              <w:t>Fertigstellungen 20</w:t>
            </w:r>
            <w:r w:rsidR="007543F0">
              <w:rPr>
                <w:rFonts w:ascii="Arial" w:hAnsi="Arial" w:cs="Arial"/>
                <w:b/>
                <w:sz w:val="18"/>
                <w:szCs w:val="16"/>
              </w:rPr>
              <w:t>20</w:t>
            </w:r>
            <w:r>
              <w:rPr>
                <w:rFonts w:ascii="Arial" w:hAnsi="Arial" w:cs="Arial"/>
                <w:b/>
                <w:bCs/>
                <w:sz w:val="18"/>
                <w:szCs w:val="16"/>
              </w:rPr>
              <w:t>+</w:t>
            </w:r>
            <w:r w:rsidRPr="000E7BC7">
              <w:rPr>
                <w:rFonts w:ascii="Arial" w:hAnsi="Arial" w:cs="Arial"/>
                <w:b/>
                <w:bCs/>
                <w:sz w:val="18"/>
                <w:szCs w:val="16"/>
              </w:rPr>
              <w:t>202</w:t>
            </w:r>
            <w:r w:rsidR="007543F0">
              <w:rPr>
                <w:rFonts w:ascii="Arial" w:hAnsi="Arial" w:cs="Arial"/>
                <w:b/>
                <w:bCs/>
                <w:sz w:val="18"/>
                <w:szCs w:val="16"/>
              </w:rPr>
              <w:t>1</w:t>
            </w:r>
            <w:r w:rsidRPr="000E7BC7">
              <w:rPr>
                <w:rFonts w:ascii="Arial" w:hAnsi="Arial" w:cs="Arial"/>
                <w:b/>
                <w:bCs/>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tcBorders>
              <w:bottom w:val="single" w:sz="4" w:space="0" w:color="auto"/>
            </w:tcBorders>
            <w:vAlign w:val="center"/>
          </w:tcPr>
          <w:p w14:paraId="1B6B2972" w14:textId="3D5169F1" w:rsidR="00126D0B" w:rsidRPr="000E7BC7" w:rsidRDefault="007543F0"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3</w:t>
            </w:r>
            <w:r w:rsidR="006640C4">
              <w:rPr>
                <w:rFonts w:ascii="Arial" w:hAnsi="Arial" w:cs="Arial"/>
                <w:color w:val="000000" w:themeColor="text1"/>
                <w:sz w:val="18"/>
                <w:szCs w:val="16"/>
              </w:rPr>
              <w:t>27</w:t>
            </w:r>
            <w:r w:rsidR="00010109">
              <w:rPr>
                <w:rFonts w:ascii="Arial" w:hAnsi="Arial" w:cs="Arial"/>
                <w:color w:val="000000" w:themeColor="text1"/>
                <w:sz w:val="18"/>
                <w:szCs w:val="16"/>
              </w:rPr>
              <w:t>.000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cs="Arial"/>
                <w:b/>
                <w:sz w:val="18"/>
                <w:szCs w:val="16"/>
              </w:rPr>
              <w:t xml:space="preserve">Vorvermietungsquote </w:t>
            </w:r>
            <w:r>
              <w:rPr>
                <w:rFonts w:ascii="Arial" w:hAnsi="Arial" w:cs="Arial"/>
                <w:sz w:val="18"/>
                <w:szCs w:val="16"/>
              </w:rPr>
              <w:t>[</w:t>
            </w:r>
            <w:r w:rsidRPr="000E7BC7">
              <w:rPr>
                <w:rFonts w:ascii="Arial" w:hAnsi="Arial" w:cs="Arial"/>
                <w:sz w:val="18"/>
                <w:szCs w:val="16"/>
              </w:rPr>
              <w:t>%</w:t>
            </w:r>
            <w:r>
              <w:rPr>
                <w:rFonts w:ascii="Arial" w:hAnsi="Arial" w:cs="Arial"/>
                <w:sz w:val="18"/>
                <w:szCs w:val="16"/>
              </w:rPr>
              <w:t>]</w:t>
            </w:r>
          </w:p>
        </w:tc>
        <w:tc>
          <w:tcPr>
            <w:tcW w:w="1144" w:type="pct"/>
            <w:tcBorders>
              <w:bottom w:val="single" w:sz="4" w:space="0" w:color="auto"/>
            </w:tcBorders>
            <w:vAlign w:val="center"/>
          </w:tcPr>
          <w:p w14:paraId="65F1CE2C" w14:textId="2A7B9124" w:rsidR="00126D0B" w:rsidRPr="000E7BC7" w:rsidRDefault="007543F0" w:rsidP="006640C4">
            <w:pPr>
              <w:spacing w:after="0"/>
              <w:jc w:val="right"/>
              <w:rPr>
                <w:rFonts w:ascii="Arial" w:hAnsi="Arial" w:cs="Arial"/>
                <w:color w:val="000000" w:themeColor="text1"/>
                <w:sz w:val="18"/>
                <w:szCs w:val="16"/>
              </w:rPr>
            </w:pPr>
            <w:r>
              <w:rPr>
                <w:rFonts w:ascii="Arial" w:hAnsi="Arial" w:cs="Arial"/>
                <w:color w:val="000000" w:themeColor="text1"/>
                <w:sz w:val="18"/>
                <w:szCs w:val="16"/>
              </w:rPr>
              <w:t>7</w:t>
            </w:r>
            <w:r w:rsidR="006640C4">
              <w:rPr>
                <w:rFonts w:ascii="Arial" w:hAnsi="Arial" w:cs="Arial"/>
                <w:color w:val="000000" w:themeColor="text1"/>
                <w:sz w:val="18"/>
                <w:szCs w:val="16"/>
              </w:rPr>
              <w:t>2</w:t>
            </w:r>
          </w:p>
        </w:tc>
      </w:tr>
    </w:tbl>
    <w:p w14:paraId="1CF07C02" w14:textId="182C11FD" w:rsidR="00126D0B" w:rsidRDefault="00C023E8" w:rsidP="00126D0B">
      <w:pPr>
        <w:spacing w:after="0" w:line="360" w:lineRule="auto"/>
        <w:textAlignment w:val="baseline"/>
        <w:rPr>
          <w:rFonts w:ascii="Arial" w:hAnsi="Arial" w:cs="Arial"/>
          <w:sz w:val="20"/>
          <w:szCs w:val="20"/>
        </w:rPr>
      </w:pPr>
      <w:r>
        <w:rPr>
          <w:rFonts w:ascii="Arial" w:hAnsi="Arial" w:cs="Arial"/>
          <w:noProof/>
          <w:sz w:val="20"/>
          <w:szCs w:val="20"/>
          <w:lang w:eastAsia="de-DE"/>
        </w:rPr>
        <w:drawing>
          <wp:inline distT="0" distB="0" distL="0" distR="0" wp14:anchorId="6DBAE715" wp14:editId="24C5622E">
            <wp:extent cx="2806811" cy="2067241"/>
            <wp:effectExtent l="19050" t="19050" r="12700" b="285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üro Hamburg 1Q2020_Flächenumsatz_de.JPG"/>
                    <pic:cNvPicPr/>
                  </pic:nvPicPr>
                  <pic:blipFill>
                    <a:blip r:embed="rId8">
                      <a:extLst>
                        <a:ext uri="{28A0092B-C50C-407E-A947-70E740481C1C}">
                          <a14:useLocalDpi xmlns:a14="http://schemas.microsoft.com/office/drawing/2010/main" val="0"/>
                        </a:ext>
                      </a:extLst>
                    </a:blip>
                    <a:stretch>
                      <a:fillRect/>
                    </a:stretch>
                  </pic:blipFill>
                  <pic:spPr>
                    <a:xfrm>
                      <a:off x="0" y="0"/>
                      <a:ext cx="2858319" cy="2105177"/>
                    </a:xfrm>
                    <a:prstGeom prst="rect">
                      <a:avLst/>
                    </a:prstGeom>
                    <a:ln>
                      <a:solidFill>
                        <a:schemeClr val="tx1"/>
                      </a:solidFill>
                    </a:ln>
                  </pic:spPr>
                </pic:pic>
              </a:graphicData>
            </a:graphic>
          </wp:inline>
        </w:drawing>
      </w:r>
    </w:p>
    <w:p w14:paraId="20FF3D17" w14:textId="77777777" w:rsidR="00655405" w:rsidRDefault="00655405">
      <w:pPr>
        <w:spacing w:after="0"/>
        <w:rPr>
          <w:rFonts w:ascii="Arial" w:hAnsi="Arial" w:cs="Arial"/>
          <w:b/>
          <w:sz w:val="20"/>
          <w:szCs w:val="20"/>
        </w:rPr>
      </w:pPr>
    </w:p>
    <w:p w14:paraId="3AA9BC50" w14:textId="4C8F6707" w:rsidR="00B26FFD" w:rsidRDefault="00470BCC">
      <w:pPr>
        <w:spacing w:after="0"/>
        <w:rPr>
          <w:rFonts w:ascii="Arial" w:eastAsia="Arial" w:hAnsi="Arial" w:cs="Arial"/>
          <w:b/>
          <w:color w:val="000000" w:themeColor="text1"/>
          <w:sz w:val="20"/>
          <w:szCs w:val="20"/>
        </w:rPr>
      </w:pPr>
      <w:r>
        <w:rPr>
          <w:rFonts w:ascii="Arial" w:hAnsi="Arial" w:cs="Arial"/>
          <w:b/>
          <w:sz w:val="20"/>
          <w:szCs w:val="20"/>
        </w:rPr>
        <w:t>Ausgewählte Top-</w:t>
      </w:r>
      <w:r w:rsidR="003D75A6">
        <w:rPr>
          <w:rFonts w:ascii="Arial" w:hAnsi="Arial" w:cs="Arial"/>
          <w:b/>
          <w:sz w:val="20"/>
          <w:szCs w:val="20"/>
        </w:rPr>
        <w:t>Abschlüsse | Büromarkt Hamburg</w:t>
      </w:r>
      <w:r w:rsidR="00625156">
        <w:rPr>
          <w:rFonts w:ascii="Arial" w:hAnsi="Arial" w:cs="Arial"/>
          <w:b/>
          <w:sz w:val="20"/>
          <w:szCs w:val="20"/>
        </w:rPr>
        <w:t xml:space="preserve"> | </w:t>
      </w:r>
      <w:r w:rsidR="005E2ABB">
        <w:rPr>
          <w:rFonts w:ascii="Arial" w:hAnsi="Arial" w:cs="Arial"/>
          <w:b/>
          <w:sz w:val="20"/>
          <w:szCs w:val="20"/>
        </w:rPr>
        <w:t>1</w:t>
      </w:r>
      <w:r w:rsidR="00625156">
        <w:rPr>
          <w:rFonts w:ascii="Arial" w:hAnsi="Arial" w:cs="Arial"/>
          <w:b/>
          <w:sz w:val="20"/>
          <w:szCs w:val="20"/>
        </w:rPr>
        <w:t>. Quartal 20</w:t>
      </w:r>
      <w:r w:rsidR="00452892">
        <w:rPr>
          <w:rFonts w:ascii="Arial" w:hAnsi="Arial" w:cs="Arial"/>
          <w:b/>
          <w:sz w:val="20"/>
          <w:szCs w:val="20"/>
        </w:rPr>
        <w:t>20</w:t>
      </w:r>
    </w:p>
    <w:tbl>
      <w:tblPr>
        <w:tblStyle w:val="Tabellenraster"/>
        <w:tblpPr w:leftFromText="141" w:rightFromText="141" w:vertAnchor="text" w:horzAnchor="margin" w:tblpY="218"/>
        <w:tblW w:w="9634" w:type="dxa"/>
        <w:tblLook w:val="04A0" w:firstRow="1" w:lastRow="0" w:firstColumn="1" w:lastColumn="0" w:noHBand="0" w:noVBand="1"/>
      </w:tblPr>
      <w:tblGrid>
        <w:gridCol w:w="2972"/>
        <w:gridCol w:w="1985"/>
        <w:gridCol w:w="2268"/>
        <w:gridCol w:w="1559"/>
        <w:gridCol w:w="850"/>
      </w:tblGrid>
      <w:tr w:rsidR="00BB2707" w:rsidRPr="0017364E" w14:paraId="7B788289" w14:textId="77777777" w:rsidTr="00C023E8">
        <w:trPr>
          <w:trHeight w:val="567"/>
        </w:trPr>
        <w:tc>
          <w:tcPr>
            <w:tcW w:w="2972" w:type="dxa"/>
            <w:shd w:val="clear" w:color="auto" w:fill="1F242B" w:themeFill="accent2"/>
            <w:vAlign w:val="center"/>
          </w:tcPr>
          <w:p w14:paraId="1FF646C4" w14:textId="756E21EE" w:rsidR="00BB2707" w:rsidRDefault="00BB2707" w:rsidP="003D75A6">
            <w:pPr>
              <w:spacing w:before="60" w:after="60"/>
              <w:rPr>
                <w:rFonts w:ascii="Arial" w:hAnsi="Arial" w:cs="Arial"/>
                <w:b/>
                <w:sz w:val="18"/>
                <w:szCs w:val="16"/>
              </w:rPr>
            </w:pPr>
            <w:r w:rsidRPr="0017364E">
              <w:rPr>
                <w:rFonts w:ascii="Arial" w:hAnsi="Arial" w:cs="Arial"/>
                <w:b/>
                <w:sz w:val="18"/>
                <w:szCs w:val="16"/>
              </w:rPr>
              <w:t>Mieter</w:t>
            </w:r>
            <w:r w:rsidR="00A91138">
              <w:rPr>
                <w:rFonts w:ascii="Arial" w:hAnsi="Arial" w:cs="Arial"/>
                <w:b/>
                <w:sz w:val="18"/>
                <w:szCs w:val="16"/>
              </w:rPr>
              <w:t xml:space="preserve"> </w:t>
            </w:r>
            <w:r>
              <w:rPr>
                <w:rFonts w:ascii="Arial" w:hAnsi="Arial" w:cs="Arial"/>
                <w:b/>
                <w:sz w:val="18"/>
                <w:szCs w:val="16"/>
              </w:rPr>
              <w:t>/</w:t>
            </w:r>
            <w:r w:rsidR="00A91138">
              <w:rPr>
                <w:rFonts w:ascii="Arial" w:hAnsi="Arial" w:cs="Arial"/>
                <w:b/>
                <w:sz w:val="18"/>
                <w:szCs w:val="16"/>
              </w:rPr>
              <w:t xml:space="preserve"> </w:t>
            </w:r>
            <w:r>
              <w:rPr>
                <w:rFonts w:ascii="Arial" w:hAnsi="Arial" w:cs="Arial"/>
                <w:b/>
                <w:sz w:val="18"/>
                <w:szCs w:val="16"/>
              </w:rPr>
              <w:t>Eigennutzer</w:t>
            </w:r>
          </w:p>
          <w:p w14:paraId="4605900A" w14:textId="77777777" w:rsidR="00BB2707" w:rsidRPr="0017364E" w:rsidRDefault="00BB2707" w:rsidP="003D75A6">
            <w:pPr>
              <w:spacing w:before="60" w:after="60"/>
              <w:rPr>
                <w:rFonts w:ascii="Arial" w:hAnsi="Arial" w:cs="Arial"/>
                <w:b/>
                <w:sz w:val="18"/>
                <w:szCs w:val="16"/>
              </w:rPr>
            </w:pPr>
          </w:p>
        </w:tc>
        <w:tc>
          <w:tcPr>
            <w:tcW w:w="1985" w:type="dxa"/>
            <w:shd w:val="clear" w:color="auto" w:fill="1F242B" w:themeFill="accent2"/>
            <w:vAlign w:val="center"/>
          </w:tcPr>
          <w:p w14:paraId="5E73AA5F"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Objekt / Projekt</w:t>
            </w:r>
          </w:p>
          <w:p w14:paraId="165BD714" w14:textId="77777777" w:rsidR="00BB2707" w:rsidRPr="0017364E" w:rsidRDefault="00BB2707" w:rsidP="003D75A6">
            <w:pPr>
              <w:spacing w:before="60" w:after="60"/>
              <w:rPr>
                <w:rFonts w:ascii="Arial" w:hAnsi="Arial" w:cs="Arial"/>
                <w:b/>
                <w:sz w:val="18"/>
                <w:szCs w:val="16"/>
              </w:rPr>
            </w:pPr>
          </w:p>
        </w:tc>
        <w:tc>
          <w:tcPr>
            <w:tcW w:w="2268" w:type="dxa"/>
            <w:shd w:val="clear" w:color="auto" w:fill="1F242B" w:themeFill="accent2"/>
            <w:vAlign w:val="center"/>
          </w:tcPr>
          <w:p w14:paraId="5C56E890"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Straße</w:t>
            </w:r>
            <w:r>
              <w:rPr>
                <w:rFonts w:ascii="Arial" w:hAnsi="Arial" w:cs="Arial"/>
                <w:b/>
                <w:sz w:val="18"/>
                <w:szCs w:val="16"/>
              </w:rPr>
              <w:t xml:space="preserve"> Nr. </w:t>
            </w:r>
          </w:p>
          <w:p w14:paraId="0D24D566" w14:textId="77777777" w:rsidR="00BB2707" w:rsidRPr="0017364E" w:rsidRDefault="00BB2707" w:rsidP="003D75A6">
            <w:pPr>
              <w:spacing w:before="60" w:after="60"/>
              <w:rPr>
                <w:rFonts w:ascii="Arial" w:hAnsi="Arial" w:cs="Arial"/>
                <w:b/>
                <w:sz w:val="18"/>
                <w:szCs w:val="16"/>
              </w:rPr>
            </w:pPr>
          </w:p>
        </w:tc>
        <w:tc>
          <w:tcPr>
            <w:tcW w:w="1559" w:type="dxa"/>
            <w:shd w:val="clear" w:color="auto" w:fill="1F242B" w:themeFill="accent2"/>
            <w:vAlign w:val="center"/>
          </w:tcPr>
          <w:p w14:paraId="591B71E9"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Teilmarkt</w:t>
            </w:r>
          </w:p>
          <w:p w14:paraId="0CEDD8E8" w14:textId="77777777" w:rsidR="00BB2707" w:rsidRPr="0017364E" w:rsidRDefault="00BB2707" w:rsidP="003D75A6">
            <w:pPr>
              <w:spacing w:before="60" w:after="60"/>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3D75A6">
            <w:pPr>
              <w:spacing w:before="60" w:after="60"/>
              <w:rPr>
                <w:rFonts w:ascii="Arial" w:hAnsi="Arial" w:cs="Arial"/>
                <w:b/>
                <w:sz w:val="18"/>
                <w:szCs w:val="16"/>
              </w:rPr>
            </w:pPr>
            <w:r w:rsidRPr="0017364E">
              <w:rPr>
                <w:rFonts w:ascii="Arial" w:hAnsi="Arial" w:cs="Arial"/>
                <w:b/>
                <w:sz w:val="18"/>
                <w:szCs w:val="16"/>
              </w:rPr>
              <w:t xml:space="preserve">Fläche </w:t>
            </w:r>
            <w:r>
              <w:rPr>
                <w:rFonts w:ascii="Arial" w:hAnsi="Arial" w:cs="Arial"/>
                <w:b/>
                <w:sz w:val="18"/>
                <w:szCs w:val="16"/>
              </w:rPr>
              <w:br/>
            </w:r>
            <w:r>
              <w:rPr>
                <w:rFonts w:ascii="Arial" w:hAnsi="Arial" w:cs="Arial"/>
                <w:sz w:val="18"/>
                <w:szCs w:val="16"/>
              </w:rPr>
              <w:t xml:space="preserve">[ca. </w:t>
            </w:r>
            <w:r w:rsidRPr="0017364E">
              <w:rPr>
                <w:rFonts w:ascii="Arial" w:hAnsi="Arial" w:cs="Arial"/>
                <w:sz w:val="18"/>
                <w:szCs w:val="16"/>
              </w:rPr>
              <w:t>m²</w:t>
            </w:r>
            <w:r>
              <w:rPr>
                <w:rFonts w:ascii="Arial" w:hAnsi="Arial" w:cs="Arial"/>
                <w:sz w:val="18"/>
                <w:szCs w:val="16"/>
              </w:rPr>
              <w:t>]</w:t>
            </w:r>
          </w:p>
        </w:tc>
      </w:tr>
      <w:tr w:rsidR="00D57F53" w:rsidRPr="0017364E" w14:paraId="6B585D4E" w14:textId="77777777" w:rsidTr="00C023E8">
        <w:trPr>
          <w:trHeight w:val="567"/>
        </w:trPr>
        <w:tc>
          <w:tcPr>
            <w:tcW w:w="2972" w:type="dxa"/>
            <w:vAlign w:val="center"/>
          </w:tcPr>
          <w:p w14:paraId="5934B469" w14:textId="5B55AB85" w:rsidR="00D57F53" w:rsidRPr="0017364E" w:rsidRDefault="006640C4" w:rsidP="00D57F53">
            <w:pPr>
              <w:spacing w:before="60" w:after="60"/>
              <w:rPr>
                <w:rFonts w:ascii="Arial" w:hAnsi="Arial" w:cs="Arial"/>
                <w:sz w:val="18"/>
                <w:szCs w:val="16"/>
              </w:rPr>
            </w:pPr>
            <w:r w:rsidRPr="006640C4">
              <w:rPr>
                <w:rFonts w:ascii="Arial" w:hAnsi="Arial" w:cs="Arial"/>
                <w:sz w:val="18"/>
                <w:szCs w:val="16"/>
              </w:rPr>
              <w:t>MSH Medical School Hamburg</w:t>
            </w:r>
          </w:p>
        </w:tc>
        <w:tc>
          <w:tcPr>
            <w:tcW w:w="1985" w:type="dxa"/>
            <w:vAlign w:val="center"/>
          </w:tcPr>
          <w:p w14:paraId="55F9F6B0" w14:textId="720921F4" w:rsidR="00D57F53" w:rsidRPr="0017364E" w:rsidRDefault="00836A75" w:rsidP="00D57F53">
            <w:pPr>
              <w:spacing w:before="60" w:after="60"/>
              <w:rPr>
                <w:rFonts w:ascii="Arial" w:hAnsi="Arial" w:cs="Arial"/>
                <w:sz w:val="18"/>
                <w:szCs w:val="16"/>
              </w:rPr>
            </w:pPr>
            <w:r>
              <w:rPr>
                <w:rFonts w:ascii="Arial" w:hAnsi="Arial" w:cs="Arial"/>
                <w:sz w:val="18"/>
                <w:szCs w:val="16"/>
              </w:rPr>
              <w:t>„</w:t>
            </w:r>
            <w:proofErr w:type="spellStart"/>
            <w:r w:rsidR="006640C4" w:rsidRPr="006640C4">
              <w:rPr>
                <w:rFonts w:ascii="Arial" w:hAnsi="Arial" w:cs="Arial"/>
                <w:sz w:val="18"/>
                <w:szCs w:val="16"/>
              </w:rPr>
              <w:t>HafenCity</w:t>
            </w:r>
            <w:proofErr w:type="spellEnd"/>
            <w:r w:rsidR="006640C4" w:rsidRPr="006640C4">
              <w:rPr>
                <w:rFonts w:ascii="Arial" w:hAnsi="Arial" w:cs="Arial"/>
                <w:sz w:val="18"/>
                <w:szCs w:val="16"/>
              </w:rPr>
              <w:t xml:space="preserve"> Gate</w:t>
            </w:r>
            <w:r>
              <w:rPr>
                <w:rFonts w:ascii="Arial" w:hAnsi="Arial" w:cs="Arial"/>
                <w:sz w:val="18"/>
                <w:szCs w:val="16"/>
              </w:rPr>
              <w:t>“</w:t>
            </w:r>
          </w:p>
        </w:tc>
        <w:tc>
          <w:tcPr>
            <w:tcW w:w="2268" w:type="dxa"/>
            <w:vAlign w:val="center"/>
          </w:tcPr>
          <w:p w14:paraId="71798FE8" w14:textId="509B3C18" w:rsidR="00D57F53" w:rsidRPr="0017364E" w:rsidRDefault="006640C4" w:rsidP="00D57F53">
            <w:pPr>
              <w:spacing w:before="60" w:after="60"/>
              <w:rPr>
                <w:rFonts w:ascii="Arial" w:hAnsi="Arial" w:cs="Arial"/>
                <w:sz w:val="18"/>
                <w:szCs w:val="16"/>
              </w:rPr>
            </w:pPr>
            <w:r w:rsidRPr="006640C4">
              <w:rPr>
                <w:rFonts w:ascii="Arial" w:hAnsi="Arial" w:cs="Arial"/>
                <w:sz w:val="18"/>
                <w:szCs w:val="16"/>
              </w:rPr>
              <w:t xml:space="preserve">Am </w:t>
            </w:r>
            <w:proofErr w:type="spellStart"/>
            <w:r w:rsidRPr="006640C4">
              <w:rPr>
                <w:rFonts w:ascii="Arial" w:hAnsi="Arial" w:cs="Arial"/>
                <w:sz w:val="18"/>
                <w:szCs w:val="16"/>
              </w:rPr>
              <w:t>Sandtorkai</w:t>
            </w:r>
            <w:proofErr w:type="spellEnd"/>
            <w:r w:rsidRPr="006640C4">
              <w:rPr>
                <w:rFonts w:ascii="Arial" w:hAnsi="Arial" w:cs="Arial"/>
                <w:sz w:val="18"/>
                <w:szCs w:val="16"/>
              </w:rPr>
              <w:t xml:space="preserve"> 74-77</w:t>
            </w:r>
          </w:p>
        </w:tc>
        <w:tc>
          <w:tcPr>
            <w:tcW w:w="1559" w:type="dxa"/>
            <w:vAlign w:val="center"/>
          </w:tcPr>
          <w:p w14:paraId="5F92AC8B" w14:textId="7D4970D7" w:rsidR="00D57F53" w:rsidRPr="0017364E" w:rsidRDefault="006640C4" w:rsidP="006E639E">
            <w:pPr>
              <w:spacing w:before="60" w:after="60"/>
              <w:rPr>
                <w:rFonts w:ascii="Arial" w:hAnsi="Arial" w:cs="Arial"/>
                <w:sz w:val="18"/>
                <w:szCs w:val="16"/>
              </w:rPr>
            </w:pPr>
            <w:proofErr w:type="spellStart"/>
            <w:r>
              <w:rPr>
                <w:rFonts w:ascii="Arial" w:hAnsi="Arial" w:cs="Arial"/>
                <w:sz w:val="18"/>
                <w:szCs w:val="16"/>
              </w:rPr>
              <w:t>HafenCity</w:t>
            </w:r>
            <w:proofErr w:type="spellEnd"/>
          </w:p>
        </w:tc>
        <w:tc>
          <w:tcPr>
            <w:tcW w:w="850" w:type="dxa"/>
            <w:vAlign w:val="center"/>
          </w:tcPr>
          <w:p w14:paraId="18F234AE" w14:textId="15A66C5D" w:rsidR="00D57F53" w:rsidRPr="0017364E" w:rsidRDefault="006640C4" w:rsidP="006E639E">
            <w:pPr>
              <w:spacing w:before="60" w:after="60"/>
              <w:jc w:val="right"/>
              <w:rPr>
                <w:rFonts w:ascii="Arial" w:hAnsi="Arial" w:cs="Arial"/>
                <w:sz w:val="18"/>
                <w:szCs w:val="16"/>
              </w:rPr>
            </w:pPr>
            <w:r>
              <w:rPr>
                <w:rFonts w:ascii="Arial" w:hAnsi="Arial" w:cs="Arial"/>
                <w:sz w:val="18"/>
                <w:szCs w:val="16"/>
              </w:rPr>
              <w:t>5.800</w:t>
            </w:r>
          </w:p>
        </w:tc>
      </w:tr>
      <w:tr w:rsidR="00D57F53" w:rsidRPr="0017364E" w14:paraId="314139FB" w14:textId="77777777" w:rsidTr="00C023E8">
        <w:trPr>
          <w:trHeight w:val="567"/>
        </w:trPr>
        <w:tc>
          <w:tcPr>
            <w:tcW w:w="2972" w:type="dxa"/>
            <w:vAlign w:val="center"/>
          </w:tcPr>
          <w:p w14:paraId="38007B43" w14:textId="4125C95D" w:rsidR="00D57F53" w:rsidRPr="0017364E" w:rsidRDefault="006640C4" w:rsidP="004C638E">
            <w:pPr>
              <w:spacing w:before="60" w:after="60"/>
              <w:rPr>
                <w:rFonts w:ascii="Arial" w:hAnsi="Arial" w:cs="Arial"/>
                <w:sz w:val="18"/>
                <w:szCs w:val="16"/>
              </w:rPr>
            </w:pPr>
            <w:proofErr w:type="spellStart"/>
            <w:r w:rsidRPr="006640C4">
              <w:rPr>
                <w:rFonts w:ascii="Arial" w:hAnsi="Arial" w:cs="Arial"/>
                <w:sz w:val="18"/>
                <w:szCs w:val="16"/>
              </w:rPr>
              <w:t>Wärtsilä</w:t>
            </w:r>
            <w:proofErr w:type="spellEnd"/>
            <w:r w:rsidRPr="006640C4">
              <w:rPr>
                <w:rFonts w:ascii="Arial" w:hAnsi="Arial" w:cs="Arial"/>
                <w:sz w:val="18"/>
                <w:szCs w:val="16"/>
              </w:rPr>
              <w:t xml:space="preserve"> SAM Electronics</w:t>
            </w:r>
          </w:p>
        </w:tc>
        <w:tc>
          <w:tcPr>
            <w:tcW w:w="1985" w:type="dxa"/>
            <w:vAlign w:val="center"/>
          </w:tcPr>
          <w:p w14:paraId="058591FC" w14:textId="39BFFE11" w:rsidR="00D57F53" w:rsidRPr="0017364E" w:rsidRDefault="00D57F53" w:rsidP="006640C4">
            <w:pPr>
              <w:spacing w:before="60" w:after="60"/>
              <w:rPr>
                <w:rFonts w:ascii="Arial" w:hAnsi="Arial" w:cs="Arial"/>
                <w:sz w:val="18"/>
                <w:szCs w:val="16"/>
              </w:rPr>
            </w:pPr>
          </w:p>
        </w:tc>
        <w:tc>
          <w:tcPr>
            <w:tcW w:w="2268" w:type="dxa"/>
            <w:vAlign w:val="center"/>
          </w:tcPr>
          <w:p w14:paraId="703E1F73" w14:textId="062FB9E5" w:rsidR="00D57F53" w:rsidRPr="0017364E" w:rsidRDefault="006640C4" w:rsidP="00D57F53">
            <w:pPr>
              <w:spacing w:before="60" w:after="60"/>
              <w:rPr>
                <w:rFonts w:ascii="Arial" w:hAnsi="Arial" w:cs="Arial"/>
                <w:sz w:val="18"/>
                <w:szCs w:val="16"/>
              </w:rPr>
            </w:pPr>
            <w:r>
              <w:rPr>
                <w:rFonts w:ascii="Arial" w:hAnsi="Arial" w:cs="Arial"/>
                <w:sz w:val="18"/>
                <w:szCs w:val="16"/>
              </w:rPr>
              <w:t>Gasstraße 18</w:t>
            </w:r>
          </w:p>
        </w:tc>
        <w:tc>
          <w:tcPr>
            <w:tcW w:w="1559" w:type="dxa"/>
            <w:vAlign w:val="center"/>
          </w:tcPr>
          <w:p w14:paraId="1A4973BE" w14:textId="0B747CA9" w:rsidR="00D57F53" w:rsidRPr="0017364E" w:rsidRDefault="006640C4" w:rsidP="006E639E">
            <w:pPr>
              <w:spacing w:before="60" w:after="60"/>
              <w:rPr>
                <w:rFonts w:ascii="Arial" w:hAnsi="Arial" w:cs="Arial"/>
                <w:sz w:val="18"/>
                <w:szCs w:val="16"/>
              </w:rPr>
            </w:pPr>
            <w:r>
              <w:rPr>
                <w:rFonts w:ascii="Arial" w:hAnsi="Arial" w:cs="Arial"/>
                <w:sz w:val="18"/>
                <w:szCs w:val="16"/>
              </w:rPr>
              <w:t>Bahrenfeld</w:t>
            </w:r>
          </w:p>
        </w:tc>
        <w:tc>
          <w:tcPr>
            <w:tcW w:w="850" w:type="dxa"/>
            <w:vAlign w:val="center"/>
          </w:tcPr>
          <w:p w14:paraId="0EEA0855" w14:textId="6D576054" w:rsidR="00D57F53" w:rsidRPr="0017364E" w:rsidRDefault="006640C4" w:rsidP="006E639E">
            <w:pPr>
              <w:spacing w:before="60" w:after="60"/>
              <w:jc w:val="right"/>
              <w:rPr>
                <w:rFonts w:ascii="Arial" w:hAnsi="Arial" w:cs="Arial"/>
                <w:sz w:val="18"/>
                <w:szCs w:val="16"/>
              </w:rPr>
            </w:pPr>
            <w:r>
              <w:rPr>
                <w:rFonts w:ascii="Arial" w:hAnsi="Arial" w:cs="Arial"/>
                <w:sz w:val="18"/>
                <w:szCs w:val="16"/>
              </w:rPr>
              <w:t>5.700</w:t>
            </w:r>
          </w:p>
        </w:tc>
      </w:tr>
      <w:tr w:rsidR="00D57F53" w:rsidRPr="0017364E" w14:paraId="661E4657" w14:textId="77777777" w:rsidTr="00C023E8">
        <w:trPr>
          <w:trHeight w:val="567"/>
        </w:trPr>
        <w:tc>
          <w:tcPr>
            <w:tcW w:w="2972" w:type="dxa"/>
            <w:vAlign w:val="center"/>
          </w:tcPr>
          <w:p w14:paraId="2E5A1578" w14:textId="05ABD977" w:rsidR="00D57F53" w:rsidRPr="0017364E" w:rsidRDefault="00623750" w:rsidP="006640C4">
            <w:pPr>
              <w:spacing w:before="60" w:after="60"/>
              <w:rPr>
                <w:rFonts w:ascii="Arial" w:hAnsi="Arial" w:cs="Arial"/>
                <w:sz w:val="18"/>
                <w:szCs w:val="16"/>
              </w:rPr>
            </w:pPr>
            <w:proofErr w:type="spellStart"/>
            <w:r>
              <w:rPr>
                <w:rFonts w:ascii="Arial" w:hAnsi="Arial" w:cs="Arial"/>
                <w:sz w:val="18"/>
                <w:szCs w:val="16"/>
              </w:rPr>
              <w:t>officepointONE</w:t>
            </w:r>
            <w:proofErr w:type="spellEnd"/>
          </w:p>
        </w:tc>
        <w:tc>
          <w:tcPr>
            <w:tcW w:w="1985" w:type="dxa"/>
            <w:vAlign w:val="center"/>
          </w:tcPr>
          <w:p w14:paraId="50F67AC7" w14:textId="57A868BF" w:rsidR="00D57F53" w:rsidRPr="0017364E" w:rsidRDefault="006640C4" w:rsidP="00AE33D7">
            <w:pPr>
              <w:spacing w:before="60" w:after="60"/>
              <w:rPr>
                <w:rFonts w:ascii="Arial" w:hAnsi="Arial" w:cs="Arial"/>
                <w:sz w:val="18"/>
                <w:szCs w:val="16"/>
              </w:rPr>
            </w:pPr>
            <w:r>
              <w:rPr>
                <w:rFonts w:ascii="Arial" w:hAnsi="Arial" w:cs="Arial"/>
                <w:sz w:val="18"/>
                <w:szCs w:val="16"/>
              </w:rPr>
              <w:t>„</w:t>
            </w:r>
            <w:r w:rsidRPr="006640C4">
              <w:rPr>
                <w:rFonts w:ascii="Arial" w:hAnsi="Arial" w:cs="Arial"/>
                <w:sz w:val="18"/>
                <w:szCs w:val="16"/>
              </w:rPr>
              <w:t>Speicher N26</w:t>
            </w:r>
            <w:r>
              <w:rPr>
                <w:rFonts w:ascii="Arial" w:hAnsi="Arial" w:cs="Arial"/>
                <w:sz w:val="18"/>
                <w:szCs w:val="16"/>
              </w:rPr>
              <w:t>“</w:t>
            </w:r>
          </w:p>
        </w:tc>
        <w:tc>
          <w:tcPr>
            <w:tcW w:w="2268" w:type="dxa"/>
            <w:vAlign w:val="center"/>
          </w:tcPr>
          <w:p w14:paraId="1AD10A7F" w14:textId="24B5328B" w:rsidR="00D57F53" w:rsidRPr="0017364E" w:rsidRDefault="006640C4" w:rsidP="00D57F53">
            <w:pPr>
              <w:spacing w:before="60" w:after="60"/>
              <w:rPr>
                <w:rFonts w:ascii="Arial" w:hAnsi="Arial" w:cs="Arial"/>
                <w:sz w:val="18"/>
                <w:szCs w:val="16"/>
              </w:rPr>
            </w:pPr>
            <w:r w:rsidRPr="006640C4">
              <w:rPr>
                <w:rFonts w:ascii="Arial" w:hAnsi="Arial" w:cs="Arial"/>
                <w:sz w:val="18"/>
                <w:szCs w:val="16"/>
              </w:rPr>
              <w:t xml:space="preserve">Am </w:t>
            </w:r>
            <w:proofErr w:type="spellStart"/>
            <w:r w:rsidRPr="006640C4">
              <w:rPr>
                <w:rFonts w:ascii="Arial" w:hAnsi="Arial" w:cs="Arial"/>
                <w:sz w:val="18"/>
                <w:szCs w:val="16"/>
              </w:rPr>
              <w:t>Sandtorkai</w:t>
            </w:r>
            <w:proofErr w:type="spellEnd"/>
            <w:r w:rsidRPr="006640C4">
              <w:rPr>
                <w:rFonts w:ascii="Arial" w:hAnsi="Arial" w:cs="Arial"/>
                <w:sz w:val="18"/>
                <w:szCs w:val="16"/>
              </w:rPr>
              <w:t xml:space="preserve"> 26</w:t>
            </w:r>
          </w:p>
        </w:tc>
        <w:tc>
          <w:tcPr>
            <w:tcW w:w="1559" w:type="dxa"/>
            <w:vAlign w:val="center"/>
          </w:tcPr>
          <w:p w14:paraId="608C7AAF" w14:textId="2FBE1449" w:rsidR="00D57F53" w:rsidRPr="0017364E" w:rsidRDefault="00D57F53" w:rsidP="006E639E">
            <w:pPr>
              <w:spacing w:before="60" w:after="60"/>
              <w:rPr>
                <w:rFonts w:ascii="Arial" w:hAnsi="Arial" w:cs="Arial"/>
                <w:sz w:val="18"/>
                <w:szCs w:val="16"/>
              </w:rPr>
            </w:pPr>
            <w:proofErr w:type="spellStart"/>
            <w:r>
              <w:rPr>
                <w:rFonts w:ascii="Arial" w:hAnsi="Arial" w:cs="Arial"/>
                <w:sz w:val="18"/>
                <w:szCs w:val="16"/>
              </w:rPr>
              <w:t>HafenCity</w:t>
            </w:r>
            <w:proofErr w:type="spellEnd"/>
          </w:p>
        </w:tc>
        <w:tc>
          <w:tcPr>
            <w:tcW w:w="850" w:type="dxa"/>
            <w:vAlign w:val="center"/>
          </w:tcPr>
          <w:p w14:paraId="084B6F88" w14:textId="1101280A" w:rsidR="00D57F53" w:rsidRPr="0017364E" w:rsidRDefault="006640C4" w:rsidP="006E639E">
            <w:pPr>
              <w:spacing w:before="60" w:after="60"/>
              <w:jc w:val="right"/>
              <w:rPr>
                <w:rFonts w:ascii="Arial" w:hAnsi="Arial" w:cs="Arial"/>
                <w:sz w:val="18"/>
                <w:szCs w:val="16"/>
              </w:rPr>
            </w:pPr>
            <w:r>
              <w:rPr>
                <w:rFonts w:ascii="Arial" w:hAnsi="Arial" w:cs="Arial"/>
                <w:sz w:val="18"/>
                <w:szCs w:val="16"/>
              </w:rPr>
              <w:t>4.300</w:t>
            </w:r>
          </w:p>
        </w:tc>
      </w:tr>
    </w:tbl>
    <w:p w14:paraId="0FE12CF5" w14:textId="77777777" w:rsidR="006C7A28" w:rsidRDefault="006C7A28" w:rsidP="00A3554C">
      <w:pPr>
        <w:spacing w:after="0" w:line="360" w:lineRule="auto"/>
        <w:rPr>
          <w:rFonts w:ascii="Arial" w:eastAsia="Arial" w:hAnsi="Arial" w:cs="Arial"/>
          <w:color w:val="000000" w:themeColor="text1"/>
          <w:sz w:val="20"/>
          <w:szCs w:val="20"/>
        </w:rPr>
      </w:pPr>
    </w:p>
    <w:p w14:paraId="10570D34" w14:textId="47D6A0BC" w:rsidR="003D75A6" w:rsidRPr="000A5ED1" w:rsidRDefault="00FB4C38" w:rsidP="00A3554C">
      <w:pPr>
        <w:spacing w:after="0" w:line="360" w:lineRule="auto"/>
        <w:rPr>
          <w:rFonts w:ascii="Arial" w:eastAsia="Arial" w:hAnsi="Arial" w:cs="Arial"/>
          <w:b/>
          <w:color w:val="000000" w:themeColor="text1"/>
          <w:sz w:val="20"/>
          <w:szCs w:val="20"/>
        </w:rPr>
      </w:pPr>
      <w:r>
        <w:rPr>
          <w:rFonts w:ascii="Arial" w:eastAsia="Arial" w:hAnsi="Arial" w:cs="Arial"/>
          <w:color w:val="000000" w:themeColor="text1"/>
          <w:sz w:val="20"/>
          <w:szCs w:val="20"/>
        </w:rPr>
        <w:t>Der ausführliche</w:t>
      </w:r>
      <w:r w:rsidR="003D75A6">
        <w:rPr>
          <w:rFonts w:ascii="Arial" w:eastAsia="Arial" w:hAnsi="Arial" w:cs="Arial"/>
          <w:color w:val="000000" w:themeColor="text1"/>
          <w:sz w:val="20"/>
          <w:szCs w:val="20"/>
        </w:rPr>
        <w:t xml:space="preserve"> </w:t>
      </w:r>
      <w:hyperlink r:id="rId9" w:history="1">
        <w:r w:rsidR="003D75A6" w:rsidRPr="0038067E">
          <w:rPr>
            <w:rStyle w:val="Hyperlink"/>
            <w:rFonts w:ascii="Arial" w:eastAsia="Arial" w:hAnsi="Arial" w:cs="Arial"/>
            <w:sz w:val="20"/>
            <w:szCs w:val="20"/>
          </w:rPr>
          <w:t>Marktbericht</w:t>
        </w:r>
      </w:hyperlink>
      <w:r w:rsidR="003D75A6">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steht in Kürze </w:t>
      </w:r>
      <w:r w:rsidR="003D75A6">
        <w:rPr>
          <w:rFonts w:ascii="Arial" w:eastAsia="Arial" w:hAnsi="Arial" w:cs="Arial"/>
          <w:color w:val="000000" w:themeColor="text1"/>
          <w:sz w:val="20"/>
          <w:szCs w:val="20"/>
        </w:rPr>
        <w:t>auf unserer Website zum Download bereit.</w:t>
      </w:r>
    </w:p>
    <w:p w14:paraId="7C6DFBB0" w14:textId="77777777" w:rsidR="0047313D" w:rsidRPr="00A3554C" w:rsidRDefault="0047313D" w:rsidP="00A3554C">
      <w:pPr>
        <w:spacing w:after="0" w:line="360" w:lineRule="auto"/>
        <w:rPr>
          <w:rFonts w:ascii="Arial" w:hAnsi="Arial" w:cs="Arial"/>
          <w:sz w:val="20"/>
          <w:szCs w:val="20"/>
        </w:rPr>
      </w:pPr>
    </w:p>
    <w:p w14:paraId="3FEA6432" w14:textId="26894D7A" w:rsidR="0090748B" w:rsidRPr="0090748B" w:rsidRDefault="0090748B" w:rsidP="00084B37">
      <w:pPr>
        <w:spacing w:after="0" w:line="360" w:lineRule="auto"/>
        <w:rPr>
          <w:rFonts w:ascii="Arial" w:hAnsi="Arial" w:cs="Arial"/>
          <w:b/>
          <w:sz w:val="16"/>
          <w:szCs w:val="16"/>
        </w:rPr>
      </w:pPr>
      <w:r w:rsidRPr="0090748B">
        <w:rPr>
          <w:rFonts w:ascii="Arial" w:hAnsi="Arial" w:cs="Arial"/>
          <w:b/>
          <w:sz w:val="16"/>
          <w:szCs w:val="16"/>
        </w:rPr>
        <w:t>Über Grossmann &amp; Berger</w:t>
      </w:r>
    </w:p>
    <w:p w14:paraId="0EF57A71" w14:textId="719804D3" w:rsidR="001A49B0" w:rsidRPr="001A49B0" w:rsidRDefault="001A49B0" w:rsidP="001A49B0">
      <w:pPr>
        <w:spacing w:after="0" w:line="360" w:lineRule="auto"/>
        <w:rPr>
          <w:rFonts w:ascii="Arial" w:hAnsi="Arial" w:cs="Arial"/>
          <w:sz w:val="16"/>
          <w:szCs w:val="16"/>
        </w:rPr>
      </w:pPr>
      <w:r w:rsidRPr="001A49B0">
        <w:rPr>
          <w:rFonts w:ascii="Arial" w:hAnsi="Arial" w:cs="Arial"/>
          <w:snapToGrid w:val="0"/>
          <w:sz w:val="16"/>
          <w:szCs w:val="16"/>
        </w:rPr>
        <w:t xml:space="preserve">Die </w:t>
      </w:r>
      <w:hyperlink r:id="rId10" w:history="1">
        <w:r w:rsidRPr="0098151C">
          <w:rPr>
            <w:rStyle w:val="Hyperlink"/>
            <w:rFonts w:ascii="Arial" w:hAnsi="Arial" w:cs="Arial"/>
            <w:snapToGrid w:val="0"/>
            <w:sz w:val="16"/>
            <w:szCs w:val="16"/>
          </w:rPr>
          <w:t>Grossmann &amp; Berger GmbH</w:t>
        </w:r>
      </w:hyperlink>
      <w:r w:rsidRPr="001A49B0">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dreizehn Immobilienshops ist das Unternehmen mit über 190 Mitarbeitern flächendeckend im norddeutschen Markt präsent. Dank der über 85-jährigen Erfahrung verfügt Grossmann &amp; Berger über umfassende Immobilienkompetenz.</w:t>
      </w:r>
      <w:r>
        <w:rPr>
          <w:rFonts w:ascii="Arial" w:hAnsi="Arial" w:cs="Arial"/>
          <w:snapToGrid w:val="0"/>
          <w:sz w:val="16"/>
          <w:szCs w:val="16"/>
        </w:rPr>
        <w:t xml:space="preserve"> </w:t>
      </w:r>
      <w:r w:rsidRPr="001A49B0">
        <w:rPr>
          <w:rFonts w:ascii="Arial" w:hAnsi="Arial" w:cs="Arial"/>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1" w:history="1">
        <w:r w:rsidRPr="0098151C">
          <w:rPr>
            <w:rStyle w:val="Hyperlink"/>
            <w:rFonts w:ascii="Arial" w:hAnsi="Arial" w:cs="Arial"/>
            <w:sz w:val="16"/>
            <w:szCs w:val="16"/>
          </w:rPr>
          <w:t>German Property Partners</w:t>
        </w:r>
      </w:hyperlink>
      <w:r w:rsidRPr="001A49B0">
        <w:rPr>
          <w:rFonts w:ascii="Arial" w:hAnsi="Arial" w:cs="Arial"/>
          <w:sz w:val="16"/>
          <w:szCs w:val="16"/>
        </w:rPr>
        <w:t xml:space="preserve"> (GPP) und der Arbeitsgemeinschaft </w:t>
      </w:r>
      <w:proofErr w:type="spellStart"/>
      <w:r w:rsidRPr="001A49B0">
        <w:rPr>
          <w:rFonts w:ascii="Arial" w:hAnsi="Arial" w:cs="Arial"/>
          <w:sz w:val="16"/>
          <w:szCs w:val="16"/>
        </w:rPr>
        <w:t>ImmobilienVermittler</w:t>
      </w:r>
      <w:proofErr w:type="spellEnd"/>
      <w:r w:rsidRPr="001A49B0">
        <w:rPr>
          <w:rFonts w:ascii="Arial" w:hAnsi="Arial" w:cs="Arial"/>
          <w:sz w:val="16"/>
          <w:szCs w:val="16"/>
        </w:rPr>
        <w:t xml:space="preserve"> Banken Bausparkassen e.V. (IVBB).</w:t>
      </w:r>
    </w:p>
    <w:p w14:paraId="4B9A2857" w14:textId="77777777" w:rsidR="0090748B" w:rsidRDefault="0090748B" w:rsidP="000C770D">
      <w:pPr>
        <w:spacing w:after="0" w:line="360" w:lineRule="auto"/>
        <w:rPr>
          <w:rFonts w:ascii="Arial" w:hAnsi="Arial" w:cs="Arial"/>
          <w:sz w:val="20"/>
          <w:szCs w:val="20"/>
        </w:rPr>
      </w:pPr>
    </w:p>
    <w:p w14:paraId="627835FB" w14:textId="4C151659" w:rsidR="00503D8C" w:rsidRPr="00503D8C" w:rsidRDefault="003C6AB4" w:rsidP="00084B37">
      <w:pPr>
        <w:spacing w:after="0" w:line="360" w:lineRule="auto"/>
        <w:rPr>
          <w:rFonts w:ascii="Arial" w:hAnsi="Arial" w:cs="Arial"/>
          <w:b/>
          <w:color w:val="000000" w:themeColor="text1"/>
          <w:spacing w:val="20"/>
          <w:sz w:val="20"/>
          <w:szCs w:val="20"/>
        </w:rPr>
      </w:pPr>
      <w:r w:rsidRPr="003C6AB4">
        <w:rPr>
          <w:rFonts w:ascii="Arial" w:hAnsi="Arial" w:cs="Arial"/>
          <w:sz w:val="16"/>
          <w:szCs w:val="16"/>
        </w:rPr>
        <w:t xml:space="preserve">Die </w:t>
      </w:r>
      <w:hyperlink r:id="rId12"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3"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4"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r w:rsidRPr="00A773B2">
        <w:rPr>
          <w:rFonts w:ascii="Arial" w:hAnsi="Arial" w:cs="Arial"/>
          <w:sz w:val="16"/>
          <w:szCs w:val="16"/>
        </w:rPr>
        <w:t>presse@grossmann-berger.de</w:t>
      </w:r>
      <w:r w:rsidRPr="003C6AB4">
        <w:rPr>
          <w:rFonts w:ascii="Arial" w:hAnsi="Arial" w:cs="Arial"/>
          <w:sz w:val="16"/>
          <w:szCs w:val="16"/>
        </w:rPr>
        <w:t xml:space="preserve"> mit dem Betreff "</w:t>
      </w:r>
      <w:r w:rsidR="0022086D">
        <w:rPr>
          <w:rFonts w:ascii="Arial" w:hAnsi="Arial" w:cs="Arial"/>
          <w:sz w:val="16"/>
          <w:szCs w:val="16"/>
        </w:rPr>
        <w:t>Abmeldung aus Presseverteiler".</w:t>
      </w:r>
    </w:p>
    <w:sectPr w:rsidR="00503D8C" w:rsidRPr="00503D8C" w:rsidSect="00D83CB7">
      <w:headerReference w:type="default" r:id="rId15"/>
      <w:footerReference w:type="default" r:id="rId16"/>
      <w:headerReference w:type="first" r:id="rId17"/>
      <w:footerReference w:type="first" r:id="rId18"/>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C78B" w14:textId="77777777" w:rsidR="006261DF" w:rsidRDefault="006261DF">
      <w:r>
        <w:separator/>
      </w:r>
    </w:p>
  </w:endnote>
  <w:endnote w:type="continuationSeparator" w:id="0">
    <w:p w14:paraId="4B4AB812"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5440A7EF" w14:textId="1EBF3324"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4D0F1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4D0F1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AC64" w14:textId="77777777" w:rsidR="006261DF" w:rsidRDefault="006261DF">
      <w:r>
        <w:separator/>
      </w:r>
    </w:p>
  </w:footnote>
  <w:footnote w:type="continuationSeparator" w:id="0">
    <w:p w14:paraId="36C151B1"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34F885EE"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372924">
                            <w:rPr>
                              <w:rFonts w:ascii="Arial" w:hAnsi="Arial" w:cs="Arial"/>
                              <w:sz w:val="16"/>
                              <w:szCs w:val="16"/>
                            </w:rPr>
                            <w:t>Britt Finke</w:t>
                          </w:r>
                          <w:r>
                            <w:rPr>
                              <w:rFonts w:ascii="Arial" w:hAnsi="Arial" w:cs="Arial"/>
                              <w:sz w:val="16"/>
                              <w:szCs w:val="16"/>
                            </w:rPr>
                            <w:t xml:space="preserve"> | Telefon: +49 (0)40/350 80 2-</w:t>
                          </w:r>
                          <w:r w:rsidR="00372924">
                            <w:rPr>
                              <w:rFonts w:ascii="Arial" w:hAnsi="Arial" w:cs="Arial"/>
                              <w:sz w:val="16"/>
                              <w:szCs w:val="16"/>
                            </w:rPr>
                            <w:t>993</w:t>
                          </w:r>
                          <w:r>
                            <w:rPr>
                              <w:rFonts w:ascii="Arial" w:hAnsi="Arial" w:cs="Arial"/>
                              <w:sz w:val="16"/>
                              <w:szCs w:val="16"/>
                            </w:rPr>
                            <w:t xml:space="preserve"> | </w:t>
                          </w:r>
                          <w:r w:rsidR="00372924">
                            <w:rPr>
                              <w:rFonts w:ascii="Arial" w:hAnsi="Arial" w:cs="Arial"/>
                              <w:sz w:val="16"/>
                              <w:szCs w:val="16"/>
                            </w:rPr>
                            <w:t>b.finke</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34F885EE"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372924">
                      <w:rPr>
                        <w:rFonts w:ascii="Arial" w:hAnsi="Arial" w:cs="Arial"/>
                        <w:sz w:val="16"/>
                        <w:szCs w:val="16"/>
                      </w:rPr>
                      <w:t>Britt Finke</w:t>
                    </w:r>
                    <w:r>
                      <w:rPr>
                        <w:rFonts w:ascii="Arial" w:hAnsi="Arial" w:cs="Arial"/>
                        <w:sz w:val="16"/>
                        <w:szCs w:val="16"/>
                      </w:rPr>
                      <w:t xml:space="preserve"> | Telefon: +49 (0)40/350 80 2-</w:t>
                    </w:r>
                    <w:r w:rsidR="00372924">
                      <w:rPr>
                        <w:rFonts w:ascii="Arial" w:hAnsi="Arial" w:cs="Arial"/>
                        <w:sz w:val="16"/>
                        <w:szCs w:val="16"/>
                      </w:rPr>
                      <w:t>993</w:t>
                    </w:r>
                    <w:r>
                      <w:rPr>
                        <w:rFonts w:ascii="Arial" w:hAnsi="Arial" w:cs="Arial"/>
                        <w:sz w:val="16"/>
                        <w:szCs w:val="16"/>
                      </w:rPr>
                      <w:t xml:space="preserve"> | </w:t>
                    </w:r>
                    <w:r w:rsidR="00372924">
                      <w:rPr>
                        <w:rFonts w:ascii="Arial" w:hAnsi="Arial" w:cs="Arial"/>
                        <w:sz w:val="16"/>
                        <w:szCs w:val="16"/>
                      </w:rPr>
                      <w:t>b.finke</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0F0710E"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372924">
                            <w:rPr>
                              <w:rFonts w:ascii="Arial" w:hAnsi="Arial" w:cs="Arial"/>
                              <w:sz w:val="16"/>
                              <w:szCs w:val="16"/>
                            </w:rPr>
                            <w:t>Britt Finke</w:t>
                          </w:r>
                          <w:r>
                            <w:rPr>
                              <w:rFonts w:ascii="Arial" w:hAnsi="Arial" w:cs="Arial"/>
                              <w:sz w:val="16"/>
                              <w:szCs w:val="16"/>
                            </w:rPr>
                            <w:t xml:space="preserve"> | Telefon: +49 (0)40/350 80</w:t>
                          </w:r>
                          <w:r w:rsidR="004C0CA2">
                            <w:rPr>
                              <w:rFonts w:ascii="Arial" w:hAnsi="Arial" w:cs="Arial"/>
                              <w:sz w:val="16"/>
                              <w:szCs w:val="16"/>
                            </w:rPr>
                            <w:t xml:space="preserve"> 2-</w:t>
                          </w:r>
                          <w:r w:rsidR="00372924">
                            <w:rPr>
                              <w:rFonts w:ascii="Arial" w:hAnsi="Arial" w:cs="Arial"/>
                              <w:sz w:val="16"/>
                              <w:szCs w:val="16"/>
                            </w:rPr>
                            <w:t>993</w:t>
                          </w:r>
                          <w:r w:rsidR="004C0CA2">
                            <w:rPr>
                              <w:rFonts w:ascii="Arial" w:hAnsi="Arial" w:cs="Arial"/>
                              <w:sz w:val="16"/>
                              <w:szCs w:val="16"/>
                            </w:rPr>
                            <w:t xml:space="preserve"> | </w:t>
                          </w:r>
                          <w:r w:rsidR="00372924">
                            <w:rPr>
                              <w:rFonts w:ascii="Arial" w:hAnsi="Arial" w:cs="Arial"/>
                              <w:sz w:val="16"/>
                              <w:szCs w:val="16"/>
                            </w:rPr>
                            <w:t>b.finke</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0F0710E"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372924">
                      <w:rPr>
                        <w:rFonts w:ascii="Arial" w:hAnsi="Arial" w:cs="Arial"/>
                        <w:sz w:val="16"/>
                        <w:szCs w:val="16"/>
                      </w:rPr>
                      <w:t>Britt Finke</w:t>
                    </w:r>
                    <w:r>
                      <w:rPr>
                        <w:rFonts w:ascii="Arial" w:hAnsi="Arial" w:cs="Arial"/>
                        <w:sz w:val="16"/>
                        <w:szCs w:val="16"/>
                      </w:rPr>
                      <w:t xml:space="preserve"> | Telefon: +49 (0)40/350 80</w:t>
                    </w:r>
                    <w:r w:rsidR="004C0CA2">
                      <w:rPr>
                        <w:rFonts w:ascii="Arial" w:hAnsi="Arial" w:cs="Arial"/>
                        <w:sz w:val="16"/>
                        <w:szCs w:val="16"/>
                      </w:rPr>
                      <w:t xml:space="preserve"> 2-</w:t>
                    </w:r>
                    <w:r w:rsidR="00372924">
                      <w:rPr>
                        <w:rFonts w:ascii="Arial" w:hAnsi="Arial" w:cs="Arial"/>
                        <w:sz w:val="16"/>
                        <w:szCs w:val="16"/>
                      </w:rPr>
                      <w:t>993</w:t>
                    </w:r>
                    <w:r w:rsidR="004C0CA2">
                      <w:rPr>
                        <w:rFonts w:ascii="Arial" w:hAnsi="Arial" w:cs="Arial"/>
                        <w:sz w:val="16"/>
                        <w:szCs w:val="16"/>
                      </w:rPr>
                      <w:t xml:space="preserve"> | </w:t>
                    </w:r>
                    <w:r w:rsidR="00372924">
                      <w:rPr>
                        <w:rFonts w:ascii="Arial" w:hAnsi="Arial" w:cs="Arial"/>
                        <w:sz w:val="16"/>
                        <w:szCs w:val="16"/>
                      </w:rPr>
                      <w:t>b.finke</w:t>
                    </w:r>
                    <w:r>
                      <w:rPr>
                        <w:rFonts w:ascii="Arial" w:hAnsi="Arial" w:cs="Arial"/>
                        <w:sz w:val="16"/>
                        <w:szCs w:val="16"/>
                      </w:rPr>
                      <w:t>@grossmann-berger.de</w:t>
                    </w:r>
                  </w:p>
                </w:txbxContent>
              </v:textbox>
            </v:shape>
          </w:pict>
        </mc:Fallback>
      </mc:AlternateContent>
    </w:r>
    <w:r w:rsidR="00D04BA2">
      <w:rPr>
        <w:rFonts w:ascii="Arial" w:hAnsi="Arial" w:cs="Arial"/>
        <w:color w:val="918F90"/>
        <w:sz w:val="28"/>
        <w:szCs w:val="28"/>
      </w:rPr>
      <w:t>Pressemitteilung</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3"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4"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4F2C"/>
    <w:rsid w:val="00010109"/>
    <w:rsid w:val="000159FE"/>
    <w:rsid w:val="00022F16"/>
    <w:rsid w:val="00023D78"/>
    <w:rsid w:val="00026DC2"/>
    <w:rsid w:val="0003075C"/>
    <w:rsid w:val="00032A2D"/>
    <w:rsid w:val="00041B84"/>
    <w:rsid w:val="000477B7"/>
    <w:rsid w:val="00060743"/>
    <w:rsid w:val="00066796"/>
    <w:rsid w:val="000766D7"/>
    <w:rsid w:val="0007670A"/>
    <w:rsid w:val="00084B37"/>
    <w:rsid w:val="0009653E"/>
    <w:rsid w:val="00097786"/>
    <w:rsid w:val="000B1606"/>
    <w:rsid w:val="000B174E"/>
    <w:rsid w:val="000B3315"/>
    <w:rsid w:val="000C118E"/>
    <w:rsid w:val="000C770D"/>
    <w:rsid w:val="000D2874"/>
    <w:rsid w:val="000D3E9F"/>
    <w:rsid w:val="000D4DC8"/>
    <w:rsid w:val="000E03F3"/>
    <w:rsid w:val="000E2A43"/>
    <w:rsid w:val="000E404B"/>
    <w:rsid w:val="000E7457"/>
    <w:rsid w:val="000E7BC7"/>
    <w:rsid w:val="000F7242"/>
    <w:rsid w:val="001029C4"/>
    <w:rsid w:val="0011486D"/>
    <w:rsid w:val="00121E33"/>
    <w:rsid w:val="00126550"/>
    <w:rsid w:val="00126D0B"/>
    <w:rsid w:val="001324D6"/>
    <w:rsid w:val="00135BD2"/>
    <w:rsid w:val="00135E09"/>
    <w:rsid w:val="00154825"/>
    <w:rsid w:val="00163A27"/>
    <w:rsid w:val="0017364E"/>
    <w:rsid w:val="0017516B"/>
    <w:rsid w:val="00176F1D"/>
    <w:rsid w:val="0018068D"/>
    <w:rsid w:val="001A2ABE"/>
    <w:rsid w:val="001A360C"/>
    <w:rsid w:val="001A49B0"/>
    <w:rsid w:val="001C0250"/>
    <w:rsid w:val="001D14DA"/>
    <w:rsid w:val="001E6995"/>
    <w:rsid w:val="001F0339"/>
    <w:rsid w:val="001F1513"/>
    <w:rsid w:val="00205769"/>
    <w:rsid w:val="00210C50"/>
    <w:rsid w:val="00212FEC"/>
    <w:rsid w:val="002131BB"/>
    <w:rsid w:val="0022086D"/>
    <w:rsid w:val="00226296"/>
    <w:rsid w:val="00227E31"/>
    <w:rsid w:val="00230F81"/>
    <w:rsid w:val="00231F4E"/>
    <w:rsid w:val="002341EE"/>
    <w:rsid w:val="00237341"/>
    <w:rsid w:val="002432BE"/>
    <w:rsid w:val="00251D5F"/>
    <w:rsid w:val="00254C6F"/>
    <w:rsid w:val="00255679"/>
    <w:rsid w:val="002633D2"/>
    <w:rsid w:val="0027266B"/>
    <w:rsid w:val="00281E80"/>
    <w:rsid w:val="002834B0"/>
    <w:rsid w:val="00283671"/>
    <w:rsid w:val="002837B6"/>
    <w:rsid w:val="00284A5D"/>
    <w:rsid w:val="00284E27"/>
    <w:rsid w:val="00294B7D"/>
    <w:rsid w:val="002A1973"/>
    <w:rsid w:val="002A382D"/>
    <w:rsid w:val="002B0DAB"/>
    <w:rsid w:val="002B14F6"/>
    <w:rsid w:val="002C055A"/>
    <w:rsid w:val="002C2392"/>
    <w:rsid w:val="002C60E4"/>
    <w:rsid w:val="002C7D6D"/>
    <w:rsid w:val="002D1C5C"/>
    <w:rsid w:val="002D1E20"/>
    <w:rsid w:val="002D525C"/>
    <w:rsid w:val="002E0757"/>
    <w:rsid w:val="002E4FA1"/>
    <w:rsid w:val="002E6860"/>
    <w:rsid w:val="002F0411"/>
    <w:rsid w:val="002F767E"/>
    <w:rsid w:val="0030699E"/>
    <w:rsid w:val="00312D28"/>
    <w:rsid w:val="00315D47"/>
    <w:rsid w:val="003246F0"/>
    <w:rsid w:val="00325E2A"/>
    <w:rsid w:val="003272F3"/>
    <w:rsid w:val="00337AAB"/>
    <w:rsid w:val="00345716"/>
    <w:rsid w:val="0034786C"/>
    <w:rsid w:val="003517C9"/>
    <w:rsid w:val="00357EC4"/>
    <w:rsid w:val="00370000"/>
    <w:rsid w:val="00372924"/>
    <w:rsid w:val="00373507"/>
    <w:rsid w:val="00377488"/>
    <w:rsid w:val="00377771"/>
    <w:rsid w:val="0038230E"/>
    <w:rsid w:val="00382529"/>
    <w:rsid w:val="00397AD9"/>
    <w:rsid w:val="003A00C9"/>
    <w:rsid w:val="003A25A4"/>
    <w:rsid w:val="003B49E4"/>
    <w:rsid w:val="003B4CCF"/>
    <w:rsid w:val="003C57EB"/>
    <w:rsid w:val="003C6AB4"/>
    <w:rsid w:val="003D75A6"/>
    <w:rsid w:val="003E099F"/>
    <w:rsid w:val="003E167F"/>
    <w:rsid w:val="003E4DF9"/>
    <w:rsid w:val="003E684D"/>
    <w:rsid w:val="003E6983"/>
    <w:rsid w:val="003F1FE3"/>
    <w:rsid w:val="003F3EBE"/>
    <w:rsid w:val="003F665D"/>
    <w:rsid w:val="0040086D"/>
    <w:rsid w:val="004017D8"/>
    <w:rsid w:val="00405188"/>
    <w:rsid w:val="00411E03"/>
    <w:rsid w:val="004123B1"/>
    <w:rsid w:val="00414EB4"/>
    <w:rsid w:val="004303A1"/>
    <w:rsid w:val="00440DC9"/>
    <w:rsid w:val="004506D2"/>
    <w:rsid w:val="00452892"/>
    <w:rsid w:val="00456F40"/>
    <w:rsid w:val="004609BD"/>
    <w:rsid w:val="004661EE"/>
    <w:rsid w:val="00466741"/>
    <w:rsid w:val="00470064"/>
    <w:rsid w:val="00470BCC"/>
    <w:rsid w:val="0047313D"/>
    <w:rsid w:val="00476156"/>
    <w:rsid w:val="00481938"/>
    <w:rsid w:val="004844BE"/>
    <w:rsid w:val="004A2BEA"/>
    <w:rsid w:val="004A3C64"/>
    <w:rsid w:val="004A5AEA"/>
    <w:rsid w:val="004A78AB"/>
    <w:rsid w:val="004B2FDA"/>
    <w:rsid w:val="004B480A"/>
    <w:rsid w:val="004B509C"/>
    <w:rsid w:val="004C0CA2"/>
    <w:rsid w:val="004C3F08"/>
    <w:rsid w:val="004C638E"/>
    <w:rsid w:val="004D0F13"/>
    <w:rsid w:val="004D50C0"/>
    <w:rsid w:val="004D772A"/>
    <w:rsid w:val="004E339B"/>
    <w:rsid w:val="004E4273"/>
    <w:rsid w:val="004E4562"/>
    <w:rsid w:val="004E5E8F"/>
    <w:rsid w:val="004F077F"/>
    <w:rsid w:val="004F5914"/>
    <w:rsid w:val="005023DD"/>
    <w:rsid w:val="00503D8C"/>
    <w:rsid w:val="00522B84"/>
    <w:rsid w:val="00531A7F"/>
    <w:rsid w:val="00534BAD"/>
    <w:rsid w:val="005360E8"/>
    <w:rsid w:val="0053705C"/>
    <w:rsid w:val="005405CF"/>
    <w:rsid w:val="005428C5"/>
    <w:rsid w:val="00543C55"/>
    <w:rsid w:val="005507D3"/>
    <w:rsid w:val="0055393B"/>
    <w:rsid w:val="005554C7"/>
    <w:rsid w:val="00556F58"/>
    <w:rsid w:val="00560C86"/>
    <w:rsid w:val="00567D57"/>
    <w:rsid w:val="00575083"/>
    <w:rsid w:val="005768D5"/>
    <w:rsid w:val="00582B99"/>
    <w:rsid w:val="00590903"/>
    <w:rsid w:val="005A617A"/>
    <w:rsid w:val="005B0FC9"/>
    <w:rsid w:val="005B66D3"/>
    <w:rsid w:val="005B6996"/>
    <w:rsid w:val="005C37D1"/>
    <w:rsid w:val="005C4556"/>
    <w:rsid w:val="005C5302"/>
    <w:rsid w:val="005D1DAB"/>
    <w:rsid w:val="005D307B"/>
    <w:rsid w:val="005D603E"/>
    <w:rsid w:val="005E1425"/>
    <w:rsid w:val="005E2ABB"/>
    <w:rsid w:val="005E3419"/>
    <w:rsid w:val="005E362E"/>
    <w:rsid w:val="005F1B2F"/>
    <w:rsid w:val="005F7593"/>
    <w:rsid w:val="006029D7"/>
    <w:rsid w:val="00602CCA"/>
    <w:rsid w:val="0061109D"/>
    <w:rsid w:val="00612AA0"/>
    <w:rsid w:val="006138CB"/>
    <w:rsid w:val="006201E1"/>
    <w:rsid w:val="006224C4"/>
    <w:rsid w:val="006225EA"/>
    <w:rsid w:val="00623750"/>
    <w:rsid w:val="00625156"/>
    <w:rsid w:val="006261DF"/>
    <w:rsid w:val="00626680"/>
    <w:rsid w:val="00640CD0"/>
    <w:rsid w:val="00641270"/>
    <w:rsid w:val="00642074"/>
    <w:rsid w:val="00642409"/>
    <w:rsid w:val="006424F8"/>
    <w:rsid w:val="00644AED"/>
    <w:rsid w:val="006517DA"/>
    <w:rsid w:val="00652204"/>
    <w:rsid w:val="00655405"/>
    <w:rsid w:val="00656301"/>
    <w:rsid w:val="006640C4"/>
    <w:rsid w:val="00681CAB"/>
    <w:rsid w:val="006842EF"/>
    <w:rsid w:val="00695E58"/>
    <w:rsid w:val="0069757D"/>
    <w:rsid w:val="006977FA"/>
    <w:rsid w:val="006A1329"/>
    <w:rsid w:val="006A66F9"/>
    <w:rsid w:val="006C7A28"/>
    <w:rsid w:val="006E5C9C"/>
    <w:rsid w:val="006E639E"/>
    <w:rsid w:val="006F1774"/>
    <w:rsid w:val="006F5757"/>
    <w:rsid w:val="006F6BF1"/>
    <w:rsid w:val="00711680"/>
    <w:rsid w:val="00717A20"/>
    <w:rsid w:val="00720DFF"/>
    <w:rsid w:val="007227E9"/>
    <w:rsid w:val="00730E23"/>
    <w:rsid w:val="007543F0"/>
    <w:rsid w:val="00762CC5"/>
    <w:rsid w:val="007906B4"/>
    <w:rsid w:val="007970A0"/>
    <w:rsid w:val="007B215B"/>
    <w:rsid w:val="007B4617"/>
    <w:rsid w:val="007D5CE6"/>
    <w:rsid w:val="007E6598"/>
    <w:rsid w:val="007E759D"/>
    <w:rsid w:val="007F2DBE"/>
    <w:rsid w:val="007F33B6"/>
    <w:rsid w:val="007F4E12"/>
    <w:rsid w:val="007F642D"/>
    <w:rsid w:val="007F756A"/>
    <w:rsid w:val="00812471"/>
    <w:rsid w:val="008261A5"/>
    <w:rsid w:val="0083382E"/>
    <w:rsid w:val="00836A75"/>
    <w:rsid w:val="0085083D"/>
    <w:rsid w:val="00855325"/>
    <w:rsid w:val="00862E34"/>
    <w:rsid w:val="00865915"/>
    <w:rsid w:val="00871832"/>
    <w:rsid w:val="00886CCE"/>
    <w:rsid w:val="0089000C"/>
    <w:rsid w:val="008942C6"/>
    <w:rsid w:val="00896B33"/>
    <w:rsid w:val="008A62FB"/>
    <w:rsid w:val="008A77B7"/>
    <w:rsid w:val="008B0F67"/>
    <w:rsid w:val="008B2F6A"/>
    <w:rsid w:val="008C0E8F"/>
    <w:rsid w:val="008C608D"/>
    <w:rsid w:val="008E461D"/>
    <w:rsid w:val="008E6D4E"/>
    <w:rsid w:val="008F08E5"/>
    <w:rsid w:val="008F0EA4"/>
    <w:rsid w:val="008F38F6"/>
    <w:rsid w:val="008F5213"/>
    <w:rsid w:val="009000CF"/>
    <w:rsid w:val="00904E1E"/>
    <w:rsid w:val="0090748B"/>
    <w:rsid w:val="00920C9C"/>
    <w:rsid w:val="00922754"/>
    <w:rsid w:val="00925781"/>
    <w:rsid w:val="009258D0"/>
    <w:rsid w:val="00935AB3"/>
    <w:rsid w:val="00962189"/>
    <w:rsid w:val="009646C4"/>
    <w:rsid w:val="009734CE"/>
    <w:rsid w:val="00974E7F"/>
    <w:rsid w:val="0098151C"/>
    <w:rsid w:val="0098460C"/>
    <w:rsid w:val="00992B56"/>
    <w:rsid w:val="00996030"/>
    <w:rsid w:val="00996E1A"/>
    <w:rsid w:val="009B29BE"/>
    <w:rsid w:val="009B4392"/>
    <w:rsid w:val="009B7D09"/>
    <w:rsid w:val="009C14B3"/>
    <w:rsid w:val="009D24DA"/>
    <w:rsid w:val="009D5D75"/>
    <w:rsid w:val="009D7601"/>
    <w:rsid w:val="009E0C0B"/>
    <w:rsid w:val="009E349F"/>
    <w:rsid w:val="009F32A2"/>
    <w:rsid w:val="009F54CE"/>
    <w:rsid w:val="00A06264"/>
    <w:rsid w:val="00A128E3"/>
    <w:rsid w:val="00A1639A"/>
    <w:rsid w:val="00A215C9"/>
    <w:rsid w:val="00A31351"/>
    <w:rsid w:val="00A32F0C"/>
    <w:rsid w:val="00A3554C"/>
    <w:rsid w:val="00A5364B"/>
    <w:rsid w:val="00A60999"/>
    <w:rsid w:val="00A615E0"/>
    <w:rsid w:val="00A65E2B"/>
    <w:rsid w:val="00A7200E"/>
    <w:rsid w:val="00A74AA0"/>
    <w:rsid w:val="00A7546D"/>
    <w:rsid w:val="00A77100"/>
    <w:rsid w:val="00A773B2"/>
    <w:rsid w:val="00A91138"/>
    <w:rsid w:val="00AA4D97"/>
    <w:rsid w:val="00AB1E81"/>
    <w:rsid w:val="00AD17B7"/>
    <w:rsid w:val="00AE33D7"/>
    <w:rsid w:val="00AF08D2"/>
    <w:rsid w:val="00B069C5"/>
    <w:rsid w:val="00B06D1B"/>
    <w:rsid w:val="00B077D5"/>
    <w:rsid w:val="00B16A78"/>
    <w:rsid w:val="00B200E4"/>
    <w:rsid w:val="00B26FFD"/>
    <w:rsid w:val="00B35B6D"/>
    <w:rsid w:val="00B35DC6"/>
    <w:rsid w:val="00B3619D"/>
    <w:rsid w:val="00B4232D"/>
    <w:rsid w:val="00B51699"/>
    <w:rsid w:val="00B53FAF"/>
    <w:rsid w:val="00B63153"/>
    <w:rsid w:val="00B6527D"/>
    <w:rsid w:val="00B66C16"/>
    <w:rsid w:val="00B73B3A"/>
    <w:rsid w:val="00B74507"/>
    <w:rsid w:val="00B75718"/>
    <w:rsid w:val="00B75E7E"/>
    <w:rsid w:val="00B77621"/>
    <w:rsid w:val="00B77EAB"/>
    <w:rsid w:val="00B90261"/>
    <w:rsid w:val="00B92FD0"/>
    <w:rsid w:val="00B93817"/>
    <w:rsid w:val="00B9682D"/>
    <w:rsid w:val="00BA0B96"/>
    <w:rsid w:val="00BA5822"/>
    <w:rsid w:val="00BB15DA"/>
    <w:rsid w:val="00BB2707"/>
    <w:rsid w:val="00BB340D"/>
    <w:rsid w:val="00BB438E"/>
    <w:rsid w:val="00BB658C"/>
    <w:rsid w:val="00BC1B54"/>
    <w:rsid w:val="00BC2A3A"/>
    <w:rsid w:val="00BC64EC"/>
    <w:rsid w:val="00BD073D"/>
    <w:rsid w:val="00BE4198"/>
    <w:rsid w:val="00BF3AFD"/>
    <w:rsid w:val="00C023E8"/>
    <w:rsid w:val="00C1606C"/>
    <w:rsid w:val="00C171C1"/>
    <w:rsid w:val="00C23180"/>
    <w:rsid w:val="00C41492"/>
    <w:rsid w:val="00C502EC"/>
    <w:rsid w:val="00C50874"/>
    <w:rsid w:val="00C5466E"/>
    <w:rsid w:val="00C63201"/>
    <w:rsid w:val="00C67D85"/>
    <w:rsid w:val="00C702B5"/>
    <w:rsid w:val="00C70389"/>
    <w:rsid w:val="00C733F1"/>
    <w:rsid w:val="00C8495F"/>
    <w:rsid w:val="00C904B6"/>
    <w:rsid w:val="00C90A75"/>
    <w:rsid w:val="00C9231A"/>
    <w:rsid w:val="00C96DF4"/>
    <w:rsid w:val="00CA58B6"/>
    <w:rsid w:val="00CA6A66"/>
    <w:rsid w:val="00CC1337"/>
    <w:rsid w:val="00CC2514"/>
    <w:rsid w:val="00CC48DF"/>
    <w:rsid w:val="00CD42E0"/>
    <w:rsid w:val="00CD4A91"/>
    <w:rsid w:val="00CD70E7"/>
    <w:rsid w:val="00CD7363"/>
    <w:rsid w:val="00CE0BB9"/>
    <w:rsid w:val="00CE0C1F"/>
    <w:rsid w:val="00CE455F"/>
    <w:rsid w:val="00CF0BF9"/>
    <w:rsid w:val="00CF2C0D"/>
    <w:rsid w:val="00CF5957"/>
    <w:rsid w:val="00D04BA2"/>
    <w:rsid w:val="00D077B0"/>
    <w:rsid w:val="00D14EDA"/>
    <w:rsid w:val="00D22D42"/>
    <w:rsid w:val="00D27B75"/>
    <w:rsid w:val="00D36D8D"/>
    <w:rsid w:val="00D45711"/>
    <w:rsid w:val="00D500FC"/>
    <w:rsid w:val="00D5144F"/>
    <w:rsid w:val="00D51597"/>
    <w:rsid w:val="00D5326E"/>
    <w:rsid w:val="00D55867"/>
    <w:rsid w:val="00D57F53"/>
    <w:rsid w:val="00D634A3"/>
    <w:rsid w:val="00D64145"/>
    <w:rsid w:val="00D702C8"/>
    <w:rsid w:val="00D72339"/>
    <w:rsid w:val="00D73E47"/>
    <w:rsid w:val="00D74ABB"/>
    <w:rsid w:val="00D83CB7"/>
    <w:rsid w:val="00D916E0"/>
    <w:rsid w:val="00D97FA8"/>
    <w:rsid w:val="00DC7B25"/>
    <w:rsid w:val="00DD6B73"/>
    <w:rsid w:val="00DE23F8"/>
    <w:rsid w:val="00DE3897"/>
    <w:rsid w:val="00DE7CC2"/>
    <w:rsid w:val="00E05CF6"/>
    <w:rsid w:val="00E112C9"/>
    <w:rsid w:val="00E1314C"/>
    <w:rsid w:val="00E158F7"/>
    <w:rsid w:val="00E2087E"/>
    <w:rsid w:val="00E2636D"/>
    <w:rsid w:val="00E34976"/>
    <w:rsid w:val="00E36818"/>
    <w:rsid w:val="00E36E5F"/>
    <w:rsid w:val="00E42887"/>
    <w:rsid w:val="00E47B97"/>
    <w:rsid w:val="00E5203C"/>
    <w:rsid w:val="00E634CC"/>
    <w:rsid w:val="00E82F0E"/>
    <w:rsid w:val="00E9556E"/>
    <w:rsid w:val="00E95F89"/>
    <w:rsid w:val="00E96065"/>
    <w:rsid w:val="00E96FAC"/>
    <w:rsid w:val="00EA129F"/>
    <w:rsid w:val="00EB7A31"/>
    <w:rsid w:val="00EB7C48"/>
    <w:rsid w:val="00ED0582"/>
    <w:rsid w:val="00ED7374"/>
    <w:rsid w:val="00EE2C4F"/>
    <w:rsid w:val="00EE31F6"/>
    <w:rsid w:val="00EE36DC"/>
    <w:rsid w:val="00EE77BB"/>
    <w:rsid w:val="00F00799"/>
    <w:rsid w:val="00F044EE"/>
    <w:rsid w:val="00F135B3"/>
    <w:rsid w:val="00F3320B"/>
    <w:rsid w:val="00F4044F"/>
    <w:rsid w:val="00F40E92"/>
    <w:rsid w:val="00F41947"/>
    <w:rsid w:val="00F435AA"/>
    <w:rsid w:val="00F4603A"/>
    <w:rsid w:val="00F66FF2"/>
    <w:rsid w:val="00F75C84"/>
    <w:rsid w:val="00F76C6A"/>
    <w:rsid w:val="00F83BF1"/>
    <w:rsid w:val="00F90CB9"/>
    <w:rsid w:val="00F97373"/>
    <w:rsid w:val="00FA0254"/>
    <w:rsid w:val="00FA6854"/>
    <w:rsid w:val="00FB064F"/>
    <w:rsid w:val="00FB0F6B"/>
    <w:rsid w:val="00FB144F"/>
    <w:rsid w:val="00FB159A"/>
    <w:rsid w:val="00FB4C38"/>
    <w:rsid w:val="00FB4D77"/>
    <w:rsid w:val="00FC497D"/>
    <w:rsid w:val="00FD076B"/>
    <w:rsid w:val="00FE031D"/>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5CF9775E"/>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740690">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ossmann-berg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file:///\\file01\Marketing\Presse\Vorlagen\BFR\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26EA-C9D9-4A46-8B6C-7C5BE6A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25</cp:revision>
  <cp:lastPrinted>2020-03-31T09:37:00Z</cp:lastPrinted>
  <dcterms:created xsi:type="dcterms:W3CDTF">2020-03-31T09:26:00Z</dcterms:created>
  <dcterms:modified xsi:type="dcterms:W3CDTF">2020-03-31T12:59:00Z</dcterms:modified>
</cp:coreProperties>
</file>