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D771" w14:textId="6FBF1845" w:rsidR="00D04BA2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452892">
        <w:rPr>
          <w:rFonts w:ascii="Arial" w:hAnsi="Arial" w:cs="Arial"/>
          <w:b/>
        </w:rPr>
        <w:t>1</w:t>
      </w:r>
      <w:r w:rsidR="00267258">
        <w:rPr>
          <w:rFonts w:ascii="Arial" w:hAnsi="Arial" w:cs="Arial"/>
          <w:b/>
        </w:rPr>
        <w:t>.-</w:t>
      </w:r>
      <w:r w:rsidR="00C65D69">
        <w:rPr>
          <w:rFonts w:ascii="Arial" w:hAnsi="Arial" w:cs="Arial"/>
          <w:b/>
        </w:rPr>
        <w:t>4</w:t>
      </w:r>
      <w:r w:rsidR="0089000C" w:rsidRPr="00470BCC">
        <w:rPr>
          <w:rFonts w:ascii="Arial" w:hAnsi="Arial" w:cs="Arial"/>
          <w:b/>
        </w:rPr>
        <w:t>. Quartal 20</w:t>
      </w:r>
      <w:r w:rsidR="00452892">
        <w:rPr>
          <w:rFonts w:ascii="Arial" w:hAnsi="Arial" w:cs="Arial"/>
          <w:b/>
        </w:rPr>
        <w:t>20</w:t>
      </w:r>
      <w:r w:rsidR="00470BCC">
        <w:rPr>
          <w:rFonts w:ascii="Arial" w:hAnsi="Arial" w:cs="Arial"/>
          <w:b/>
        </w:rPr>
        <w:br/>
      </w:r>
      <w:r w:rsidR="003C4D42">
        <w:rPr>
          <w:rFonts w:ascii="Arial" w:hAnsi="Arial" w:cs="Arial"/>
          <w:b/>
          <w:sz w:val="28"/>
          <w:szCs w:val="28"/>
        </w:rPr>
        <w:t xml:space="preserve">Neue Normalität – Besichtigungen mit Abstand und Maske 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689C87" w14:textId="0151FB9B" w:rsidR="00363DD7" w:rsidRDefault="0089000C" w:rsidP="003C4D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C65D69">
        <w:rPr>
          <w:rFonts w:ascii="Arial" w:hAnsi="Arial" w:cs="Arial"/>
          <w:b/>
          <w:sz w:val="20"/>
          <w:szCs w:val="20"/>
        </w:rPr>
        <w:t>4</w:t>
      </w:r>
      <w:r w:rsidR="00732079">
        <w:rPr>
          <w:rFonts w:ascii="Arial" w:hAnsi="Arial" w:cs="Arial"/>
          <w:b/>
          <w:sz w:val="20"/>
          <w:szCs w:val="20"/>
        </w:rPr>
        <w:t xml:space="preserve">. </w:t>
      </w:r>
      <w:r w:rsidR="00C65D69">
        <w:rPr>
          <w:rFonts w:ascii="Arial" w:hAnsi="Arial" w:cs="Arial"/>
          <w:b/>
          <w:sz w:val="20"/>
          <w:szCs w:val="20"/>
        </w:rPr>
        <w:t>Januar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</w:t>
      </w:r>
      <w:r w:rsidR="00C65D69">
        <w:rPr>
          <w:rFonts w:ascii="Arial" w:hAnsi="Arial" w:cs="Arial"/>
          <w:b/>
          <w:sz w:val="20"/>
          <w:szCs w:val="20"/>
        </w:rPr>
        <w:t>1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FB4C38">
        <w:rPr>
          <w:rFonts w:ascii="Arial" w:hAnsi="Arial" w:cs="Arial"/>
          <w:sz w:val="20"/>
          <w:szCs w:val="20"/>
        </w:rPr>
        <w:t xml:space="preserve"> </w:t>
      </w:r>
      <w:r w:rsidR="003C4D42">
        <w:rPr>
          <w:rFonts w:ascii="Arial" w:hAnsi="Arial" w:cs="Arial"/>
          <w:sz w:val="20"/>
          <w:szCs w:val="20"/>
        </w:rPr>
        <w:t>D</w:t>
      </w:r>
      <w:r w:rsidR="00372819">
        <w:rPr>
          <w:rFonts w:ascii="Arial" w:hAnsi="Arial" w:cs="Arial"/>
          <w:sz w:val="20"/>
          <w:szCs w:val="20"/>
        </w:rPr>
        <w:t xml:space="preserve">ie </w:t>
      </w:r>
      <w:r w:rsidR="00763617">
        <w:rPr>
          <w:rFonts w:ascii="Arial" w:hAnsi="Arial" w:cs="Arial"/>
          <w:sz w:val="20"/>
          <w:szCs w:val="20"/>
        </w:rPr>
        <w:t>Aktivitäten auf dem</w:t>
      </w:r>
      <w:r w:rsidR="003C4D42">
        <w:rPr>
          <w:rFonts w:ascii="Arial" w:hAnsi="Arial" w:cs="Arial"/>
          <w:sz w:val="20"/>
          <w:szCs w:val="20"/>
        </w:rPr>
        <w:t xml:space="preserve"> Hamburger Büromarkt </w:t>
      </w:r>
      <w:r w:rsidR="00372819">
        <w:rPr>
          <w:rFonts w:ascii="Arial" w:hAnsi="Arial" w:cs="Arial"/>
          <w:sz w:val="20"/>
          <w:szCs w:val="20"/>
        </w:rPr>
        <w:t>wurde</w:t>
      </w:r>
      <w:r w:rsidR="00763617">
        <w:rPr>
          <w:rFonts w:ascii="Arial" w:hAnsi="Arial" w:cs="Arial"/>
          <w:sz w:val="20"/>
          <w:szCs w:val="20"/>
        </w:rPr>
        <w:t>n</w:t>
      </w:r>
      <w:r w:rsidR="00372819">
        <w:rPr>
          <w:rFonts w:ascii="Arial" w:hAnsi="Arial" w:cs="Arial"/>
          <w:sz w:val="20"/>
          <w:szCs w:val="20"/>
        </w:rPr>
        <w:t xml:space="preserve"> 2020 ab</w:t>
      </w:r>
      <w:r w:rsidR="003C4D42">
        <w:rPr>
          <w:rFonts w:ascii="Arial" w:hAnsi="Arial" w:cs="Arial"/>
          <w:sz w:val="20"/>
          <w:szCs w:val="20"/>
        </w:rPr>
        <w:t xml:space="preserve"> dem Beginn des 2. Quartals </w:t>
      </w:r>
      <w:r w:rsidR="00372819">
        <w:rPr>
          <w:rFonts w:ascii="Arial" w:hAnsi="Arial" w:cs="Arial"/>
          <w:sz w:val="20"/>
          <w:szCs w:val="20"/>
        </w:rPr>
        <w:t xml:space="preserve">maßgeblich von den konjunkturellen Auswirkungen der Corona-Pandemie bestimmt. </w:t>
      </w:r>
      <w:r w:rsidR="003C4D42" w:rsidRPr="003C4D42">
        <w:rPr>
          <w:rFonts w:ascii="Arial" w:hAnsi="Arial" w:cs="Arial"/>
          <w:sz w:val="20"/>
          <w:szCs w:val="20"/>
        </w:rPr>
        <w:t xml:space="preserve">Zwar zog </w:t>
      </w:r>
      <w:r w:rsidR="00372819">
        <w:rPr>
          <w:rFonts w:ascii="Arial" w:hAnsi="Arial" w:cs="Arial"/>
          <w:sz w:val="20"/>
          <w:szCs w:val="20"/>
        </w:rPr>
        <w:t xml:space="preserve">der </w:t>
      </w:r>
      <w:r w:rsidR="00763617">
        <w:rPr>
          <w:rFonts w:ascii="Arial" w:hAnsi="Arial" w:cs="Arial"/>
          <w:sz w:val="20"/>
          <w:szCs w:val="20"/>
        </w:rPr>
        <w:t>Büroflächenu</w:t>
      </w:r>
      <w:r w:rsidR="00372819">
        <w:rPr>
          <w:rFonts w:ascii="Arial" w:hAnsi="Arial" w:cs="Arial"/>
          <w:sz w:val="20"/>
          <w:szCs w:val="20"/>
        </w:rPr>
        <w:t xml:space="preserve">msatz </w:t>
      </w:r>
      <w:r w:rsidR="00BC39B1">
        <w:rPr>
          <w:rFonts w:ascii="Arial" w:hAnsi="Arial" w:cs="Arial"/>
          <w:sz w:val="20"/>
          <w:szCs w:val="20"/>
        </w:rPr>
        <w:t>inklusive des „</w:t>
      </w:r>
      <w:proofErr w:type="spellStart"/>
      <w:r w:rsidR="00BC39B1">
        <w:rPr>
          <w:rFonts w:ascii="Arial" w:hAnsi="Arial" w:cs="Arial"/>
          <w:sz w:val="20"/>
          <w:szCs w:val="20"/>
        </w:rPr>
        <w:t>Elbtower</w:t>
      </w:r>
      <w:proofErr w:type="spellEnd"/>
      <w:r w:rsidR="00BC39B1">
        <w:rPr>
          <w:rFonts w:ascii="Arial" w:hAnsi="Arial" w:cs="Arial"/>
          <w:sz w:val="20"/>
          <w:szCs w:val="20"/>
        </w:rPr>
        <w:t xml:space="preserve">“-Abschlusses </w:t>
      </w:r>
      <w:r w:rsidR="003C4D42" w:rsidRPr="003C4D42">
        <w:rPr>
          <w:rFonts w:ascii="Arial" w:hAnsi="Arial" w:cs="Arial"/>
          <w:sz w:val="20"/>
          <w:szCs w:val="20"/>
        </w:rPr>
        <w:t xml:space="preserve">im 4. Quartal </w:t>
      </w:r>
      <w:r w:rsidR="00372819">
        <w:rPr>
          <w:rFonts w:ascii="Arial" w:hAnsi="Arial" w:cs="Arial"/>
          <w:sz w:val="20"/>
          <w:szCs w:val="20"/>
        </w:rPr>
        <w:t>mit 90.000 m²</w:t>
      </w:r>
      <w:r w:rsidR="00763617">
        <w:rPr>
          <w:rFonts w:ascii="Arial" w:hAnsi="Arial" w:cs="Arial"/>
          <w:sz w:val="20"/>
          <w:szCs w:val="20"/>
        </w:rPr>
        <w:t xml:space="preserve"> nach 85.000 m² im 3. </w:t>
      </w:r>
      <w:r w:rsidR="00BC39B1">
        <w:rPr>
          <w:rFonts w:ascii="Arial" w:hAnsi="Arial" w:cs="Arial"/>
          <w:sz w:val="20"/>
          <w:szCs w:val="20"/>
        </w:rPr>
        <w:t xml:space="preserve">Jahresviertel </w:t>
      </w:r>
      <w:r w:rsidR="00763617">
        <w:rPr>
          <w:rFonts w:ascii="Arial" w:hAnsi="Arial" w:cs="Arial"/>
          <w:sz w:val="20"/>
          <w:szCs w:val="20"/>
        </w:rPr>
        <w:t>und 70.000 m² im 2. Quartal nochmals etwas an.</w:t>
      </w:r>
      <w:r w:rsidR="003C4D42" w:rsidRPr="003C4D42">
        <w:rPr>
          <w:rFonts w:ascii="Arial" w:hAnsi="Arial" w:cs="Arial"/>
          <w:sz w:val="20"/>
          <w:szCs w:val="20"/>
        </w:rPr>
        <w:t xml:space="preserve"> </w:t>
      </w:r>
      <w:r w:rsidR="003C7E96">
        <w:rPr>
          <w:rFonts w:ascii="Arial" w:hAnsi="Arial" w:cs="Arial"/>
          <w:sz w:val="20"/>
          <w:szCs w:val="20"/>
        </w:rPr>
        <w:t xml:space="preserve">Insgesamt belief sich </w:t>
      </w:r>
      <w:r w:rsidR="003C4D42" w:rsidRPr="003C4D42">
        <w:rPr>
          <w:rFonts w:ascii="Arial" w:hAnsi="Arial" w:cs="Arial"/>
          <w:sz w:val="20"/>
          <w:szCs w:val="20"/>
        </w:rPr>
        <w:t xml:space="preserve">der </w:t>
      </w:r>
      <w:r w:rsidR="003C7E96">
        <w:rPr>
          <w:rFonts w:ascii="Arial" w:hAnsi="Arial" w:cs="Arial"/>
          <w:sz w:val="20"/>
          <w:szCs w:val="20"/>
        </w:rPr>
        <w:t>F</w:t>
      </w:r>
      <w:r w:rsidR="003C4D42" w:rsidRPr="003C4D42">
        <w:rPr>
          <w:rFonts w:ascii="Arial" w:hAnsi="Arial" w:cs="Arial"/>
          <w:sz w:val="20"/>
          <w:szCs w:val="20"/>
        </w:rPr>
        <w:t xml:space="preserve">lächenumsatz </w:t>
      </w:r>
      <w:r w:rsidR="00F172FE">
        <w:rPr>
          <w:rFonts w:ascii="Arial" w:hAnsi="Arial" w:cs="Arial"/>
          <w:sz w:val="20"/>
          <w:szCs w:val="20"/>
        </w:rPr>
        <w:t>2020</w:t>
      </w:r>
      <w:r w:rsidR="0053031B">
        <w:rPr>
          <w:rFonts w:ascii="Arial" w:hAnsi="Arial" w:cs="Arial"/>
          <w:sz w:val="20"/>
          <w:szCs w:val="20"/>
        </w:rPr>
        <w:t xml:space="preserve"> </w:t>
      </w:r>
      <w:r w:rsidR="003C4D42" w:rsidRPr="003C4D42">
        <w:rPr>
          <w:rFonts w:ascii="Arial" w:hAnsi="Arial" w:cs="Arial"/>
          <w:sz w:val="20"/>
          <w:szCs w:val="20"/>
        </w:rPr>
        <w:t xml:space="preserve">jedoch </w:t>
      </w:r>
      <w:r w:rsidR="00BC39B1">
        <w:rPr>
          <w:rFonts w:ascii="Arial" w:hAnsi="Arial" w:cs="Arial"/>
          <w:sz w:val="20"/>
          <w:szCs w:val="20"/>
        </w:rPr>
        <w:t xml:space="preserve">auf </w:t>
      </w:r>
      <w:r w:rsidR="00BC39B1" w:rsidRPr="003C4D42">
        <w:rPr>
          <w:rFonts w:ascii="Arial" w:hAnsi="Arial" w:cs="Arial"/>
          <w:sz w:val="20"/>
          <w:szCs w:val="20"/>
        </w:rPr>
        <w:t>340.000 m²</w:t>
      </w:r>
      <w:r w:rsidR="00BC39B1">
        <w:rPr>
          <w:rFonts w:ascii="Arial" w:hAnsi="Arial" w:cs="Arial"/>
          <w:sz w:val="20"/>
          <w:szCs w:val="20"/>
        </w:rPr>
        <w:t xml:space="preserve">, ermittelte </w:t>
      </w:r>
      <w:r w:rsidR="00372819" w:rsidRPr="00372819">
        <w:rPr>
          <w:rFonts w:ascii="Arial" w:hAnsi="Arial" w:cs="Arial"/>
          <w:sz w:val="20"/>
          <w:szCs w:val="20"/>
        </w:rPr>
        <w:t>Grossmann &amp; Berger</w:t>
      </w:r>
      <w:r w:rsidR="003C7E96">
        <w:rPr>
          <w:rFonts w:ascii="Arial" w:hAnsi="Arial" w:cs="Arial"/>
          <w:sz w:val="20"/>
          <w:szCs w:val="20"/>
        </w:rPr>
        <w:t>, Mitglied von</w:t>
      </w:r>
      <w:r w:rsidR="00BC39B1">
        <w:rPr>
          <w:rFonts w:ascii="Arial" w:hAnsi="Arial" w:cs="Arial"/>
          <w:sz w:val="20"/>
          <w:szCs w:val="20"/>
        </w:rPr>
        <w:t xml:space="preserve"> German Property Partners (GPP). Damit </w:t>
      </w:r>
      <w:r w:rsidR="00F172FE">
        <w:rPr>
          <w:rFonts w:ascii="Arial" w:hAnsi="Arial" w:cs="Arial"/>
          <w:sz w:val="20"/>
          <w:szCs w:val="20"/>
        </w:rPr>
        <w:t xml:space="preserve">unterbot </w:t>
      </w:r>
      <w:r w:rsidR="00BC39B1">
        <w:rPr>
          <w:rFonts w:ascii="Arial" w:hAnsi="Arial" w:cs="Arial"/>
          <w:sz w:val="20"/>
          <w:szCs w:val="20"/>
        </w:rPr>
        <w:t xml:space="preserve">er </w:t>
      </w:r>
      <w:r w:rsidR="00F172FE">
        <w:rPr>
          <w:rFonts w:ascii="Arial" w:hAnsi="Arial" w:cs="Arial"/>
          <w:sz w:val="20"/>
          <w:szCs w:val="20"/>
        </w:rPr>
        <w:t>das Vorjahresergebnis</w:t>
      </w:r>
      <w:r w:rsidR="003C4D42" w:rsidRPr="003C4D42">
        <w:rPr>
          <w:rFonts w:ascii="Arial" w:hAnsi="Arial" w:cs="Arial"/>
          <w:sz w:val="20"/>
          <w:szCs w:val="20"/>
        </w:rPr>
        <w:t xml:space="preserve"> um knapp 40 %.</w:t>
      </w:r>
      <w:r w:rsidR="00372819">
        <w:rPr>
          <w:rFonts w:ascii="Arial" w:hAnsi="Arial" w:cs="Arial"/>
          <w:sz w:val="20"/>
          <w:szCs w:val="20"/>
        </w:rPr>
        <w:t xml:space="preserve"> </w:t>
      </w:r>
      <w:r w:rsidR="00F172FE">
        <w:rPr>
          <w:rFonts w:ascii="Arial" w:hAnsi="Arial" w:cs="Arial"/>
          <w:sz w:val="20"/>
          <w:szCs w:val="20"/>
        </w:rPr>
        <w:t xml:space="preserve">Kein Büroflächenumsatz </w:t>
      </w:r>
      <w:r w:rsidR="0053031B">
        <w:rPr>
          <w:rFonts w:ascii="Arial" w:hAnsi="Arial" w:cs="Arial"/>
          <w:sz w:val="20"/>
          <w:szCs w:val="20"/>
        </w:rPr>
        <w:t>seit 2003</w:t>
      </w:r>
      <w:r w:rsidR="00F172FE">
        <w:rPr>
          <w:rFonts w:ascii="Arial" w:hAnsi="Arial" w:cs="Arial"/>
          <w:sz w:val="20"/>
          <w:szCs w:val="20"/>
        </w:rPr>
        <w:t xml:space="preserve"> war niedriger.</w:t>
      </w:r>
    </w:p>
    <w:p w14:paraId="46FD7BD1" w14:textId="77777777" w:rsidR="00363DD7" w:rsidRDefault="00363DD7" w:rsidP="003C4D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69007A" w14:textId="104037BC" w:rsidR="00363DD7" w:rsidRPr="00363DD7" w:rsidRDefault="00E4063D" w:rsidP="00363DD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Lichtblick Corona-Impfungen</w:t>
      </w:r>
    </w:p>
    <w:p w14:paraId="200869FE" w14:textId="0583EEB3" w:rsidR="003C4D42" w:rsidRDefault="00372819" w:rsidP="003C4D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031B">
        <w:rPr>
          <w:rFonts w:ascii="Arial" w:hAnsi="Arial" w:cs="Arial"/>
          <w:i/>
          <w:sz w:val="20"/>
          <w:szCs w:val="20"/>
        </w:rPr>
        <w:t>„</w:t>
      </w:r>
      <w:r w:rsidR="00612FE1" w:rsidRPr="0053031B">
        <w:rPr>
          <w:rFonts w:ascii="Arial" w:hAnsi="Arial" w:cs="Arial"/>
          <w:i/>
          <w:sz w:val="20"/>
          <w:szCs w:val="20"/>
        </w:rPr>
        <w:t xml:space="preserve">Die </w:t>
      </w:r>
      <w:r w:rsidR="00C00F4E" w:rsidRPr="0053031B">
        <w:rPr>
          <w:rFonts w:ascii="Arial" w:hAnsi="Arial" w:cs="Arial"/>
          <w:i/>
          <w:sz w:val="20"/>
          <w:szCs w:val="20"/>
        </w:rPr>
        <w:t xml:space="preserve">mittlerweile laufenden </w:t>
      </w:r>
      <w:r w:rsidR="00612FE1" w:rsidRPr="0053031B">
        <w:rPr>
          <w:rFonts w:ascii="Arial" w:hAnsi="Arial" w:cs="Arial"/>
          <w:i/>
          <w:sz w:val="20"/>
          <w:szCs w:val="20"/>
        </w:rPr>
        <w:t xml:space="preserve">Corona-Impfungen </w:t>
      </w:r>
      <w:r w:rsidR="00C00F4E" w:rsidRPr="0053031B">
        <w:rPr>
          <w:rFonts w:ascii="Arial" w:hAnsi="Arial" w:cs="Arial"/>
          <w:i/>
          <w:sz w:val="20"/>
          <w:szCs w:val="20"/>
        </w:rPr>
        <w:t>erweisen sich als</w:t>
      </w:r>
      <w:r w:rsidR="0053031B">
        <w:rPr>
          <w:rFonts w:ascii="Arial" w:hAnsi="Arial" w:cs="Arial"/>
          <w:i/>
          <w:sz w:val="20"/>
          <w:szCs w:val="20"/>
        </w:rPr>
        <w:t xml:space="preserve"> </w:t>
      </w:r>
      <w:r w:rsidR="00612FE1" w:rsidRPr="0053031B">
        <w:rPr>
          <w:rFonts w:ascii="Arial" w:hAnsi="Arial" w:cs="Arial"/>
          <w:i/>
          <w:sz w:val="20"/>
          <w:szCs w:val="20"/>
        </w:rPr>
        <w:t xml:space="preserve">Lichtblick. Kurzfristig bleibt die Lage jedoch </w:t>
      </w:r>
      <w:r w:rsidR="00DF2587" w:rsidRPr="0053031B">
        <w:rPr>
          <w:rFonts w:ascii="Arial" w:hAnsi="Arial" w:cs="Arial"/>
          <w:i/>
          <w:sz w:val="20"/>
          <w:szCs w:val="20"/>
        </w:rPr>
        <w:t xml:space="preserve">angespannt </w:t>
      </w:r>
      <w:r w:rsidR="00612FE1" w:rsidRPr="0053031B">
        <w:rPr>
          <w:rFonts w:ascii="Arial" w:hAnsi="Arial" w:cs="Arial"/>
          <w:i/>
          <w:sz w:val="20"/>
          <w:szCs w:val="20"/>
        </w:rPr>
        <w:t>a</w:t>
      </w:r>
      <w:r w:rsidRPr="0053031B">
        <w:rPr>
          <w:rFonts w:ascii="Arial" w:hAnsi="Arial" w:cs="Arial"/>
          <w:i/>
          <w:sz w:val="20"/>
          <w:szCs w:val="20"/>
        </w:rPr>
        <w:t>ngesichts des aktuellen Infektionsgeschehens</w:t>
      </w:r>
      <w:r w:rsidR="00C00F4E" w:rsidRPr="0053031B">
        <w:rPr>
          <w:rFonts w:ascii="Arial" w:hAnsi="Arial" w:cs="Arial"/>
          <w:i/>
          <w:sz w:val="20"/>
          <w:szCs w:val="20"/>
        </w:rPr>
        <w:t>.</w:t>
      </w:r>
      <w:r w:rsidR="00612FE1" w:rsidRPr="0053031B">
        <w:rPr>
          <w:rFonts w:ascii="Arial" w:hAnsi="Arial" w:cs="Arial"/>
          <w:i/>
          <w:sz w:val="20"/>
          <w:szCs w:val="20"/>
        </w:rPr>
        <w:t xml:space="preserve"> </w:t>
      </w:r>
      <w:r w:rsidR="00DF2587" w:rsidRPr="0053031B">
        <w:rPr>
          <w:rFonts w:ascii="Arial" w:hAnsi="Arial" w:cs="Arial"/>
          <w:i/>
          <w:sz w:val="20"/>
          <w:szCs w:val="20"/>
        </w:rPr>
        <w:t>V</w:t>
      </w:r>
      <w:r w:rsidR="00612FE1" w:rsidRPr="0053031B">
        <w:rPr>
          <w:rFonts w:ascii="Arial" w:hAnsi="Arial" w:cs="Arial"/>
          <w:i/>
          <w:sz w:val="20"/>
          <w:szCs w:val="20"/>
        </w:rPr>
        <w:t xml:space="preserve">iele Unternehmen </w:t>
      </w:r>
      <w:r w:rsidR="00DF2587" w:rsidRPr="0053031B">
        <w:rPr>
          <w:rFonts w:ascii="Arial" w:hAnsi="Arial" w:cs="Arial"/>
          <w:i/>
          <w:sz w:val="20"/>
          <w:szCs w:val="20"/>
        </w:rPr>
        <w:t>sind hinsichtlich</w:t>
      </w:r>
      <w:r w:rsidR="00B27E63" w:rsidRPr="0053031B">
        <w:rPr>
          <w:rFonts w:ascii="Arial" w:hAnsi="Arial" w:cs="Arial"/>
          <w:i/>
          <w:sz w:val="20"/>
          <w:szCs w:val="20"/>
        </w:rPr>
        <w:t xml:space="preserve"> </w:t>
      </w:r>
      <w:r w:rsidR="00862A99" w:rsidRPr="0053031B">
        <w:rPr>
          <w:rFonts w:ascii="Arial" w:hAnsi="Arial" w:cs="Arial"/>
          <w:i/>
          <w:sz w:val="20"/>
          <w:szCs w:val="20"/>
        </w:rPr>
        <w:t>ihre</w:t>
      </w:r>
      <w:r w:rsidR="00DF2587" w:rsidRPr="0053031B">
        <w:rPr>
          <w:rFonts w:ascii="Arial" w:hAnsi="Arial" w:cs="Arial"/>
          <w:i/>
          <w:sz w:val="20"/>
          <w:szCs w:val="20"/>
        </w:rPr>
        <w:t>r</w:t>
      </w:r>
      <w:r w:rsidR="00862A99" w:rsidRPr="0053031B">
        <w:rPr>
          <w:rFonts w:ascii="Arial" w:hAnsi="Arial" w:cs="Arial"/>
          <w:i/>
          <w:sz w:val="20"/>
          <w:szCs w:val="20"/>
        </w:rPr>
        <w:t xml:space="preserve"> </w:t>
      </w:r>
      <w:r w:rsidR="00B27E63" w:rsidRPr="0053031B">
        <w:rPr>
          <w:rFonts w:ascii="Arial" w:hAnsi="Arial" w:cs="Arial"/>
          <w:i/>
          <w:sz w:val="20"/>
          <w:szCs w:val="20"/>
        </w:rPr>
        <w:t>Anmietungsentscheidungen</w:t>
      </w:r>
      <w:r w:rsidR="00DF2587" w:rsidRPr="0053031B">
        <w:rPr>
          <w:rFonts w:ascii="Arial" w:hAnsi="Arial" w:cs="Arial"/>
          <w:i/>
          <w:sz w:val="20"/>
          <w:szCs w:val="20"/>
        </w:rPr>
        <w:t xml:space="preserve"> noch</w:t>
      </w:r>
      <w:r w:rsidR="00B27E63" w:rsidRPr="0053031B">
        <w:rPr>
          <w:rFonts w:ascii="Arial" w:hAnsi="Arial" w:cs="Arial"/>
          <w:i/>
          <w:sz w:val="20"/>
          <w:szCs w:val="20"/>
        </w:rPr>
        <w:t xml:space="preserve"> </w:t>
      </w:r>
      <w:r w:rsidR="00DF2587" w:rsidRPr="0053031B">
        <w:rPr>
          <w:rFonts w:ascii="Arial" w:hAnsi="Arial" w:cs="Arial"/>
          <w:i/>
          <w:sz w:val="20"/>
          <w:szCs w:val="20"/>
        </w:rPr>
        <w:t>z</w:t>
      </w:r>
      <w:r w:rsidR="00B27E63" w:rsidRPr="0053031B">
        <w:rPr>
          <w:rFonts w:ascii="Arial" w:hAnsi="Arial" w:cs="Arial"/>
          <w:i/>
          <w:sz w:val="20"/>
          <w:szCs w:val="20"/>
        </w:rPr>
        <w:t>urückhalt</w:t>
      </w:r>
      <w:r w:rsidR="00DF2587" w:rsidRPr="0053031B">
        <w:rPr>
          <w:rFonts w:ascii="Arial" w:hAnsi="Arial" w:cs="Arial"/>
          <w:i/>
          <w:sz w:val="20"/>
          <w:szCs w:val="20"/>
        </w:rPr>
        <w:t>end</w:t>
      </w:r>
      <w:r w:rsidR="00B27E63" w:rsidRPr="0053031B">
        <w:rPr>
          <w:rFonts w:ascii="Arial" w:hAnsi="Arial" w:cs="Arial"/>
          <w:i/>
          <w:sz w:val="20"/>
          <w:szCs w:val="20"/>
        </w:rPr>
        <w:t>.</w:t>
      </w:r>
      <w:r w:rsidR="00612FE1" w:rsidRPr="0053031B">
        <w:rPr>
          <w:rFonts w:ascii="Arial" w:hAnsi="Arial" w:cs="Arial"/>
          <w:i/>
          <w:sz w:val="20"/>
          <w:szCs w:val="20"/>
        </w:rPr>
        <w:t xml:space="preserve"> </w:t>
      </w:r>
      <w:r w:rsidR="00B27E63" w:rsidRPr="0053031B">
        <w:rPr>
          <w:rFonts w:ascii="Arial" w:hAnsi="Arial" w:cs="Arial"/>
          <w:i/>
          <w:sz w:val="20"/>
          <w:szCs w:val="20"/>
        </w:rPr>
        <w:t xml:space="preserve">Dennoch </w:t>
      </w:r>
      <w:r w:rsidR="00DF2587" w:rsidRPr="0053031B">
        <w:rPr>
          <w:rFonts w:ascii="Arial" w:hAnsi="Arial" w:cs="Arial"/>
          <w:i/>
          <w:sz w:val="20"/>
          <w:szCs w:val="20"/>
        </w:rPr>
        <w:t>ist</w:t>
      </w:r>
      <w:r w:rsidR="00B27E63" w:rsidRPr="0053031B">
        <w:rPr>
          <w:rFonts w:ascii="Arial" w:hAnsi="Arial" w:cs="Arial"/>
          <w:i/>
          <w:sz w:val="20"/>
          <w:szCs w:val="20"/>
        </w:rPr>
        <w:t xml:space="preserve"> so etwas wie eine „</w:t>
      </w:r>
      <w:r w:rsidR="00DF2587" w:rsidRPr="0053031B">
        <w:rPr>
          <w:rFonts w:ascii="Arial" w:hAnsi="Arial" w:cs="Arial"/>
          <w:i/>
          <w:sz w:val="20"/>
          <w:szCs w:val="20"/>
        </w:rPr>
        <w:t>n</w:t>
      </w:r>
      <w:r w:rsidR="00B27E63" w:rsidRPr="0053031B">
        <w:rPr>
          <w:rFonts w:ascii="Arial" w:hAnsi="Arial" w:cs="Arial"/>
          <w:i/>
          <w:sz w:val="20"/>
          <w:szCs w:val="20"/>
        </w:rPr>
        <w:t>eue Normalität“</w:t>
      </w:r>
      <w:r w:rsidR="00DF2587" w:rsidRPr="0053031B">
        <w:rPr>
          <w:rFonts w:ascii="Arial" w:hAnsi="Arial" w:cs="Arial"/>
          <w:i/>
          <w:sz w:val="20"/>
          <w:szCs w:val="20"/>
        </w:rPr>
        <w:t xml:space="preserve"> eingekehrt</w:t>
      </w:r>
      <w:r w:rsidR="005A5C40" w:rsidRPr="0053031B">
        <w:rPr>
          <w:rFonts w:ascii="Arial" w:hAnsi="Arial" w:cs="Arial"/>
          <w:i/>
          <w:sz w:val="20"/>
          <w:szCs w:val="20"/>
        </w:rPr>
        <w:t>:</w:t>
      </w:r>
      <w:r w:rsidR="00B27E63" w:rsidRPr="0053031B">
        <w:rPr>
          <w:rFonts w:ascii="Arial" w:hAnsi="Arial" w:cs="Arial"/>
          <w:i/>
          <w:sz w:val="20"/>
          <w:szCs w:val="20"/>
        </w:rPr>
        <w:t xml:space="preserve"> </w:t>
      </w:r>
      <w:r w:rsidR="00DF2587" w:rsidRPr="0053031B">
        <w:rPr>
          <w:rFonts w:ascii="Arial" w:hAnsi="Arial" w:cs="Arial"/>
          <w:i/>
          <w:sz w:val="20"/>
          <w:szCs w:val="20"/>
        </w:rPr>
        <w:t>Kunden besichtigen</w:t>
      </w:r>
      <w:r w:rsidR="00B27E63" w:rsidRPr="0053031B">
        <w:rPr>
          <w:rFonts w:ascii="Arial" w:hAnsi="Arial" w:cs="Arial"/>
          <w:i/>
          <w:sz w:val="20"/>
          <w:szCs w:val="20"/>
        </w:rPr>
        <w:t xml:space="preserve"> wieder </w:t>
      </w:r>
      <w:r w:rsidR="005A5C40" w:rsidRPr="0053031B">
        <w:rPr>
          <w:rFonts w:ascii="Arial" w:hAnsi="Arial" w:cs="Arial"/>
          <w:i/>
          <w:sz w:val="20"/>
          <w:szCs w:val="20"/>
        </w:rPr>
        <w:t xml:space="preserve">standardmäßig </w:t>
      </w:r>
      <w:r w:rsidR="00DF2587" w:rsidRPr="0053031B">
        <w:rPr>
          <w:rFonts w:ascii="Arial" w:hAnsi="Arial" w:cs="Arial"/>
          <w:i/>
          <w:sz w:val="20"/>
          <w:szCs w:val="20"/>
        </w:rPr>
        <w:t xml:space="preserve">Flächen, </w:t>
      </w:r>
      <w:r w:rsidR="00D8438D">
        <w:rPr>
          <w:rFonts w:ascii="Arial" w:hAnsi="Arial" w:cs="Arial"/>
          <w:i/>
          <w:sz w:val="20"/>
          <w:szCs w:val="20"/>
        </w:rPr>
        <w:t>eben</w:t>
      </w:r>
      <w:r w:rsidR="00DF2587" w:rsidRPr="0053031B">
        <w:rPr>
          <w:rFonts w:ascii="Arial" w:hAnsi="Arial" w:cs="Arial"/>
          <w:i/>
          <w:sz w:val="20"/>
          <w:szCs w:val="20"/>
        </w:rPr>
        <w:t xml:space="preserve"> </w:t>
      </w:r>
      <w:r w:rsidR="00B27E63" w:rsidRPr="0053031B">
        <w:rPr>
          <w:rFonts w:ascii="Arial" w:hAnsi="Arial" w:cs="Arial"/>
          <w:i/>
          <w:sz w:val="20"/>
          <w:szCs w:val="20"/>
        </w:rPr>
        <w:t>mit Abstand und Maske“,</w:t>
      </w:r>
      <w:r w:rsidR="00B27E63">
        <w:rPr>
          <w:rFonts w:ascii="Arial" w:hAnsi="Arial" w:cs="Arial"/>
          <w:sz w:val="20"/>
          <w:szCs w:val="20"/>
        </w:rPr>
        <w:t xml:space="preserve"> </w:t>
      </w:r>
      <w:r w:rsidR="00DF2587">
        <w:rPr>
          <w:rFonts w:ascii="Arial" w:hAnsi="Arial" w:cs="Arial"/>
          <w:sz w:val="20"/>
          <w:szCs w:val="20"/>
        </w:rPr>
        <w:t xml:space="preserve">erläutert </w:t>
      </w:r>
      <w:r w:rsidR="00B27E63" w:rsidRPr="00B27E63">
        <w:rPr>
          <w:rFonts w:ascii="Arial" w:hAnsi="Arial" w:cs="Arial"/>
          <w:sz w:val="20"/>
          <w:szCs w:val="20"/>
        </w:rPr>
        <w:t xml:space="preserve">Geschäftsführer </w:t>
      </w:r>
      <w:r w:rsidR="00B27E63" w:rsidRPr="00B27E63">
        <w:rPr>
          <w:rFonts w:ascii="Arial" w:hAnsi="Arial" w:cs="Arial"/>
          <w:b/>
          <w:sz w:val="20"/>
          <w:szCs w:val="20"/>
        </w:rPr>
        <w:t>Andreas Rehberg</w:t>
      </w:r>
      <w:r w:rsidR="00B27E63" w:rsidRPr="00B27E63">
        <w:rPr>
          <w:rFonts w:ascii="Arial" w:hAnsi="Arial" w:cs="Arial"/>
          <w:sz w:val="20"/>
          <w:szCs w:val="20"/>
        </w:rPr>
        <w:t>.</w:t>
      </w:r>
      <w:r w:rsidR="00842AD1">
        <w:rPr>
          <w:rFonts w:ascii="Arial" w:hAnsi="Arial" w:cs="Arial"/>
          <w:sz w:val="20"/>
          <w:szCs w:val="20"/>
        </w:rPr>
        <w:t xml:space="preserve"> </w:t>
      </w:r>
      <w:r w:rsidR="00842AD1" w:rsidRPr="0053031B">
        <w:rPr>
          <w:rFonts w:ascii="Arial" w:hAnsi="Arial" w:cs="Arial"/>
          <w:i/>
          <w:sz w:val="20"/>
          <w:szCs w:val="20"/>
        </w:rPr>
        <w:t>„Aufgrund der schwierigen wirtschaftlichen Lage erwarten wir auch für die erste Jahreshälfte 2021 eine verhaltene Nachfrage nach Büroflächen. Marktbestimmend ist und bleibt das weitere Infektionsgeschehen.“</w:t>
      </w:r>
      <w:r w:rsidR="00842AD1">
        <w:rPr>
          <w:rFonts w:ascii="Arial" w:hAnsi="Arial" w:cs="Arial"/>
          <w:sz w:val="20"/>
          <w:szCs w:val="20"/>
        </w:rPr>
        <w:t xml:space="preserve"> </w:t>
      </w:r>
    </w:p>
    <w:p w14:paraId="1CE4666C" w14:textId="77777777" w:rsidR="00EE77BB" w:rsidRDefault="00EE77BB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72435A19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1A3E9FCF" w14:textId="6B86CE75" w:rsidR="00B27E63" w:rsidRPr="00B27E63" w:rsidRDefault="000A7D42" w:rsidP="00B27E63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 als der Flächenumsatz blieben die Büromieten in Hamburg 2020 trotz der Corona-Pandemie weitestgehend stabil: </w:t>
      </w:r>
      <w:r w:rsidR="00B27E63" w:rsidRPr="00B27E63">
        <w:rPr>
          <w:rFonts w:ascii="Arial" w:hAnsi="Arial" w:cs="Arial"/>
          <w:sz w:val="20"/>
          <w:szCs w:val="20"/>
        </w:rPr>
        <w:t>Während die Durchschnittsmiete im Vorjahresvergleich um 1</w:t>
      </w:r>
      <w:r>
        <w:rPr>
          <w:rFonts w:ascii="Arial" w:hAnsi="Arial" w:cs="Arial"/>
          <w:sz w:val="20"/>
          <w:szCs w:val="20"/>
        </w:rPr>
        <w:t>,1</w:t>
      </w:r>
      <w:r w:rsidR="00B27E63" w:rsidRPr="00B27E63">
        <w:rPr>
          <w:rFonts w:ascii="Arial" w:hAnsi="Arial" w:cs="Arial"/>
          <w:sz w:val="20"/>
          <w:szCs w:val="20"/>
        </w:rPr>
        <w:t xml:space="preserve"> % auf 17,50 €/m²</w:t>
      </w:r>
      <w:r>
        <w:rPr>
          <w:rFonts w:ascii="Arial" w:hAnsi="Arial" w:cs="Arial"/>
          <w:sz w:val="20"/>
          <w:szCs w:val="20"/>
        </w:rPr>
        <w:t>/Monat</w:t>
      </w:r>
      <w:r w:rsidR="00B27E63" w:rsidRPr="00B27E63">
        <w:rPr>
          <w:rFonts w:ascii="Arial" w:hAnsi="Arial" w:cs="Arial"/>
          <w:sz w:val="20"/>
          <w:szCs w:val="20"/>
        </w:rPr>
        <w:t xml:space="preserve"> zurückging, erhöhte sich die Spitzenmiete um 3</w:t>
      </w:r>
      <w:r>
        <w:rPr>
          <w:rFonts w:ascii="Arial" w:hAnsi="Arial" w:cs="Arial"/>
          <w:sz w:val="20"/>
          <w:szCs w:val="20"/>
        </w:rPr>
        <w:t>,4</w:t>
      </w:r>
      <w:r w:rsidR="00B27E63" w:rsidRPr="00B27E63">
        <w:rPr>
          <w:rFonts w:ascii="Arial" w:hAnsi="Arial" w:cs="Arial"/>
          <w:sz w:val="20"/>
          <w:szCs w:val="20"/>
        </w:rPr>
        <w:t xml:space="preserve"> % auf 30,50 €/m²</w:t>
      </w:r>
      <w:r>
        <w:rPr>
          <w:rFonts w:ascii="Arial" w:hAnsi="Arial" w:cs="Arial"/>
          <w:sz w:val="20"/>
          <w:szCs w:val="20"/>
        </w:rPr>
        <w:t>/Monat</w:t>
      </w:r>
      <w:r w:rsidR="00B27E63" w:rsidRPr="00B27E63">
        <w:rPr>
          <w:rFonts w:ascii="Arial" w:hAnsi="Arial" w:cs="Arial"/>
          <w:sz w:val="20"/>
          <w:szCs w:val="20"/>
        </w:rPr>
        <w:t xml:space="preserve">. </w:t>
      </w:r>
      <w:r w:rsidRPr="0053031B">
        <w:rPr>
          <w:rFonts w:ascii="Arial" w:hAnsi="Arial" w:cs="Arial"/>
          <w:i/>
          <w:sz w:val="20"/>
          <w:szCs w:val="20"/>
        </w:rPr>
        <w:t xml:space="preserve">„Von einem dramatischen </w:t>
      </w:r>
      <w:r>
        <w:rPr>
          <w:rFonts w:ascii="Arial" w:hAnsi="Arial" w:cs="Arial"/>
          <w:i/>
          <w:sz w:val="20"/>
          <w:szCs w:val="20"/>
        </w:rPr>
        <w:t>Einbruch</w:t>
      </w:r>
      <w:r w:rsidRPr="0053031B">
        <w:rPr>
          <w:rFonts w:ascii="Arial" w:hAnsi="Arial" w:cs="Arial"/>
          <w:i/>
          <w:sz w:val="20"/>
          <w:szCs w:val="20"/>
        </w:rPr>
        <w:t xml:space="preserve"> der Büromieten </w:t>
      </w:r>
      <w:r w:rsidR="00053F6A">
        <w:rPr>
          <w:rFonts w:ascii="Arial" w:hAnsi="Arial" w:cs="Arial"/>
          <w:i/>
          <w:sz w:val="20"/>
          <w:szCs w:val="20"/>
        </w:rPr>
        <w:t xml:space="preserve">sind wir </w:t>
      </w:r>
      <w:r w:rsidRPr="0053031B">
        <w:rPr>
          <w:rFonts w:ascii="Arial" w:hAnsi="Arial" w:cs="Arial"/>
          <w:i/>
          <w:sz w:val="20"/>
          <w:szCs w:val="20"/>
        </w:rPr>
        <w:t>in Hamburg</w:t>
      </w:r>
      <w:r w:rsidR="00053F6A">
        <w:rPr>
          <w:rFonts w:ascii="Arial" w:hAnsi="Arial" w:cs="Arial"/>
          <w:i/>
          <w:sz w:val="20"/>
          <w:szCs w:val="20"/>
        </w:rPr>
        <w:t xml:space="preserve"> weit entfernt</w:t>
      </w:r>
      <w:r w:rsidRPr="0053031B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</w:t>
      </w:r>
      <w:r w:rsidR="00053F6A">
        <w:rPr>
          <w:rFonts w:ascii="Arial" w:hAnsi="Arial" w:cs="Arial"/>
          <w:sz w:val="20"/>
          <w:szCs w:val="20"/>
        </w:rPr>
        <w:t>konstatiert</w:t>
      </w:r>
      <w:r>
        <w:rPr>
          <w:rFonts w:ascii="Arial" w:hAnsi="Arial" w:cs="Arial"/>
          <w:sz w:val="20"/>
          <w:szCs w:val="20"/>
        </w:rPr>
        <w:t xml:space="preserve"> </w:t>
      </w:r>
      <w:r w:rsidRPr="0053031B">
        <w:rPr>
          <w:rFonts w:ascii="Arial" w:hAnsi="Arial" w:cs="Arial"/>
          <w:b/>
          <w:sz w:val="20"/>
          <w:szCs w:val="20"/>
        </w:rPr>
        <w:t>Rehberg</w:t>
      </w:r>
      <w:r>
        <w:rPr>
          <w:rFonts w:ascii="Arial" w:hAnsi="Arial" w:cs="Arial"/>
          <w:sz w:val="20"/>
          <w:szCs w:val="20"/>
        </w:rPr>
        <w:t xml:space="preserve">. </w:t>
      </w:r>
      <w:r w:rsidR="00195E4A">
        <w:rPr>
          <w:rFonts w:ascii="Arial" w:hAnsi="Arial" w:cs="Arial"/>
          <w:sz w:val="20"/>
          <w:szCs w:val="20"/>
        </w:rPr>
        <w:t>Bei</w:t>
      </w:r>
      <w:r w:rsidR="00B27E63" w:rsidRPr="00B27E63">
        <w:rPr>
          <w:rFonts w:ascii="Arial" w:hAnsi="Arial" w:cs="Arial"/>
          <w:sz w:val="20"/>
          <w:szCs w:val="20"/>
        </w:rPr>
        <w:t xml:space="preserve"> Incentives </w:t>
      </w:r>
      <w:r w:rsidR="00195E4A">
        <w:rPr>
          <w:rFonts w:ascii="Arial" w:hAnsi="Arial" w:cs="Arial"/>
          <w:sz w:val="20"/>
          <w:szCs w:val="20"/>
        </w:rPr>
        <w:t xml:space="preserve">wie zum Beispiel mietfreien Zeiten oder Baukostenzuschüssen </w:t>
      </w:r>
      <w:r w:rsidR="00053F6A">
        <w:rPr>
          <w:rFonts w:ascii="Arial" w:hAnsi="Arial" w:cs="Arial"/>
          <w:sz w:val="20"/>
          <w:szCs w:val="20"/>
        </w:rPr>
        <w:t>haben potenzielle Bürom</w:t>
      </w:r>
      <w:r w:rsidR="00195E4A">
        <w:rPr>
          <w:rFonts w:ascii="Arial" w:hAnsi="Arial" w:cs="Arial"/>
          <w:sz w:val="20"/>
          <w:szCs w:val="20"/>
        </w:rPr>
        <w:t xml:space="preserve">ieter </w:t>
      </w:r>
      <w:r w:rsidR="00053F6A">
        <w:rPr>
          <w:rFonts w:ascii="Arial" w:hAnsi="Arial" w:cs="Arial"/>
          <w:sz w:val="20"/>
          <w:szCs w:val="20"/>
        </w:rPr>
        <w:t xml:space="preserve">allerdings </w:t>
      </w:r>
      <w:r w:rsidR="00B27E63" w:rsidRPr="00B27E63">
        <w:rPr>
          <w:rFonts w:ascii="Arial" w:hAnsi="Arial" w:cs="Arial"/>
          <w:sz w:val="20"/>
          <w:szCs w:val="20"/>
        </w:rPr>
        <w:t xml:space="preserve">wieder </w:t>
      </w:r>
      <w:r w:rsidR="00053F6A">
        <w:rPr>
          <w:rFonts w:ascii="Arial" w:hAnsi="Arial" w:cs="Arial"/>
          <w:sz w:val="20"/>
          <w:szCs w:val="20"/>
        </w:rPr>
        <w:t xml:space="preserve">etwas </w:t>
      </w:r>
      <w:r w:rsidR="00B27E63" w:rsidRPr="00B27E63">
        <w:rPr>
          <w:rFonts w:ascii="Arial" w:hAnsi="Arial" w:cs="Arial"/>
          <w:sz w:val="20"/>
          <w:szCs w:val="20"/>
        </w:rPr>
        <w:t>mehr Spielraum.</w:t>
      </w:r>
    </w:p>
    <w:p w14:paraId="575F38FF" w14:textId="2B69DE5E" w:rsidR="00B27E63" w:rsidRPr="00AF64D0" w:rsidRDefault="00B27E63" w:rsidP="00AF64D0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 xml:space="preserve">Die Angebotssituation </w:t>
      </w:r>
      <w:r w:rsidR="00862A99" w:rsidRPr="00AF64D0">
        <w:rPr>
          <w:rFonts w:ascii="Arial" w:hAnsi="Arial" w:cs="Arial"/>
          <w:sz w:val="20"/>
          <w:szCs w:val="20"/>
        </w:rPr>
        <w:t xml:space="preserve">hat </w:t>
      </w:r>
      <w:r w:rsidRPr="00AF64D0">
        <w:rPr>
          <w:rFonts w:ascii="Arial" w:hAnsi="Arial" w:cs="Arial"/>
          <w:sz w:val="20"/>
          <w:szCs w:val="20"/>
        </w:rPr>
        <w:t>sich</w:t>
      </w:r>
      <w:r w:rsidR="00862A99" w:rsidRPr="00AF64D0">
        <w:rPr>
          <w:rFonts w:ascii="Arial" w:hAnsi="Arial" w:cs="Arial"/>
          <w:sz w:val="20"/>
          <w:szCs w:val="20"/>
        </w:rPr>
        <w:t xml:space="preserve"> </w:t>
      </w:r>
      <w:r w:rsidR="00766A89" w:rsidRPr="00AF64D0">
        <w:rPr>
          <w:rFonts w:ascii="Arial" w:hAnsi="Arial" w:cs="Arial"/>
          <w:sz w:val="20"/>
          <w:szCs w:val="20"/>
        </w:rPr>
        <w:t xml:space="preserve">derweil </w:t>
      </w:r>
      <w:r w:rsidR="00782411" w:rsidRPr="00AF64D0">
        <w:rPr>
          <w:rFonts w:ascii="Arial" w:hAnsi="Arial" w:cs="Arial"/>
          <w:sz w:val="20"/>
          <w:szCs w:val="20"/>
        </w:rPr>
        <w:t xml:space="preserve">weiter </w:t>
      </w:r>
      <w:r w:rsidR="00862A99" w:rsidRPr="00AF64D0">
        <w:rPr>
          <w:rFonts w:ascii="Arial" w:hAnsi="Arial" w:cs="Arial"/>
          <w:sz w:val="20"/>
          <w:szCs w:val="20"/>
        </w:rPr>
        <w:t>entspannt</w:t>
      </w:r>
      <w:r w:rsidRPr="00AF64D0">
        <w:rPr>
          <w:rFonts w:ascii="Arial" w:hAnsi="Arial" w:cs="Arial"/>
          <w:sz w:val="20"/>
          <w:szCs w:val="20"/>
        </w:rPr>
        <w:t>. Im Vergleich zu</w:t>
      </w:r>
      <w:r w:rsidR="00782411" w:rsidRPr="00AF64D0">
        <w:rPr>
          <w:rFonts w:ascii="Arial" w:hAnsi="Arial" w:cs="Arial"/>
          <w:sz w:val="20"/>
          <w:szCs w:val="20"/>
        </w:rPr>
        <w:t xml:space="preserve"> de</w:t>
      </w:r>
      <w:r w:rsidRPr="00AF64D0">
        <w:rPr>
          <w:rFonts w:ascii="Arial" w:hAnsi="Arial" w:cs="Arial"/>
          <w:sz w:val="20"/>
          <w:szCs w:val="20"/>
        </w:rPr>
        <w:t xml:space="preserve">m durch </w:t>
      </w:r>
      <w:r w:rsidR="00D9242A" w:rsidRPr="00AF64D0">
        <w:rPr>
          <w:rFonts w:ascii="Arial" w:hAnsi="Arial" w:cs="Arial"/>
          <w:sz w:val="20"/>
          <w:szCs w:val="20"/>
        </w:rPr>
        <w:t xml:space="preserve">akuten </w:t>
      </w:r>
      <w:r w:rsidRPr="00AF64D0">
        <w:rPr>
          <w:rFonts w:ascii="Arial" w:hAnsi="Arial" w:cs="Arial"/>
          <w:sz w:val="20"/>
          <w:szCs w:val="20"/>
        </w:rPr>
        <w:t xml:space="preserve">Flächenmangel geprägten Vorjahr kletterte die </w:t>
      </w:r>
      <w:proofErr w:type="spellStart"/>
      <w:r w:rsidRPr="00AF64D0">
        <w:rPr>
          <w:rFonts w:ascii="Arial" w:hAnsi="Arial" w:cs="Arial"/>
          <w:sz w:val="20"/>
          <w:szCs w:val="20"/>
        </w:rPr>
        <w:t>Leerstandsquote</w:t>
      </w:r>
      <w:proofErr w:type="spellEnd"/>
      <w:r w:rsidRPr="00AF64D0">
        <w:rPr>
          <w:rFonts w:ascii="Arial" w:hAnsi="Arial" w:cs="Arial"/>
          <w:sz w:val="20"/>
          <w:szCs w:val="20"/>
        </w:rPr>
        <w:t xml:space="preserve"> </w:t>
      </w:r>
      <w:r w:rsidR="00782411" w:rsidRPr="00AF64D0">
        <w:rPr>
          <w:rFonts w:ascii="Arial" w:hAnsi="Arial" w:cs="Arial"/>
          <w:sz w:val="20"/>
          <w:szCs w:val="20"/>
        </w:rPr>
        <w:t xml:space="preserve">inklusive Untermietflächen </w:t>
      </w:r>
      <w:r w:rsidRPr="00AF64D0">
        <w:rPr>
          <w:rFonts w:ascii="Arial" w:hAnsi="Arial" w:cs="Arial"/>
          <w:sz w:val="20"/>
          <w:szCs w:val="20"/>
        </w:rPr>
        <w:t xml:space="preserve">von 2,9 auf aktuell 3,5 %. </w:t>
      </w:r>
      <w:r w:rsidR="00782411" w:rsidRPr="00AF64D0">
        <w:rPr>
          <w:rFonts w:ascii="Arial" w:hAnsi="Arial" w:cs="Arial"/>
          <w:sz w:val="20"/>
          <w:szCs w:val="20"/>
        </w:rPr>
        <w:t xml:space="preserve">Im 3. Quartal 2020 betrug die </w:t>
      </w:r>
      <w:proofErr w:type="spellStart"/>
      <w:r w:rsidR="00782411" w:rsidRPr="00AF64D0">
        <w:rPr>
          <w:rFonts w:ascii="Arial" w:hAnsi="Arial" w:cs="Arial"/>
          <w:sz w:val="20"/>
          <w:szCs w:val="20"/>
        </w:rPr>
        <w:t>Leerstandsrate</w:t>
      </w:r>
      <w:proofErr w:type="spellEnd"/>
      <w:r w:rsidR="00782411" w:rsidRPr="00AF64D0">
        <w:rPr>
          <w:rFonts w:ascii="Arial" w:hAnsi="Arial" w:cs="Arial"/>
          <w:sz w:val="20"/>
          <w:szCs w:val="20"/>
        </w:rPr>
        <w:t xml:space="preserve"> 3,3 %.</w:t>
      </w:r>
      <w:r w:rsidR="00AF64D0" w:rsidRPr="00AF64D0">
        <w:rPr>
          <w:rFonts w:ascii="Arial" w:hAnsi="Arial" w:cs="Arial"/>
          <w:sz w:val="20"/>
          <w:szCs w:val="20"/>
        </w:rPr>
        <w:t xml:space="preserve"> </w:t>
      </w:r>
      <w:r w:rsidR="00D9242A" w:rsidRPr="00AF64D0">
        <w:rPr>
          <w:rFonts w:ascii="Arial" w:hAnsi="Arial" w:cs="Arial"/>
          <w:sz w:val="20"/>
          <w:szCs w:val="20"/>
        </w:rPr>
        <w:t xml:space="preserve">Zwar sind </w:t>
      </w:r>
      <w:r w:rsidR="0011512F" w:rsidRPr="00AF64D0">
        <w:rPr>
          <w:rFonts w:ascii="Arial" w:hAnsi="Arial" w:cs="Arial"/>
          <w:sz w:val="20"/>
          <w:szCs w:val="20"/>
        </w:rPr>
        <w:t>im Vorjahresvergleich mit 35.000 m² nun 77 % mehr</w:t>
      </w:r>
      <w:r w:rsidR="00D9242A" w:rsidRPr="00AF64D0">
        <w:rPr>
          <w:rFonts w:ascii="Arial" w:hAnsi="Arial" w:cs="Arial"/>
          <w:sz w:val="20"/>
          <w:szCs w:val="20"/>
        </w:rPr>
        <w:t xml:space="preserve"> Untermietflächen </w:t>
      </w:r>
      <w:r w:rsidR="0011512F" w:rsidRPr="00AF64D0">
        <w:rPr>
          <w:rFonts w:ascii="Arial" w:hAnsi="Arial" w:cs="Arial"/>
          <w:sz w:val="20"/>
          <w:szCs w:val="20"/>
        </w:rPr>
        <w:t>auf dem Markt</w:t>
      </w:r>
      <w:r w:rsidR="00D9242A" w:rsidRPr="00AF64D0">
        <w:rPr>
          <w:rFonts w:ascii="Arial" w:hAnsi="Arial" w:cs="Arial"/>
          <w:sz w:val="20"/>
          <w:szCs w:val="20"/>
        </w:rPr>
        <w:t xml:space="preserve">. Gleichwohl ist </w:t>
      </w:r>
      <w:r w:rsidR="00D31A57" w:rsidRPr="00AF64D0">
        <w:rPr>
          <w:rFonts w:ascii="Arial" w:hAnsi="Arial" w:cs="Arial"/>
          <w:sz w:val="20"/>
          <w:szCs w:val="20"/>
        </w:rPr>
        <w:t>der Zuwachs</w:t>
      </w:r>
      <w:r w:rsidR="00D9242A" w:rsidRPr="00AF64D0">
        <w:rPr>
          <w:rFonts w:ascii="Arial" w:hAnsi="Arial" w:cs="Arial"/>
          <w:sz w:val="20"/>
          <w:szCs w:val="20"/>
        </w:rPr>
        <w:t xml:space="preserve"> um 15.000 m² angesichts eines Büroflächenbestandes </w:t>
      </w:r>
      <w:r w:rsidR="00D31A57" w:rsidRPr="00AF64D0">
        <w:rPr>
          <w:rFonts w:ascii="Arial" w:hAnsi="Arial" w:cs="Arial"/>
          <w:sz w:val="20"/>
          <w:szCs w:val="20"/>
        </w:rPr>
        <w:t xml:space="preserve">in Höhe </w:t>
      </w:r>
      <w:r w:rsidR="00D9242A" w:rsidRPr="00AF64D0">
        <w:rPr>
          <w:rFonts w:ascii="Arial" w:hAnsi="Arial" w:cs="Arial"/>
          <w:sz w:val="20"/>
          <w:szCs w:val="20"/>
        </w:rPr>
        <w:t>von 13,9 Mio. m² noch immer verschwindend gering.</w:t>
      </w:r>
      <w:r w:rsidR="00AF64D0">
        <w:rPr>
          <w:rFonts w:ascii="Arial" w:hAnsi="Arial" w:cs="Arial"/>
          <w:sz w:val="20"/>
          <w:szCs w:val="20"/>
        </w:rPr>
        <w:t xml:space="preserve"> </w:t>
      </w:r>
      <w:r w:rsidR="00D31A57" w:rsidRPr="00AF64D0">
        <w:rPr>
          <w:rFonts w:ascii="Arial" w:hAnsi="Arial" w:cs="Arial"/>
          <w:sz w:val="20"/>
          <w:szCs w:val="20"/>
        </w:rPr>
        <w:t>Für das kommende</w:t>
      </w:r>
      <w:r w:rsidR="00782411" w:rsidRPr="00AF64D0">
        <w:rPr>
          <w:rFonts w:ascii="Arial" w:hAnsi="Arial" w:cs="Arial"/>
          <w:sz w:val="20"/>
          <w:szCs w:val="20"/>
        </w:rPr>
        <w:t xml:space="preserve"> Jahr rechnet Grossmann &amp; Berger</w:t>
      </w:r>
      <w:r w:rsidRPr="00AF64D0">
        <w:rPr>
          <w:rFonts w:ascii="Arial" w:hAnsi="Arial" w:cs="Arial"/>
          <w:sz w:val="20"/>
          <w:szCs w:val="20"/>
        </w:rPr>
        <w:t xml:space="preserve"> mit einer weiteren Ausweitung des Angebots, sofern die Umsatztätigkeit nicht merklich anzieht.</w:t>
      </w:r>
    </w:p>
    <w:p w14:paraId="554FA097" w14:textId="0601A33A" w:rsidR="00F12C0D" w:rsidRPr="007126FF" w:rsidRDefault="00AF64D0" w:rsidP="00F12C0D">
      <w:pPr>
        <w:pStyle w:val="Listenabsatz"/>
        <w:spacing w:after="0" w:line="360" w:lineRule="auto"/>
        <w:ind w:left="426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11B55EB" wp14:editId="585906E3">
            <wp:simplePos x="0" y="0"/>
            <wp:positionH relativeFrom="column">
              <wp:posOffset>3421380</wp:posOffset>
            </wp:positionH>
            <wp:positionV relativeFrom="paragraph">
              <wp:posOffset>251460</wp:posOffset>
            </wp:positionV>
            <wp:extent cx="2681605" cy="1964690"/>
            <wp:effectExtent l="19050" t="19050" r="23495" b="165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üromarkt Hamburg 4Q2020_Flächenumsatz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9646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208250A1" w:rsidR="00126D0B" w:rsidRPr="0053031B" w:rsidRDefault="00126D0B" w:rsidP="006640C4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20"/>
              </w:rPr>
              <w:t xml:space="preserve">Büromarkt 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| </w:t>
            </w:r>
            <w:r w:rsidRPr="0053031B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 | 20</w:t>
            </w:r>
            <w:r w:rsidR="006640C4" w:rsidRPr="0053031B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3BD34386" w:rsidR="00126D0B" w:rsidRPr="0053031B" w:rsidRDefault="00625156" w:rsidP="00C65D69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5E2ABB" w:rsidRPr="0053031B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3579E5" w:rsidRPr="0053031B"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="00C65D69" w:rsidRPr="0053031B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45BB61AB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773C807C" w:rsidR="00126D0B" w:rsidRPr="000E7BC7" w:rsidRDefault="00C65D69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</w:t>
            </w:r>
            <w:r w:rsidR="00DD4100">
              <w:rPr>
                <w:rFonts w:ascii="Arial" w:hAnsi="Arial" w:cs="Arial"/>
                <w:sz w:val="18"/>
                <w:szCs w:val="16"/>
              </w:rPr>
              <w:t>0</w:t>
            </w:r>
            <w:r w:rsidR="00010109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2B343EB7" w:rsidR="00126D0B" w:rsidRPr="000E7BC7" w:rsidRDefault="007543F0" w:rsidP="00C65D69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C65D69">
              <w:rPr>
                <w:rFonts w:ascii="Arial" w:hAnsi="Arial" w:cs="Arial"/>
                <w:sz w:val="18"/>
                <w:szCs w:val="16"/>
              </w:rPr>
              <w:t>37,6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3D2BFC5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572B45FE" w:rsidR="00126D0B" w:rsidRPr="000E7BC7" w:rsidRDefault="006640C4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30,</w:t>
            </w:r>
            <w:r w:rsidR="003579E5" w:rsidRPr="00450AE4">
              <w:rPr>
                <w:rFonts w:ascii="Arial" w:hAnsi="Arial" w:cs="Arial"/>
                <w:sz w:val="18"/>
                <w:szCs w:val="16"/>
              </w:rPr>
              <w:t>5</w:t>
            </w:r>
            <w:r w:rsidRPr="0045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08464069" w:rsidR="00126D0B" w:rsidRPr="000E7BC7" w:rsidRDefault="00010109" w:rsidP="00C65D6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C65D69">
              <w:rPr>
                <w:rFonts w:ascii="Arial" w:hAnsi="Arial" w:cs="Arial"/>
                <w:color w:val="000000" w:themeColor="text1"/>
                <w:sz w:val="18"/>
                <w:szCs w:val="16"/>
              </w:rPr>
              <w:t>3,4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30B26AC9" w:rsidR="00126D0B" w:rsidRPr="000E7BC7" w:rsidRDefault="00010109" w:rsidP="00C65D6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17,</w:t>
            </w:r>
            <w:r w:rsidR="00C65D69">
              <w:rPr>
                <w:rFonts w:ascii="Arial" w:hAnsi="Arial" w:cs="Arial"/>
                <w:sz w:val="18"/>
                <w:szCs w:val="16"/>
              </w:rPr>
              <w:t>5</w:t>
            </w:r>
            <w:r w:rsidRPr="0045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0FC2F43F" w:rsidR="00126D0B" w:rsidRPr="000E7BC7" w:rsidRDefault="00C65D69" w:rsidP="00450AE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-1</w:t>
            </w:r>
            <w:r w:rsidR="00010109"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1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506996B6" w:rsidR="00126D0B" w:rsidRPr="000E7BC7" w:rsidRDefault="00990251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13,9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31C6453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F7C1F"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="00CF7C1F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CF7C1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5E456450" w:rsidR="00126D0B" w:rsidRPr="000E7BC7" w:rsidRDefault="006640C4" w:rsidP="00C65D6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4</w:t>
            </w:r>
            <w:r w:rsidR="00C65D69">
              <w:rPr>
                <w:rFonts w:ascii="Arial" w:hAnsi="Arial" w:cs="Arial"/>
                <w:sz w:val="18"/>
                <w:szCs w:val="16"/>
              </w:rPr>
              <w:t>86.000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2A7389F1" w:rsidR="00126D0B" w:rsidRPr="000E7BC7" w:rsidRDefault="003579E5" w:rsidP="00C65D6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C65D69">
              <w:rPr>
                <w:rFonts w:ascii="Arial" w:hAnsi="Arial" w:cs="Arial"/>
                <w:color w:val="000000" w:themeColor="text1"/>
                <w:sz w:val="18"/>
                <w:szCs w:val="16"/>
              </w:rPr>
              <w:t>21</w:t>
            </w:r>
            <w:r w:rsidR="00013842">
              <w:rPr>
                <w:rFonts w:ascii="Arial" w:hAnsi="Arial" w:cs="Arial"/>
                <w:color w:val="000000" w:themeColor="text1"/>
                <w:sz w:val="18"/>
                <w:szCs w:val="16"/>
              </w:rPr>
              <w:t>,4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106B0C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C0E8F">
              <w:rPr>
                <w:rFonts w:ascii="Arial" w:hAnsi="Arial" w:cs="Arial"/>
                <w:sz w:val="18"/>
                <w:szCs w:val="16"/>
              </w:rPr>
              <w:t>inkl</w:t>
            </w:r>
            <w:r w:rsidR="00E96065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E9606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304D5EC0" w:rsidR="00126D0B" w:rsidRPr="000E7BC7" w:rsidRDefault="006640C4" w:rsidP="00C65D6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C65D69">
              <w:rPr>
                <w:rFonts w:ascii="Arial" w:hAnsi="Arial" w:cs="Arial"/>
                <w:color w:val="000000" w:themeColor="text1"/>
                <w:sz w:val="18"/>
                <w:szCs w:val="16"/>
              </w:rPr>
              <w:t>5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58D2158F" w:rsidR="00126D0B" w:rsidRPr="000E7BC7" w:rsidRDefault="00126D0B" w:rsidP="007543F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7543F0"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1B4C976D" w:rsidR="00126D0B" w:rsidRPr="000E7BC7" w:rsidRDefault="00C65D69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378</w:t>
            </w:r>
            <w:r w:rsidR="00010109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1EC4BD39" w:rsidR="00126D0B" w:rsidRPr="000E7BC7" w:rsidRDefault="00C65D69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61</w:t>
            </w:r>
          </w:p>
        </w:tc>
      </w:tr>
    </w:tbl>
    <w:p w14:paraId="20FF3D17" w14:textId="6A7AD9C7" w:rsidR="00655405" w:rsidRDefault="00655405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BBA9DA5" w14:textId="713EA3E5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471C595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8FAAB81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B2F56AB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9FCD40B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C2513AD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6FD1BBF8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625156">
        <w:rPr>
          <w:rFonts w:ascii="Arial" w:hAnsi="Arial" w:cs="Arial"/>
          <w:b/>
          <w:sz w:val="20"/>
          <w:szCs w:val="20"/>
        </w:rPr>
        <w:t>.</w:t>
      </w:r>
      <w:r w:rsidR="00301264">
        <w:rPr>
          <w:rFonts w:ascii="Arial" w:hAnsi="Arial" w:cs="Arial"/>
          <w:b/>
          <w:sz w:val="20"/>
          <w:szCs w:val="20"/>
        </w:rPr>
        <w:t>-</w:t>
      </w:r>
      <w:r w:rsidR="00C65D69">
        <w:rPr>
          <w:rFonts w:ascii="Arial" w:hAnsi="Arial" w:cs="Arial"/>
          <w:b/>
          <w:sz w:val="20"/>
          <w:szCs w:val="20"/>
        </w:rPr>
        <w:t>4</w:t>
      </w:r>
      <w:r w:rsidR="00301264">
        <w:rPr>
          <w:rFonts w:ascii="Arial" w:hAnsi="Arial" w:cs="Arial"/>
          <w:b/>
          <w:sz w:val="20"/>
          <w:szCs w:val="20"/>
        </w:rPr>
        <w:t>.</w:t>
      </w:r>
      <w:r w:rsidR="00625156">
        <w:rPr>
          <w:rFonts w:ascii="Arial" w:hAnsi="Arial" w:cs="Arial"/>
          <w:b/>
          <w:sz w:val="20"/>
          <w:szCs w:val="20"/>
        </w:rPr>
        <w:t xml:space="preserve"> Quartal 20</w:t>
      </w:r>
      <w:r w:rsidR="00452892">
        <w:rPr>
          <w:rFonts w:ascii="Arial" w:hAnsi="Arial" w:cs="Arial"/>
          <w:b/>
          <w:sz w:val="20"/>
          <w:szCs w:val="20"/>
        </w:rPr>
        <w:t>20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418"/>
        <w:gridCol w:w="850"/>
      </w:tblGrid>
      <w:tr w:rsidR="00BB2707" w:rsidRPr="0017364E" w14:paraId="7B788289" w14:textId="77777777" w:rsidTr="00F12C0D">
        <w:trPr>
          <w:trHeight w:val="567"/>
        </w:trPr>
        <w:tc>
          <w:tcPr>
            <w:tcW w:w="3681" w:type="dxa"/>
            <w:shd w:val="clear" w:color="auto" w:fill="1F242B" w:themeFill="accent2"/>
            <w:vAlign w:val="center"/>
          </w:tcPr>
          <w:p w14:paraId="1FF646C4" w14:textId="09C2207B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  <w:r w:rsidR="00CC4EF0">
              <w:rPr>
                <w:rFonts w:ascii="Arial" w:hAnsi="Arial" w:cs="Arial"/>
                <w:b/>
                <w:sz w:val="18"/>
                <w:szCs w:val="16"/>
              </w:rPr>
              <w:t xml:space="preserve"> (EN)</w:t>
            </w:r>
          </w:p>
          <w:p w14:paraId="4605900A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1F242B" w:themeFill="accent2"/>
            <w:vAlign w:val="center"/>
          </w:tcPr>
          <w:p w14:paraId="5E73AA5F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5C56E890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 </w:t>
            </w:r>
          </w:p>
          <w:p w14:paraId="0D24D566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1F242B" w:themeFill="accent2"/>
            <w:vAlign w:val="center"/>
          </w:tcPr>
          <w:p w14:paraId="591B71E9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D57F53" w:rsidRPr="0017364E" w14:paraId="6B585D4E" w14:textId="77777777" w:rsidTr="003E631E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34B469" w14:textId="17293F23" w:rsidR="00D57F53" w:rsidRPr="0017364E" w:rsidRDefault="00600C8E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00C8E">
              <w:rPr>
                <w:rFonts w:ascii="Arial" w:hAnsi="Arial" w:cs="Arial"/>
                <w:sz w:val="18"/>
                <w:szCs w:val="16"/>
              </w:rPr>
              <w:t>Hamburg Commercial Bank</w:t>
            </w:r>
            <w:r w:rsidR="00CF7C1F">
              <w:rPr>
                <w:rFonts w:ascii="Arial" w:hAnsi="Arial" w:cs="Arial"/>
                <w:sz w:val="18"/>
                <w:szCs w:val="16"/>
              </w:rPr>
              <w:t xml:space="preserve"> (HCOB)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F9F6B0" w14:textId="68A0BE69" w:rsidR="00D57F53" w:rsidRPr="0017364E" w:rsidRDefault="00CF7C1F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 w:rsidR="00600C8E">
              <w:rPr>
                <w:rFonts w:ascii="Arial" w:hAnsi="Arial" w:cs="Arial"/>
                <w:sz w:val="18"/>
                <w:szCs w:val="16"/>
              </w:rPr>
              <w:t>Elbtower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798FE8" w14:textId="2A7B6E16" w:rsidR="00D57F53" w:rsidRPr="0017364E" w:rsidRDefault="00020E53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20E53">
              <w:rPr>
                <w:rFonts w:ascii="Arial" w:hAnsi="Arial" w:cs="Arial"/>
                <w:sz w:val="18"/>
                <w:szCs w:val="16"/>
              </w:rPr>
              <w:t>Zweibrückenstraße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92AC8B" w14:textId="523D942B" w:rsidR="00D57F53" w:rsidRPr="0017364E" w:rsidRDefault="00600C8E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234AE" w14:textId="4A19E42E" w:rsidR="00D57F53" w:rsidRPr="0017364E" w:rsidRDefault="00600C8E" w:rsidP="00013842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11.000</w:t>
            </w:r>
          </w:p>
        </w:tc>
      </w:tr>
      <w:tr w:rsidR="004E1CAB" w:rsidRPr="0017364E" w14:paraId="314139FB" w14:textId="77777777" w:rsidTr="00304EAC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38007B43" w14:textId="73314C55" w:rsidR="004E1CAB" w:rsidRPr="0017364E" w:rsidRDefault="004E1CAB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Hamburg Verkehrsanlagen (HHVA)</w:t>
            </w:r>
            <w:r>
              <w:rPr>
                <w:rFonts w:ascii="Arial" w:hAnsi="Arial" w:cs="Arial"/>
                <w:sz w:val="18"/>
                <w:szCs w:val="16"/>
              </w:rPr>
              <w:t xml:space="preserve"> (EN)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591FC" w14:textId="454A594F" w:rsidR="004E1CAB" w:rsidRPr="0017364E" w:rsidRDefault="004E1CAB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E1F73" w14:textId="4EEC9533" w:rsidR="004E1CAB" w:rsidRPr="0017364E" w:rsidRDefault="004E1CAB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Am Neumarkt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973BE" w14:textId="4CB18067" w:rsidR="004E1CAB" w:rsidRPr="0017364E" w:rsidRDefault="004E1CAB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Wandsbek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A0855" w14:textId="68A68AF1" w:rsidR="004E1CAB" w:rsidRPr="0017364E" w:rsidRDefault="004E1CAB" w:rsidP="004E1CAB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6.800</w:t>
            </w:r>
          </w:p>
        </w:tc>
      </w:tr>
      <w:tr w:rsidR="00304EAC" w:rsidRPr="0017364E" w14:paraId="661E4657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2E5A1578" w14:textId="2BFF658C" w:rsidR="00304EAC" w:rsidRPr="0017364E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Hansainvest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Hanseatische Investment</w:t>
            </w:r>
          </w:p>
        </w:tc>
        <w:tc>
          <w:tcPr>
            <w:tcW w:w="1701" w:type="dxa"/>
            <w:vAlign w:val="center"/>
          </w:tcPr>
          <w:p w14:paraId="50F67AC7" w14:textId="7FE765B3" w:rsidR="00304EAC" w:rsidRPr="0017364E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„Oval Office“</w:t>
            </w:r>
          </w:p>
        </w:tc>
        <w:tc>
          <w:tcPr>
            <w:tcW w:w="1984" w:type="dxa"/>
            <w:vAlign w:val="center"/>
          </w:tcPr>
          <w:p w14:paraId="1AD10A7F" w14:textId="006C0E2F" w:rsidR="00304EAC" w:rsidRPr="0017364E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Überseering 10</w:t>
            </w:r>
          </w:p>
        </w:tc>
        <w:tc>
          <w:tcPr>
            <w:tcW w:w="1418" w:type="dxa"/>
            <w:vAlign w:val="center"/>
          </w:tcPr>
          <w:p w14:paraId="608C7AAF" w14:textId="6B058A09" w:rsidR="00304EAC" w:rsidRPr="0017364E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50" w:type="dxa"/>
            <w:vAlign w:val="center"/>
          </w:tcPr>
          <w:p w14:paraId="084B6F88" w14:textId="2017F8B6" w:rsidR="00304EAC" w:rsidRPr="0017364E" w:rsidRDefault="00304EAC" w:rsidP="00304EAC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6.000</w:t>
            </w:r>
          </w:p>
        </w:tc>
      </w:tr>
      <w:tr w:rsidR="00304EAC" w:rsidRPr="0017364E" w14:paraId="66743358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5CEA0DC4" w14:textId="52AD1736" w:rsidR="00304EAC" w:rsidRPr="006640C4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Wärtsilä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SAM Electronics</w:t>
            </w:r>
          </w:p>
        </w:tc>
        <w:tc>
          <w:tcPr>
            <w:tcW w:w="1701" w:type="dxa"/>
            <w:vAlign w:val="center"/>
          </w:tcPr>
          <w:p w14:paraId="1A1F084C" w14:textId="7479F059" w:rsidR="00304EAC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8E1B42" w14:textId="55605C31" w:rsidR="00304EAC" w:rsidRPr="006640C4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Behringstraße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120</w:t>
            </w:r>
          </w:p>
        </w:tc>
        <w:tc>
          <w:tcPr>
            <w:tcW w:w="1418" w:type="dxa"/>
            <w:vAlign w:val="center"/>
          </w:tcPr>
          <w:p w14:paraId="6DB89009" w14:textId="6CBD9B04" w:rsidR="00304EAC" w:rsidRDefault="00304EAC" w:rsidP="00304EAC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Altona</w:t>
            </w:r>
          </w:p>
        </w:tc>
        <w:tc>
          <w:tcPr>
            <w:tcW w:w="850" w:type="dxa"/>
            <w:vAlign w:val="center"/>
          </w:tcPr>
          <w:p w14:paraId="5C7A9A09" w14:textId="40F0D2C7" w:rsidR="00304EAC" w:rsidRDefault="00304EAC" w:rsidP="00304EAC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5.900</w:t>
            </w:r>
          </w:p>
        </w:tc>
      </w:tr>
      <w:tr w:rsidR="004E1CAB" w:rsidRPr="0017364E" w14:paraId="2B77766E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3B4C29EA" w14:textId="49102034" w:rsidR="004E1CAB" w:rsidRPr="006640C4" w:rsidRDefault="00304EAC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04EAC">
              <w:rPr>
                <w:rFonts w:ascii="Arial" w:hAnsi="Arial" w:cs="Arial"/>
                <w:sz w:val="18"/>
                <w:szCs w:val="16"/>
              </w:rPr>
              <w:t>MSH Medical School Hamburg</w:t>
            </w:r>
          </w:p>
        </w:tc>
        <w:tc>
          <w:tcPr>
            <w:tcW w:w="1701" w:type="dxa"/>
            <w:vAlign w:val="center"/>
          </w:tcPr>
          <w:p w14:paraId="73F0BE29" w14:textId="66469FC3" w:rsidR="004E1CAB" w:rsidRDefault="00CF7C1F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 w:rsidR="00304EAC" w:rsidRPr="00304EAC"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  <w:r w:rsidR="00304EAC" w:rsidRPr="00304EAC">
              <w:rPr>
                <w:rFonts w:ascii="Arial" w:hAnsi="Arial" w:cs="Arial"/>
                <w:sz w:val="18"/>
                <w:szCs w:val="16"/>
              </w:rPr>
              <w:t xml:space="preserve"> Gate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vAlign w:val="center"/>
          </w:tcPr>
          <w:p w14:paraId="75BC2806" w14:textId="7B369AF2" w:rsidR="004E1CAB" w:rsidRPr="006640C4" w:rsidRDefault="00304EAC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04EAC">
              <w:rPr>
                <w:rFonts w:ascii="Arial" w:hAnsi="Arial" w:cs="Arial"/>
                <w:sz w:val="18"/>
                <w:szCs w:val="16"/>
              </w:rPr>
              <w:t xml:space="preserve">Am </w:t>
            </w:r>
            <w:proofErr w:type="spellStart"/>
            <w:r w:rsidRPr="00304EAC">
              <w:rPr>
                <w:rFonts w:ascii="Arial" w:hAnsi="Arial" w:cs="Arial"/>
                <w:sz w:val="18"/>
                <w:szCs w:val="16"/>
              </w:rPr>
              <w:t>Sandtorkai</w:t>
            </w:r>
            <w:proofErr w:type="spellEnd"/>
            <w:r w:rsidRPr="00304EAC">
              <w:rPr>
                <w:rFonts w:ascii="Arial" w:hAnsi="Arial" w:cs="Arial"/>
                <w:sz w:val="18"/>
                <w:szCs w:val="16"/>
              </w:rPr>
              <w:t xml:space="preserve"> 74-77</w:t>
            </w:r>
          </w:p>
        </w:tc>
        <w:tc>
          <w:tcPr>
            <w:tcW w:w="1418" w:type="dxa"/>
            <w:vAlign w:val="center"/>
          </w:tcPr>
          <w:p w14:paraId="4E585535" w14:textId="7388D2FD" w:rsidR="004E1CAB" w:rsidRDefault="00304EAC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vAlign w:val="center"/>
          </w:tcPr>
          <w:p w14:paraId="2DC9A2CE" w14:textId="0D25C47D" w:rsidR="004E1CAB" w:rsidRDefault="00304EAC" w:rsidP="004E1CAB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5.800</w:t>
            </w:r>
          </w:p>
        </w:tc>
      </w:tr>
    </w:tbl>
    <w:p w14:paraId="2AA4DAB3" w14:textId="77777777" w:rsidR="00CF7C1F" w:rsidRDefault="00CF7C1F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6E9E595" w14:textId="0669F9E8" w:rsidR="00FB4C38" w:rsidRDefault="003E631E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557BAFB6" w14:textId="645837AF" w:rsidR="00FB4C38" w:rsidRPr="00A3554C" w:rsidRDefault="00FB4C38" w:rsidP="00A3554C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570D34" w14:textId="5F769630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3D75A6" w:rsidRPr="0038067E">
          <w:rPr>
            <w:rStyle w:val="Hyperlink"/>
            <w:rFonts w:ascii="Arial" w:eastAsia="Arial" w:hAnsi="Arial" w:cs="Arial"/>
            <w:sz w:val="20"/>
            <w:szCs w:val="20"/>
          </w:rPr>
          <w:t>Marktbericht</w:t>
        </w:r>
      </w:hyperlink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7C6DFBB0" w14:textId="77777777" w:rsidR="0047313D" w:rsidRPr="00A3554C" w:rsidRDefault="0047313D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F30FAD6" w14:textId="5AD2D9F1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</w:t>
      </w:r>
      <w:bookmarkStart w:id="0" w:name="_GoBack"/>
      <w:bookmarkEnd w:id="0"/>
      <w:r w:rsidRPr="00583E25">
        <w:rPr>
          <w:rFonts w:ascii="Arial" w:hAnsi="Arial" w:cs="Arial"/>
          <w:snapToGrid w:val="0"/>
          <w:sz w:val="16"/>
          <w:szCs w:val="16"/>
        </w:rPr>
        <w:t xml:space="preserve">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  <w:r w:rsidR="0047391C">
        <w:rPr>
          <w:rFonts w:ascii="Arial" w:hAnsi="Arial" w:cs="Arial"/>
          <w:snapToGrid w:val="0"/>
          <w:sz w:val="16"/>
          <w:szCs w:val="16"/>
        </w:rPr>
        <w:t xml:space="preserve"> </w:t>
      </w: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27835FB" w14:textId="6F59C554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02040DB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B86001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B86001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86001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3494BC91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8600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8600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34F885EE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34F885EE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0F0710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0F0710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2B3B"/>
    <w:rsid w:val="00013842"/>
    <w:rsid w:val="000159FE"/>
    <w:rsid w:val="00020E53"/>
    <w:rsid w:val="00022F16"/>
    <w:rsid w:val="00023D78"/>
    <w:rsid w:val="00026DC2"/>
    <w:rsid w:val="0003075C"/>
    <w:rsid w:val="00032A2D"/>
    <w:rsid w:val="000357E9"/>
    <w:rsid w:val="00037784"/>
    <w:rsid w:val="00041B84"/>
    <w:rsid w:val="0004323A"/>
    <w:rsid w:val="000528C2"/>
    <w:rsid w:val="00053F6A"/>
    <w:rsid w:val="00060743"/>
    <w:rsid w:val="00066796"/>
    <w:rsid w:val="0007181C"/>
    <w:rsid w:val="000766D7"/>
    <w:rsid w:val="0007670A"/>
    <w:rsid w:val="00084B37"/>
    <w:rsid w:val="0009653E"/>
    <w:rsid w:val="00097786"/>
    <w:rsid w:val="000A7D42"/>
    <w:rsid w:val="000B1606"/>
    <w:rsid w:val="000B174E"/>
    <w:rsid w:val="000B3315"/>
    <w:rsid w:val="000C118E"/>
    <w:rsid w:val="000C770D"/>
    <w:rsid w:val="000D2874"/>
    <w:rsid w:val="000D3E9F"/>
    <w:rsid w:val="000E03F3"/>
    <w:rsid w:val="000E27A9"/>
    <w:rsid w:val="000E2A43"/>
    <w:rsid w:val="000E404B"/>
    <w:rsid w:val="000E7457"/>
    <w:rsid w:val="000E7BC7"/>
    <w:rsid w:val="000F7242"/>
    <w:rsid w:val="001029C4"/>
    <w:rsid w:val="00104638"/>
    <w:rsid w:val="0011486D"/>
    <w:rsid w:val="0011512F"/>
    <w:rsid w:val="00121E33"/>
    <w:rsid w:val="00126550"/>
    <w:rsid w:val="00126D0B"/>
    <w:rsid w:val="001324D6"/>
    <w:rsid w:val="00135BD2"/>
    <w:rsid w:val="00135E09"/>
    <w:rsid w:val="0014445B"/>
    <w:rsid w:val="001522BE"/>
    <w:rsid w:val="00154825"/>
    <w:rsid w:val="0016200B"/>
    <w:rsid w:val="00163A27"/>
    <w:rsid w:val="0016611C"/>
    <w:rsid w:val="0017364E"/>
    <w:rsid w:val="0017516B"/>
    <w:rsid w:val="00176F1D"/>
    <w:rsid w:val="0018068D"/>
    <w:rsid w:val="00195E4A"/>
    <w:rsid w:val="001A2ABE"/>
    <w:rsid w:val="001A360C"/>
    <w:rsid w:val="001C0250"/>
    <w:rsid w:val="001D14DA"/>
    <w:rsid w:val="001D4EC2"/>
    <w:rsid w:val="001E01CC"/>
    <w:rsid w:val="001E6995"/>
    <w:rsid w:val="001F0339"/>
    <w:rsid w:val="001F1513"/>
    <w:rsid w:val="00205769"/>
    <w:rsid w:val="00210C50"/>
    <w:rsid w:val="00212FEC"/>
    <w:rsid w:val="002131BB"/>
    <w:rsid w:val="0022086D"/>
    <w:rsid w:val="0022251E"/>
    <w:rsid w:val="00226296"/>
    <w:rsid w:val="00227E31"/>
    <w:rsid w:val="00230F81"/>
    <w:rsid w:val="00231F4E"/>
    <w:rsid w:val="002341EE"/>
    <w:rsid w:val="00237341"/>
    <w:rsid w:val="002432BE"/>
    <w:rsid w:val="00251D5F"/>
    <w:rsid w:val="00254C6F"/>
    <w:rsid w:val="00255679"/>
    <w:rsid w:val="00267258"/>
    <w:rsid w:val="0027266B"/>
    <w:rsid w:val="00281E80"/>
    <w:rsid w:val="002834B0"/>
    <w:rsid w:val="00283671"/>
    <w:rsid w:val="002837B6"/>
    <w:rsid w:val="00284A5D"/>
    <w:rsid w:val="00284E27"/>
    <w:rsid w:val="00294B7D"/>
    <w:rsid w:val="002A11A2"/>
    <w:rsid w:val="002A1973"/>
    <w:rsid w:val="002A32F5"/>
    <w:rsid w:val="002A382D"/>
    <w:rsid w:val="002B0DAB"/>
    <w:rsid w:val="002B14F6"/>
    <w:rsid w:val="002C055A"/>
    <w:rsid w:val="002C2392"/>
    <w:rsid w:val="002C5947"/>
    <w:rsid w:val="002C60E4"/>
    <w:rsid w:val="002C7D6D"/>
    <w:rsid w:val="002D1C5C"/>
    <w:rsid w:val="002D1E20"/>
    <w:rsid w:val="002D4556"/>
    <w:rsid w:val="002D525C"/>
    <w:rsid w:val="002D68BA"/>
    <w:rsid w:val="002D7CF8"/>
    <w:rsid w:val="002E0757"/>
    <w:rsid w:val="002E4FA1"/>
    <w:rsid w:val="002E6860"/>
    <w:rsid w:val="002F0411"/>
    <w:rsid w:val="002F767E"/>
    <w:rsid w:val="00301264"/>
    <w:rsid w:val="003033FA"/>
    <w:rsid w:val="00304EAC"/>
    <w:rsid w:val="0030699E"/>
    <w:rsid w:val="003073BD"/>
    <w:rsid w:val="00312D28"/>
    <w:rsid w:val="00314914"/>
    <w:rsid w:val="00315D47"/>
    <w:rsid w:val="003246F0"/>
    <w:rsid w:val="00325E2A"/>
    <w:rsid w:val="003272F3"/>
    <w:rsid w:val="00337AAB"/>
    <w:rsid w:val="00345716"/>
    <w:rsid w:val="0034786C"/>
    <w:rsid w:val="003517C9"/>
    <w:rsid w:val="003579E5"/>
    <w:rsid w:val="00357EC4"/>
    <w:rsid w:val="00363DD7"/>
    <w:rsid w:val="00370000"/>
    <w:rsid w:val="00372819"/>
    <w:rsid w:val="00372924"/>
    <w:rsid w:val="00373507"/>
    <w:rsid w:val="00377771"/>
    <w:rsid w:val="0038230E"/>
    <w:rsid w:val="00382529"/>
    <w:rsid w:val="00397AD9"/>
    <w:rsid w:val="003A00C9"/>
    <w:rsid w:val="003A25A4"/>
    <w:rsid w:val="003B49E4"/>
    <w:rsid w:val="003B4CCF"/>
    <w:rsid w:val="003C4D42"/>
    <w:rsid w:val="003C57EB"/>
    <w:rsid w:val="003C6AB4"/>
    <w:rsid w:val="003C7E96"/>
    <w:rsid w:val="003D4104"/>
    <w:rsid w:val="003D75A6"/>
    <w:rsid w:val="003E099F"/>
    <w:rsid w:val="003E167F"/>
    <w:rsid w:val="003E4DF9"/>
    <w:rsid w:val="003E58D5"/>
    <w:rsid w:val="003E631E"/>
    <w:rsid w:val="003E684D"/>
    <w:rsid w:val="003E6983"/>
    <w:rsid w:val="003F1FE3"/>
    <w:rsid w:val="003F3EBE"/>
    <w:rsid w:val="003F665D"/>
    <w:rsid w:val="003F6E4C"/>
    <w:rsid w:val="0040086D"/>
    <w:rsid w:val="004017D8"/>
    <w:rsid w:val="00405188"/>
    <w:rsid w:val="00411E03"/>
    <w:rsid w:val="004123B1"/>
    <w:rsid w:val="00414EB4"/>
    <w:rsid w:val="00423634"/>
    <w:rsid w:val="004303A1"/>
    <w:rsid w:val="00440DC9"/>
    <w:rsid w:val="004506D2"/>
    <w:rsid w:val="00450AE4"/>
    <w:rsid w:val="00452892"/>
    <w:rsid w:val="00456F40"/>
    <w:rsid w:val="00457511"/>
    <w:rsid w:val="004609BD"/>
    <w:rsid w:val="004661EE"/>
    <w:rsid w:val="00466741"/>
    <w:rsid w:val="00467736"/>
    <w:rsid w:val="00470064"/>
    <w:rsid w:val="00470BCC"/>
    <w:rsid w:val="0047313D"/>
    <w:rsid w:val="0047391C"/>
    <w:rsid w:val="00476156"/>
    <w:rsid w:val="00476F2C"/>
    <w:rsid w:val="00481938"/>
    <w:rsid w:val="004844BE"/>
    <w:rsid w:val="004A1122"/>
    <w:rsid w:val="004A2BEA"/>
    <w:rsid w:val="004A3C64"/>
    <w:rsid w:val="004A5AEA"/>
    <w:rsid w:val="004A78AB"/>
    <w:rsid w:val="004A7FB6"/>
    <w:rsid w:val="004B2FDA"/>
    <w:rsid w:val="004B480A"/>
    <w:rsid w:val="004B509C"/>
    <w:rsid w:val="004B5D36"/>
    <w:rsid w:val="004C0CA2"/>
    <w:rsid w:val="004C3F08"/>
    <w:rsid w:val="004C502D"/>
    <w:rsid w:val="004C638E"/>
    <w:rsid w:val="004D50C0"/>
    <w:rsid w:val="004D522A"/>
    <w:rsid w:val="004D772A"/>
    <w:rsid w:val="004E1CAB"/>
    <w:rsid w:val="004E339B"/>
    <w:rsid w:val="004E4273"/>
    <w:rsid w:val="004E4562"/>
    <w:rsid w:val="004E5E8F"/>
    <w:rsid w:val="004F077F"/>
    <w:rsid w:val="004F5914"/>
    <w:rsid w:val="005023DD"/>
    <w:rsid w:val="00503D8C"/>
    <w:rsid w:val="00522B84"/>
    <w:rsid w:val="00525884"/>
    <w:rsid w:val="0053031B"/>
    <w:rsid w:val="00531A7F"/>
    <w:rsid w:val="00534BAD"/>
    <w:rsid w:val="005360E8"/>
    <w:rsid w:val="0053705C"/>
    <w:rsid w:val="005405CF"/>
    <w:rsid w:val="005428C5"/>
    <w:rsid w:val="00543C55"/>
    <w:rsid w:val="00545507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90903"/>
    <w:rsid w:val="005A2CCD"/>
    <w:rsid w:val="005A5C40"/>
    <w:rsid w:val="005A617A"/>
    <w:rsid w:val="005A7774"/>
    <w:rsid w:val="005B0765"/>
    <w:rsid w:val="005B0FC9"/>
    <w:rsid w:val="005B623D"/>
    <w:rsid w:val="005B66D3"/>
    <w:rsid w:val="005C37D1"/>
    <w:rsid w:val="005C4556"/>
    <w:rsid w:val="005C5302"/>
    <w:rsid w:val="005D1DAB"/>
    <w:rsid w:val="005D307B"/>
    <w:rsid w:val="005D603E"/>
    <w:rsid w:val="005E1425"/>
    <w:rsid w:val="005E2ABB"/>
    <w:rsid w:val="005E3419"/>
    <w:rsid w:val="005E362E"/>
    <w:rsid w:val="005F1B2F"/>
    <w:rsid w:val="005F5C8E"/>
    <w:rsid w:val="005F7593"/>
    <w:rsid w:val="00600C8E"/>
    <w:rsid w:val="006029D7"/>
    <w:rsid w:val="00602CCA"/>
    <w:rsid w:val="0061109D"/>
    <w:rsid w:val="00612AA0"/>
    <w:rsid w:val="00612FE1"/>
    <w:rsid w:val="006138CB"/>
    <w:rsid w:val="006201E1"/>
    <w:rsid w:val="006224C4"/>
    <w:rsid w:val="006225EA"/>
    <w:rsid w:val="00623750"/>
    <w:rsid w:val="00625156"/>
    <w:rsid w:val="006261DF"/>
    <w:rsid w:val="00626680"/>
    <w:rsid w:val="00640CD0"/>
    <w:rsid w:val="00641270"/>
    <w:rsid w:val="00642074"/>
    <w:rsid w:val="00642409"/>
    <w:rsid w:val="006424F8"/>
    <w:rsid w:val="00644AED"/>
    <w:rsid w:val="006517DA"/>
    <w:rsid w:val="00652204"/>
    <w:rsid w:val="00655405"/>
    <w:rsid w:val="00656301"/>
    <w:rsid w:val="0066326B"/>
    <w:rsid w:val="00663428"/>
    <w:rsid w:val="006640C4"/>
    <w:rsid w:val="00681CAB"/>
    <w:rsid w:val="006842EF"/>
    <w:rsid w:val="00695E58"/>
    <w:rsid w:val="0069757D"/>
    <w:rsid w:val="006977FA"/>
    <w:rsid w:val="006A1329"/>
    <w:rsid w:val="006A3FA5"/>
    <w:rsid w:val="006A66F9"/>
    <w:rsid w:val="006E2EF9"/>
    <w:rsid w:val="006E5C9C"/>
    <w:rsid w:val="006E639E"/>
    <w:rsid w:val="006F1774"/>
    <w:rsid w:val="006F5757"/>
    <w:rsid w:val="006F6BF1"/>
    <w:rsid w:val="00711680"/>
    <w:rsid w:val="007126FF"/>
    <w:rsid w:val="00714890"/>
    <w:rsid w:val="00717A20"/>
    <w:rsid w:val="00720DFF"/>
    <w:rsid w:val="007227E9"/>
    <w:rsid w:val="00730E23"/>
    <w:rsid w:val="00732079"/>
    <w:rsid w:val="007543F0"/>
    <w:rsid w:val="00762CC5"/>
    <w:rsid w:val="00763617"/>
    <w:rsid w:val="00764A52"/>
    <w:rsid w:val="00766A89"/>
    <w:rsid w:val="00774D89"/>
    <w:rsid w:val="00782411"/>
    <w:rsid w:val="007906B4"/>
    <w:rsid w:val="007970A0"/>
    <w:rsid w:val="007B1D95"/>
    <w:rsid w:val="007B215B"/>
    <w:rsid w:val="007B4617"/>
    <w:rsid w:val="007C41FD"/>
    <w:rsid w:val="007D19A7"/>
    <w:rsid w:val="007D5CE6"/>
    <w:rsid w:val="007E6598"/>
    <w:rsid w:val="007E759D"/>
    <w:rsid w:val="007F2DBE"/>
    <w:rsid w:val="007F2F67"/>
    <w:rsid w:val="007F33B6"/>
    <w:rsid w:val="007F4E12"/>
    <w:rsid w:val="007F642D"/>
    <w:rsid w:val="007F756A"/>
    <w:rsid w:val="00801CFE"/>
    <w:rsid w:val="00807379"/>
    <w:rsid w:val="00812471"/>
    <w:rsid w:val="008261A5"/>
    <w:rsid w:val="0083382E"/>
    <w:rsid w:val="00836A75"/>
    <w:rsid w:val="00842AD1"/>
    <w:rsid w:val="0085083D"/>
    <w:rsid w:val="00855325"/>
    <w:rsid w:val="00862A99"/>
    <w:rsid w:val="00862E34"/>
    <w:rsid w:val="00865915"/>
    <w:rsid w:val="00871832"/>
    <w:rsid w:val="00883F52"/>
    <w:rsid w:val="00886CCE"/>
    <w:rsid w:val="0089000C"/>
    <w:rsid w:val="008942C6"/>
    <w:rsid w:val="00896B33"/>
    <w:rsid w:val="008A57FE"/>
    <w:rsid w:val="008A62FB"/>
    <w:rsid w:val="008A77B7"/>
    <w:rsid w:val="008B0F67"/>
    <w:rsid w:val="008B2F6A"/>
    <w:rsid w:val="008B51C6"/>
    <w:rsid w:val="008C0E8F"/>
    <w:rsid w:val="008C608D"/>
    <w:rsid w:val="008E461D"/>
    <w:rsid w:val="008E6D4E"/>
    <w:rsid w:val="008F08E5"/>
    <w:rsid w:val="008F0EA4"/>
    <w:rsid w:val="008F38F6"/>
    <w:rsid w:val="008F5213"/>
    <w:rsid w:val="008F69E2"/>
    <w:rsid w:val="009000CF"/>
    <w:rsid w:val="009003ED"/>
    <w:rsid w:val="00904E1E"/>
    <w:rsid w:val="0090748B"/>
    <w:rsid w:val="00920C9C"/>
    <w:rsid w:val="00922754"/>
    <w:rsid w:val="00925781"/>
    <w:rsid w:val="009258D0"/>
    <w:rsid w:val="00926753"/>
    <w:rsid w:val="00926D96"/>
    <w:rsid w:val="009275BE"/>
    <w:rsid w:val="00935AB3"/>
    <w:rsid w:val="0093659D"/>
    <w:rsid w:val="00962189"/>
    <w:rsid w:val="009646C4"/>
    <w:rsid w:val="009734CE"/>
    <w:rsid w:val="0098460C"/>
    <w:rsid w:val="00990251"/>
    <w:rsid w:val="00992B56"/>
    <w:rsid w:val="00996030"/>
    <w:rsid w:val="00996E1A"/>
    <w:rsid w:val="00997000"/>
    <w:rsid w:val="009B4392"/>
    <w:rsid w:val="009B79CE"/>
    <w:rsid w:val="009B7D09"/>
    <w:rsid w:val="009C14B3"/>
    <w:rsid w:val="009D24DA"/>
    <w:rsid w:val="009D5D75"/>
    <w:rsid w:val="009D7601"/>
    <w:rsid w:val="009E0C0B"/>
    <w:rsid w:val="009E349F"/>
    <w:rsid w:val="009F32A2"/>
    <w:rsid w:val="009F4C68"/>
    <w:rsid w:val="009F54CE"/>
    <w:rsid w:val="00A06264"/>
    <w:rsid w:val="00A128E3"/>
    <w:rsid w:val="00A1639A"/>
    <w:rsid w:val="00A17A14"/>
    <w:rsid w:val="00A215C9"/>
    <w:rsid w:val="00A30B7F"/>
    <w:rsid w:val="00A31351"/>
    <w:rsid w:val="00A32F0C"/>
    <w:rsid w:val="00A3554C"/>
    <w:rsid w:val="00A5364B"/>
    <w:rsid w:val="00A60999"/>
    <w:rsid w:val="00A615E0"/>
    <w:rsid w:val="00A65E2B"/>
    <w:rsid w:val="00A7200E"/>
    <w:rsid w:val="00A74AA0"/>
    <w:rsid w:val="00A7546D"/>
    <w:rsid w:val="00A77100"/>
    <w:rsid w:val="00A773B2"/>
    <w:rsid w:val="00A91138"/>
    <w:rsid w:val="00A92BB1"/>
    <w:rsid w:val="00AA4D97"/>
    <w:rsid w:val="00AB1E81"/>
    <w:rsid w:val="00AD17B7"/>
    <w:rsid w:val="00AE33D7"/>
    <w:rsid w:val="00AF08D2"/>
    <w:rsid w:val="00AF64D0"/>
    <w:rsid w:val="00B069C5"/>
    <w:rsid w:val="00B06D1B"/>
    <w:rsid w:val="00B077D5"/>
    <w:rsid w:val="00B16A78"/>
    <w:rsid w:val="00B200E4"/>
    <w:rsid w:val="00B26FFD"/>
    <w:rsid w:val="00B27E63"/>
    <w:rsid w:val="00B35AFE"/>
    <w:rsid w:val="00B35B6D"/>
    <w:rsid w:val="00B35DC6"/>
    <w:rsid w:val="00B3619D"/>
    <w:rsid w:val="00B4232D"/>
    <w:rsid w:val="00B51699"/>
    <w:rsid w:val="00B53FAF"/>
    <w:rsid w:val="00B63153"/>
    <w:rsid w:val="00B6527D"/>
    <w:rsid w:val="00B66C16"/>
    <w:rsid w:val="00B72D7B"/>
    <w:rsid w:val="00B73B3A"/>
    <w:rsid w:val="00B74507"/>
    <w:rsid w:val="00B75718"/>
    <w:rsid w:val="00B75E7E"/>
    <w:rsid w:val="00B77EAB"/>
    <w:rsid w:val="00B86001"/>
    <w:rsid w:val="00B90261"/>
    <w:rsid w:val="00B92FD0"/>
    <w:rsid w:val="00B93817"/>
    <w:rsid w:val="00B9682D"/>
    <w:rsid w:val="00B96FB1"/>
    <w:rsid w:val="00B97144"/>
    <w:rsid w:val="00BA0B96"/>
    <w:rsid w:val="00BB15DA"/>
    <w:rsid w:val="00BB2707"/>
    <w:rsid w:val="00BB340D"/>
    <w:rsid w:val="00BB438E"/>
    <w:rsid w:val="00BB658C"/>
    <w:rsid w:val="00BC1B54"/>
    <w:rsid w:val="00BC2A3A"/>
    <w:rsid w:val="00BC39B1"/>
    <w:rsid w:val="00BC64EC"/>
    <w:rsid w:val="00BD073D"/>
    <w:rsid w:val="00BD380C"/>
    <w:rsid w:val="00BE4198"/>
    <w:rsid w:val="00BF3AFD"/>
    <w:rsid w:val="00C00F4E"/>
    <w:rsid w:val="00C023E8"/>
    <w:rsid w:val="00C04A14"/>
    <w:rsid w:val="00C1438E"/>
    <w:rsid w:val="00C1606C"/>
    <w:rsid w:val="00C171C1"/>
    <w:rsid w:val="00C205D6"/>
    <w:rsid w:val="00C23180"/>
    <w:rsid w:val="00C41492"/>
    <w:rsid w:val="00C502EC"/>
    <w:rsid w:val="00C50874"/>
    <w:rsid w:val="00C5466E"/>
    <w:rsid w:val="00C63201"/>
    <w:rsid w:val="00C65D69"/>
    <w:rsid w:val="00C67D85"/>
    <w:rsid w:val="00C702B5"/>
    <w:rsid w:val="00C70389"/>
    <w:rsid w:val="00C733F1"/>
    <w:rsid w:val="00C8495F"/>
    <w:rsid w:val="00C904B6"/>
    <w:rsid w:val="00C90A75"/>
    <w:rsid w:val="00C9231A"/>
    <w:rsid w:val="00C935BC"/>
    <w:rsid w:val="00C96DF4"/>
    <w:rsid w:val="00CA58B6"/>
    <w:rsid w:val="00CA6A66"/>
    <w:rsid w:val="00CC1337"/>
    <w:rsid w:val="00CC2514"/>
    <w:rsid w:val="00CC3E33"/>
    <w:rsid w:val="00CC48DF"/>
    <w:rsid w:val="00CC4EF0"/>
    <w:rsid w:val="00CD42E0"/>
    <w:rsid w:val="00CD4A91"/>
    <w:rsid w:val="00CD4FDC"/>
    <w:rsid w:val="00CD70E7"/>
    <w:rsid w:val="00CD7363"/>
    <w:rsid w:val="00CE0BB9"/>
    <w:rsid w:val="00CE0C1F"/>
    <w:rsid w:val="00CE3370"/>
    <w:rsid w:val="00CE455F"/>
    <w:rsid w:val="00CF0BF9"/>
    <w:rsid w:val="00CF2C0D"/>
    <w:rsid w:val="00CF5957"/>
    <w:rsid w:val="00CF7C1F"/>
    <w:rsid w:val="00D04BA2"/>
    <w:rsid w:val="00D077B0"/>
    <w:rsid w:val="00D22D42"/>
    <w:rsid w:val="00D27B75"/>
    <w:rsid w:val="00D31A57"/>
    <w:rsid w:val="00D36D8D"/>
    <w:rsid w:val="00D412A7"/>
    <w:rsid w:val="00D41EEF"/>
    <w:rsid w:val="00D45711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2A"/>
    <w:rsid w:val="00D72339"/>
    <w:rsid w:val="00D73E47"/>
    <w:rsid w:val="00D74ABB"/>
    <w:rsid w:val="00D83CB7"/>
    <w:rsid w:val="00D8438D"/>
    <w:rsid w:val="00D916E0"/>
    <w:rsid w:val="00D9242A"/>
    <w:rsid w:val="00D95394"/>
    <w:rsid w:val="00D97FA8"/>
    <w:rsid w:val="00DC7B25"/>
    <w:rsid w:val="00DD4100"/>
    <w:rsid w:val="00DD681C"/>
    <w:rsid w:val="00DD6B73"/>
    <w:rsid w:val="00DE23F8"/>
    <w:rsid w:val="00DE3897"/>
    <w:rsid w:val="00DE7CC2"/>
    <w:rsid w:val="00DF2587"/>
    <w:rsid w:val="00E05CF6"/>
    <w:rsid w:val="00E112C9"/>
    <w:rsid w:val="00E1194F"/>
    <w:rsid w:val="00E1314C"/>
    <w:rsid w:val="00E158F7"/>
    <w:rsid w:val="00E2087E"/>
    <w:rsid w:val="00E23DD5"/>
    <w:rsid w:val="00E2636D"/>
    <w:rsid w:val="00E34976"/>
    <w:rsid w:val="00E36818"/>
    <w:rsid w:val="00E36E5F"/>
    <w:rsid w:val="00E4063D"/>
    <w:rsid w:val="00E42887"/>
    <w:rsid w:val="00E47B97"/>
    <w:rsid w:val="00E5203C"/>
    <w:rsid w:val="00E634CC"/>
    <w:rsid w:val="00E67D78"/>
    <w:rsid w:val="00E705BE"/>
    <w:rsid w:val="00E82F0E"/>
    <w:rsid w:val="00E9556E"/>
    <w:rsid w:val="00E95F89"/>
    <w:rsid w:val="00E96065"/>
    <w:rsid w:val="00E96FAC"/>
    <w:rsid w:val="00EA129F"/>
    <w:rsid w:val="00EA1AD8"/>
    <w:rsid w:val="00EB7A31"/>
    <w:rsid w:val="00EB7C48"/>
    <w:rsid w:val="00ED0582"/>
    <w:rsid w:val="00ED1A9F"/>
    <w:rsid w:val="00ED7374"/>
    <w:rsid w:val="00EE2C4F"/>
    <w:rsid w:val="00EE31F6"/>
    <w:rsid w:val="00EE36DC"/>
    <w:rsid w:val="00EE77BB"/>
    <w:rsid w:val="00F00799"/>
    <w:rsid w:val="00F044EE"/>
    <w:rsid w:val="00F12C0D"/>
    <w:rsid w:val="00F135B3"/>
    <w:rsid w:val="00F172FE"/>
    <w:rsid w:val="00F21E4A"/>
    <w:rsid w:val="00F3320B"/>
    <w:rsid w:val="00F4044F"/>
    <w:rsid w:val="00F40E92"/>
    <w:rsid w:val="00F41947"/>
    <w:rsid w:val="00F435AA"/>
    <w:rsid w:val="00F4603A"/>
    <w:rsid w:val="00F51D9B"/>
    <w:rsid w:val="00F66FF2"/>
    <w:rsid w:val="00F75C84"/>
    <w:rsid w:val="00F76C6A"/>
    <w:rsid w:val="00F83BF1"/>
    <w:rsid w:val="00F90CB9"/>
    <w:rsid w:val="00F92D87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C0A53"/>
    <w:rsid w:val="00FC1895"/>
    <w:rsid w:val="00FC497D"/>
    <w:rsid w:val="00FD076B"/>
    <w:rsid w:val="00FD160F"/>
    <w:rsid w:val="00FD41F3"/>
    <w:rsid w:val="00FE031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1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9347-8BF3-4B78-9074-56C3A3E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10</cp:revision>
  <cp:lastPrinted>2020-12-30T08:22:00Z</cp:lastPrinted>
  <dcterms:created xsi:type="dcterms:W3CDTF">2020-12-30T08:04:00Z</dcterms:created>
  <dcterms:modified xsi:type="dcterms:W3CDTF">2021-01-04T10:07:00Z</dcterms:modified>
</cp:coreProperties>
</file>