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6C16F74B" w:rsidR="00CA79D7" w:rsidRPr="006456EA" w:rsidRDefault="00AF202A"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 xml:space="preserve">TOP 7 OFFICE MARKETS Q1-4/2022 </w:t>
      </w:r>
    </w:p>
    <w:p w14:paraId="7C2D2599" w14:textId="35949CA1" w:rsidR="00CA79D7" w:rsidRDefault="00A909D7"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On average smaller but better appointed</w:t>
      </w:r>
    </w:p>
    <w:p w14:paraId="743073FD" w14:textId="77777777" w:rsidR="003152C9" w:rsidRPr="00826C30" w:rsidRDefault="003152C9" w:rsidP="003152C9">
      <w:pPr>
        <w:pStyle w:val="EinfAbs"/>
        <w:tabs>
          <w:tab w:val="left" w:pos="200"/>
        </w:tabs>
        <w:spacing w:line="440" w:lineRule="exact"/>
        <w:rPr>
          <w:rFonts w:ascii="Source Sans Pro" w:hAnsi="Source Sans Pro" w:cs="Source Sans Pro"/>
          <w:sz w:val="22"/>
          <w:szCs w:val="22"/>
        </w:rPr>
      </w:pPr>
    </w:p>
    <w:p w14:paraId="5647083E" w14:textId="6FD26159" w:rsidR="00CA79D7" w:rsidRPr="00CA79D7" w:rsidRDefault="0008484D" w:rsidP="00CA79D7">
      <w:pPr>
        <w:pStyle w:val="EinfAbs"/>
        <w:tabs>
          <w:tab w:val="left" w:pos="200"/>
        </w:tabs>
        <w:rPr>
          <w:rFonts w:ascii="Source Sans Pro" w:hAnsi="Source Sans Pro" w:cs="Source Sans Pro"/>
          <w:color w:val="0086A8"/>
          <w:sz w:val="22"/>
          <w:szCs w:val="22"/>
        </w:rPr>
      </w:pPr>
      <w:r>
        <w:rPr>
          <w:rFonts w:ascii="Source Sans Pro" w:hAnsi="Source Sans Pro" w:cs="Source Sans Pro"/>
          <w:noProof/>
          <w:color w:val="0086A8"/>
          <w:sz w:val="22"/>
          <w:szCs w:val="22"/>
          <w:lang w:val="de-DE"/>
        </w:rPr>
        <w:drawing>
          <wp:inline distT="0" distB="0" distL="0" distR="0" wp14:anchorId="74ED8B70" wp14:editId="2077ABB1">
            <wp:extent cx="3881120" cy="2274808"/>
            <wp:effectExtent l="19050" t="19050" r="24130" b="1143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P-top-7-office-space-take-up-4q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9347" cy="2291353"/>
                    </a:xfrm>
                    <a:prstGeom prst="rect">
                      <a:avLst/>
                    </a:prstGeom>
                    <a:ln w="3175">
                      <a:solidFill>
                        <a:schemeClr val="tx1"/>
                      </a:solidFill>
                    </a:ln>
                  </pic:spPr>
                </pic:pic>
              </a:graphicData>
            </a:graphic>
          </wp:inline>
        </w:drawing>
      </w:r>
    </w:p>
    <w:p w14:paraId="09C3BDF2" w14:textId="77777777" w:rsidR="00CA79D7" w:rsidRDefault="00CA79D7" w:rsidP="007D5A52">
      <w:pPr>
        <w:pStyle w:val="EinfAbs"/>
        <w:tabs>
          <w:tab w:val="left" w:pos="200"/>
        </w:tabs>
        <w:snapToGrid w:val="0"/>
        <w:spacing w:line="280" w:lineRule="exact"/>
        <w:jc w:val="both"/>
        <w:rPr>
          <w:rFonts w:ascii="Source Sans Pro" w:hAnsi="Source Sans Pro" w:cs="Source Sans Pro"/>
          <w:color w:val="0086A8"/>
          <w:sz w:val="22"/>
          <w:szCs w:val="22"/>
        </w:rPr>
      </w:pPr>
    </w:p>
    <w:p w14:paraId="444769DA" w14:textId="1A80D82F" w:rsidR="007D5A52" w:rsidRPr="00197E98" w:rsidRDefault="0008484D" w:rsidP="007D5A52">
      <w:pPr>
        <w:pStyle w:val="EinfAbs"/>
        <w:tabs>
          <w:tab w:val="left" w:pos="200"/>
        </w:tabs>
        <w:snapToGrid w:val="0"/>
        <w:spacing w:line="280" w:lineRule="exact"/>
        <w:jc w:val="both"/>
        <w:rPr>
          <w:rFonts w:ascii="Source Sans Pro" w:hAnsi="Source Sans Pro" w:cs="Source Sans Pro"/>
          <w:color w:val="auto"/>
          <w:sz w:val="22"/>
          <w:szCs w:val="22"/>
        </w:rPr>
      </w:pPr>
      <w:r>
        <w:rPr>
          <w:rFonts w:ascii="Source Sans Pro" w:hAnsi="Source Sans Pro"/>
          <w:color w:val="0087A8"/>
          <w:sz w:val="22"/>
          <w:szCs w:val="22"/>
        </w:rPr>
        <w:t>2023-01-02</w:t>
      </w:r>
      <w:r w:rsidR="00DC4528">
        <w:rPr>
          <w:rFonts w:ascii="Source Sans Pro" w:hAnsi="Source Sans Pro"/>
          <w:color w:val="0087A8"/>
          <w:sz w:val="22"/>
          <w:szCs w:val="22"/>
        </w:rPr>
        <w:t>, Hamburg.</w:t>
      </w:r>
      <w:r w:rsidR="00DC4528">
        <w:rPr>
          <w:rFonts w:ascii="Source Sans Pro" w:hAnsi="Source Sans Pro"/>
          <w:color w:val="auto"/>
          <w:sz w:val="22"/>
          <w:szCs w:val="22"/>
        </w:rPr>
        <w:t xml:space="preserve"> In Germany’s top 7 cities the office suites that companies rented or occupied in their own premises in 2022 were on average smaller and more expensive than in 2021. Overall, 3.47m </w:t>
      </w:r>
      <w:r>
        <w:rPr>
          <w:rFonts w:ascii="Source Sans Pro" w:hAnsi="Source Sans Pro"/>
          <w:color w:val="auto"/>
          <w:sz w:val="22"/>
          <w:szCs w:val="22"/>
        </w:rPr>
        <w:t>m²</w:t>
      </w:r>
      <w:r w:rsidR="00DC4528">
        <w:rPr>
          <w:rFonts w:ascii="Source Sans Pro" w:hAnsi="Source Sans Pro"/>
          <w:color w:val="auto"/>
          <w:sz w:val="22"/>
          <w:szCs w:val="22"/>
        </w:rPr>
        <w:t xml:space="preserve"> of space was taken up in the top 7 cities – 9 % more than in 2021. </w:t>
      </w:r>
      <w:r w:rsidR="00DC4528">
        <w:rPr>
          <w:rFonts w:ascii="Source Sans Pro" w:hAnsi="Source Sans Pro"/>
          <w:i/>
          <w:color w:val="auto"/>
          <w:sz w:val="22"/>
          <w:szCs w:val="22"/>
        </w:rPr>
        <w:t>“As companies, especially the large ones, became more confident in terms of the pandemic and their future prospects, they decide</w:t>
      </w:r>
      <w:r w:rsidR="00873F7F">
        <w:rPr>
          <w:rFonts w:ascii="Source Sans Pro" w:hAnsi="Source Sans Pro"/>
          <w:i/>
          <w:color w:val="auto"/>
          <w:sz w:val="22"/>
          <w:szCs w:val="22"/>
        </w:rPr>
        <w:t>d to act on their plans to move.</w:t>
      </w:r>
      <w:r w:rsidR="00DC4528">
        <w:rPr>
          <w:rFonts w:ascii="Source Sans Pro" w:hAnsi="Source Sans Pro"/>
          <w:i/>
          <w:color w:val="auto"/>
          <w:sz w:val="22"/>
          <w:szCs w:val="22"/>
        </w:rPr>
        <w:t xml:space="preserve"> In 2022 Germany’s top 7 cities noted twice as many agreements for more than 20,000 square metres of space than in 2021. In many cases large companies reduced the amount of space occupied while opting for top locations. In view of the war in Ukraine and rising rates of inflation, however, a degree of uncertainty returned. </w:t>
      </w:r>
      <w:r w:rsidR="00DC4528">
        <w:rPr>
          <w:rFonts w:ascii="Source Sans Pro" w:hAnsi="Source Sans Pro"/>
          <w:i/>
          <w:sz w:val="22"/>
          <w:szCs w:val="22"/>
        </w:rPr>
        <w:t>Unlike the strong second and third quarters, take-up of space in both the first and fourth quarters was thus somewhat muted,”</w:t>
      </w:r>
      <w:r w:rsidR="00DC4528">
        <w:rPr>
          <w:rFonts w:ascii="Source Sans Pro" w:hAnsi="Source Sans Pro"/>
          <w:sz w:val="22"/>
          <w:szCs w:val="22"/>
        </w:rPr>
        <w:t xml:space="preserve"> says </w:t>
      </w:r>
      <w:r w:rsidR="00DC4528">
        <w:rPr>
          <w:rFonts w:ascii="Source Sans Pro" w:hAnsi="Source Sans Pro"/>
          <w:b/>
          <w:sz w:val="22"/>
          <w:szCs w:val="22"/>
        </w:rPr>
        <w:t xml:space="preserve">Andreas </w:t>
      </w:r>
      <w:proofErr w:type="spellStart"/>
      <w:r w:rsidR="00DC4528">
        <w:rPr>
          <w:rFonts w:ascii="Source Sans Pro" w:hAnsi="Source Sans Pro"/>
          <w:b/>
          <w:sz w:val="22"/>
          <w:szCs w:val="22"/>
        </w:rPr>
        <w:t>Rehberg</w:t>
      </w:r>
      <w:proofErr w:type="spellEnd"/>
      <w:r w:rsidR="00DC4528">
        <w:rPr>
          <w:rFonts w:ascii="Source Sans Pro" w:hAnsi="Source Sans Pro"/>
          <w:sz w:val="22"/>
          <w:szCs w:val="22"/>
        </w:rPr>
        <w:t>, spokesperson for German Property Partner</w:t>
      </w:r>
      <w:r>
        <w:rPr>
          <w:rFonts w:ascii="Source Sans Pro" w:hAnsi="Source Sans Pro"/>
          <w:sz w:val="22"/>
          <w:szCs w:val="22"/>
        </w:rPr>
        <w:t>s (GPP). The</w:t>
      </w:r>
      <w:r w:rsidR="00DC4528">
        <w:rPr>
          <w:rFonts w:ascii="Source Sans Pro" w:hAnsi="Source Sans Pro"/>
          <w:sz w:val="22"/>
          <w:szCs w:val="22"/>
        </w:rPr>
        <w:t xml:space="preserve"> commercial property network consists of Grossmann &amp; Berger, Anteon </w:t>
      </w:r>
      <w:proofErr w:type="spellStart"/>
      <w:r w:rsidR="00DC4528">
        <w:rPr>
          <w:rFonts w:ascii="Source Sans Pro" w:hAnsi="Source Sans Pro"/>
          <w:sz w:val="22"/>
          <w:szCs w:val="22"/>
        </w:rPr>
        <w:t>Immobilien</w:t>
      </w:r>
      <w:proofErr w:type="spellEnd"/>
      <w:r w:rsidR="00DC4528">
        <w:rPr>
          <w:rFonts w:ascii="Source Sans Pro" w:hAnsi="Source Sans Pro"/>
          <w:sz w:val="22"/>
          <w:szCs w:val="22"/>
        </w:rPr>
        <w:t xml:space="preserve">, GREIF &amp; CONTZEN </w:t>
      </w:r>
      <w:proofErr w:type="spellStart"/>
      <w:r w:rsidR="00DC4528">
        <w:rPr>
          <w:rFonts w:ascii="Source Sans Pro" w:hAnsi="Source Sans Pro"/>
          <w:sz w:val="22"/>
          <w:szCs w:val="22"/>
        </w:rPr>
        <w:t>Immobilien</w:t>
      </w:r>
      <w:proofErr w:type="spellEnd"/>
      <w:r w:rsidR="00DC4528">
        <w:rPr>
          <w:rFonts w:ascii="Source Sans Pro" w:hAnsi="Source Sans Pro"/>
          <w:sz w:val="22"/>
          <w:szCs w:val="22"/>
        </w:rPr>
        <w:t xml:space="preserve">, </w:t>
      </w:r>
      <w:proofErr w:type="spellStart"/>
      <w:r w:rsidR="00DC4528">
        <w:rPr>
          <w:rFonts w:ascii="Source Sans Pro" w:hAnsi="Source Sans Pro"/>
          <w:sz w:val="22"/>
          <w:szCs w:val="22"/>
        </w:rPr>
        <w:t>blackolive</w:t>
      </w:r>
      <w:proofErr w:type="spellEnd"/>
      <w:r w:rsidR="00DC4528">
        <w:rPr>
          <w:rFonts w:ascii="Source Sans Pro" w:hAnsi="Source Sans Pro"/>
          <w:sz w:val="22"/>
          <w:szCs w:val="22"/>
        </w:rPr>
        <w:t xml:space="preserve"> and E &amp; G Real Estate. </w:t>
      </w:r>
    </w:p>
    <w:p w14:paraId="65E17CEF" w14:textId="77777777" w:rsidR="009C51BD" w:rsidRDefault="009C51BD" w:rsidP="007D5A52">
      <w:pPr>
        <w:pStyle w:val="EinfAbs"/>
        <w:tabs>
          <w:tab w:val="left" w:pos="200"/>
        </w:tabs>
        <w:snapToGrid w:val="0"/>
        <w:spacing w:line="280" w:lineRule="exact"/>
        <w:jc w:val="both"/>
        <w:rPr>
          <w:rFonts w:ascii="Source Sans Pro" w:hAnsi="Source Sans Pro" w:cs="Source Sans Pro"/>
          <w:sz w:val="22"/>
          <w:szCs w:val="22"/>
        </w:rPr>
      </w:pPr>
    </w:p>
    <w:p w14:paraId="02B4A804" w14:textId="563848A7" w:rsidR="007D5A52" w:rsidRPr="006456EA" w:rsidRDefault="003D6537" w:rsidP="007D5A52">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Economic downturn is noticeable</w:t>
      </w:r>
    </w:p>
    <w:p w14:paraId="53EC4DA5" w14:textId="25DB1CBC" w:rsidR="00DE0A3B" w:rsidRDefault="00DE6137" w:rsidP="00DE0A3B">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Whereas, without exception, take-up of space in all top 7 cities was higher year on year in the first nine months of 2022, every city’s fourth quarter results fell below those seen in the same period a year before. GPP calculations show that the year on year comparisons range from -12 % (Frankfurt) to +91 % (Stuttgart). That Stuttgart’s result almost doubled was primarily due to the particularly high proportion of owner-occupiers (42 %). Among these was Allianz insurance, whose 65,000 m² of space represented the biggest contract of the year. In Frankfurt, the city on the Main, a striking degree of caution led to an unusual lack of agreements for large amounts of space. Here the largest-volume rental agreement in the 4th quarter was the modest 4,500 m² rented by Mayer Brown Deutschland in the “Global Tower”. Take-up of space in Berlin, Cologne and Düsseldorf was almost identical to the 4th-quarter figures for 2021,</w:t>
      </w:r>
      <w:r w:rsidR="00873F7F">
        <w:rPr>
          <w:rFonts w:ascii="Source Sans Pro" w:hAnsi="Source Sans Pro"/>
          <w:sz w:val="22"/>
          <w:szCs w:val="22"/>
        </w:rPr>
        <w:t xml:space="preserve"> in Munich and Hamburg the same-</w:t>
      </w:r>
      <w:r>
        <w:rPr>
          <w:rFonts w:ascii="Source Sans Pro" w:hAnsi="Source Sans Pro"/>
          <w:sz w:val="22"/>
          <w:szCs w:val="22"/>
        </w:rPr>
        <w:t>quarter comparison was higher by a double-digit percentage. In the context of the largest overall rental agreement in the 4th quarter, the Berlin School of Business and Innovation took 17,000 m² of office space at Karl-Marx-</w:t>
      </w:r>
      <w:proofErr w:type="spellStart"/>
      <w:r>
        <w:rPr>
          <w:rFonts w:ascii="Source Sans Pro" w:hAnsi="Source Sans Pro"/>
          <w:sz w:val="22"/>
          <w:szCs w:val="22"/>
        </w:rPr>
        <w:t>Strasse</w:t>
      </w:r>
      <w:proofErr w:type="spellEnd"/>
      <w:r>
        <w:rPr>
          <w:rFonts w:ascii="Source Sans Pro" w:hAnsi="Source Sans Pro"/>
          <w:sz w:val="22"/>
          <w:szCs w:val="22"/>
        </w:rPr>
        <w:t xml:space="preserve"> 97-99, Berlin. The biggest owner-occupier transaction between October and December involved 12,900 m² in a property on the </w:t>
      </w:r>
      <w:proofErr w:type="spellStart"/>
      <w:r>
        <w:rPr>
          <w:rFonts w:ascii="Source Sans Pro" w:hAnsi="Source Sans Pro"/>
          <w:sz w:val="22"/>
          <w:szCs w:val="22"/>
        </w:rPr>
        <w:t>Derendorfer</w:t>
      </w:r>
      <w:proofErr w:type="spellEnd"/>
      <w:r>
        <w:rPr>
          <w:rFonts w:ascii="Source Sans Pro" w:hAnsi="Source Sans Pro"/>
          <w:sz w:val="22"/>
          <w:szCs w:val="22"/>
        </w:rPr>
        <w:t xml:space="preserve"> </w:t>
      </w:r>
      <w:proofErr w:type="spellStart"/>
      <w:r>
        <w:rPr>
          <w:rFonts w:ascii="Source Sans Pro" w:hAnsi="Source Sans Pro"/>
          <w:sz w:val="22"/>
          <w:szCs w:val="22"/>
        </w:rPr>
        <w:t>Allee</w:t>
      </w:r>
      <w:proofErr w:type="spellEnd"/>
      <w:r>
        <w:rPr>
          <w:rFonts w:ascii="Source Sans Pro" w:hAnsi="Source Sans Pro"/>
          <w:sz w:val="22"/>
          <w:szCs w:val="22"/>
        </w:rPr>
        <w:t xml:space="preserve">, Düsseldorf. The new occupant is BLB </w:t>
      </w:r>
      <w:proofErr w:type="spellStart"/>
      <w:r>
        <w:rPr>
          <w:rFonts w:ascii="Source Sans Pro" w:hAnsi="Source Sans Pro"/>
          <w:sz w:val="22"/>
          <w:szCs w:val="22"/>
        </w:rPr>
        <w:t>Bau</w:t>
      </w:r>
      <w:proofErr w:type="spellEnd"/>
      <w:r>
        <w:rPr>
          <w:rFonts w:ascii="Source Sans Pro" w:hAnsi="Source Sans Pro"/>
          <w:sz w:val="22"/>
          <w:szCs w:val="22"/>
        </w:rPr>
        <w:t xml:space="preserve">- und </w:t>
      </w:r>
      <w:proofErr w:type="spellStart"/>
      <w:r>
        <w:rPr>
          <w:rFonts w:ascii="Source Sans Pro" w:hAnsi="Source Sans Pro"/>
          <w:sz w:val="22"/>
          <w:szCs w:val="22"/>
        </w:rPr>
        <w:lastRenderedPageBreak/>
        <w:t>Liegenschaftsbetrieb</w:t>
      </w:r>
      <w:proofErr w:type="spellEnd"/>
      <w:r>
        <w:rPr>
          <w:rFonts w:ascii="Source Sans Pro" w:hAnsi="Source Sans Pro"/>
          <w:sz w:val="22"/>
          <w:szCs w:val="22"/>
        </w:rPr>
        <w:t xml:space="preserve"> NRW, the state of North Rhine-Westphalia’s real estate management agency.  At the end of 2022 the owner-occupier rate in the top 7 cities had risen to 11.0 % from 7.4 % a year before.</w:t>
      </w:r>
    </w:p>
    <w:p w14:paraId="166327BD" w14:textId="77777777" w:rsidR="00DC4528" w:rsidRDefault="00DC4528" w:rsidP="004E0775">
      <w:pPr>
        <w:pStyle w:val="EinfAbs"/>
        <w:tabs>
          <w:tab w:val="left" w:pos="200"/>
        </w:tabs>
        <w:snapToGrid w:val="0"/>
        <w:spacing w:line="280" w:lineRule="exact"/>
        <w:jc w:val="both"/>
        <w:rPr>
          <w:rFonts w:ascii="Source Sans Pro" w:hAnsi="Source Sans Pro" w:cs="Source Sans Pro"/>
          <w:caps/>
          <w:color w:val="0086A8"/>
          <w:sz w:val="22"/>
          <w:szCs w:val="22"/>
        </w:rPr>
      </w:pPr>
    </w:p>
    <w:p w14:paraId="591880C7" w14:textId="620144AB" w:rsidR="00DC4528" w:rsidRPr="006456EA" w:rsidRDefault="00F4757C" w:rsidP="00DC4528">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 xml:space="preserve">Demanding the best </w:t>
      </w:r>
    </w:p>
    <w:p w14:paraId="697DEE8B" w14:textId="18C0E1F4" w:rsidR="00CF1BE1" w:rsidRDefault="00E52683" w:rsidP="00772470">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Both premium and average rents trended upwards in each of Germany’s top 7 cities. In terms of key parameters, GPP recorded new highs in Stuttgart, Düsseldorf and Berlin. In Stuttgart, state capital of Baden-Württemberg, the premium rent shot up by a staggering 32 % to €33.00/m²/month. Here, higher costs of construction meant that new-built offices in the city centre were commanding between €30.00 and €35.00/m²/month. </w:t>
      </w:r>
      <w:r>
        <w:rPr>
          <w:rFonts w:ascii="Source Sans Pro" w:hAnsi="Source Sans Pro"/>
          <w:i/>
          <w:sz w:val="22"/>
          <w:szCs w:val="22"/>
        </w:rPr>
        <w:t>“Companies now expect a great deal from their location: a top site, instantly recognizable architectural design, superior space that adapts to differing work modes, sustainable outfitting and operation. These criteria are most likely to be met by new-builds or buildings of comparable standard for which rents are correspondingly high,”</w:t>
      </w:r>
      <w:r>
        <w:rPr>
          <w:rFonts w:ascii="Source Sans Pro" w:hAnsi="Source Sans Pro"/>
          <w:sz w:val="22"/>
          <w:szCs w:val="22"/>
        </w:rPr>
        <w:t xml:space="preserve"> says </w:t>
      </w:r>
      <w:proofErr w:type="spellStart"/>
      <w:r>
        <w:rPr>
          <w:rFonts w:ascii="Source Sans Pro" w:hAnsi="Source Sans Pro"/>
          <w:b/>
          <w:sz w:val="22"/>
          <w:szCs w:val="22"/>
        </w:rPr>
        <w:t>Rehberg</w:t>
      </w:r>
      <w:proofErr w:type="spellEnd"/>
      <w:r w:rsidRPr="0008484D">
        <w:rPr>
          <w:rFonts w:ascii="Source Sans Pro" w:hAnsi="Source Sans Pro"/>
          <w:sz w:val="22"/>
          <w:szCs w:val="22"/>
        </w:rPr>
        <w:t>.</w:t>
      </w:r>
      <w:r>
        <w:rPr>
          <w:rFonts w:ascii="Source Sans Pro" w:hAnsi="Source Sans Pro"/>
          <w:sz w:val="22"/>
          <w:szCs w:val="22"/>
        </w:rPr>
        <w:t xml:space="preserve"> In the short to medium term, the rents for existing properties which do not meet these demands are expected to stagnate or even decrease. By contrast, existing properties with a superior fit-out will be able to command appreciable price increases and stay in business.</w:t>
      </w:r>
    </w:p>
    <w:p w14:paraId="2A8CC157" w14:textId="77777777" w:rsidR="00CF1BE1" w:rsidRDefault="00CF1BE1" w:rsidP="00772470">
      <w:pPr>
        <w:pStyle w:val="EinfAbs"/>
        <w:tabs>
          <w:tab w:val="left" w:pos="200"/>
        </w:tabs>
        <w:snapToGrid w:val="0"/>
        <w:spacing w:line="280" w:lineRule="exact"/>
        <w:jc w:val="both"/>
        <w:rPr>
          <w:rFonts w:ascii="Source Sans Pro" w:hAnsi="Source Sans Pro" w:cs="Source Sans Pro"/>
          <w:sz w:val="22"/>
          <w:szCs w:val="22"/>
        </w:rPr>
      </w:pPr>
    </w:p>
    <w:p w14:paraId="0A69EE67" w14:textId="5CA5762F" w:rsidR="00BA3A43" w:rsidRPr="006456EA" w:rsidRDefault="000C5469" w:rsidP="00BA3A43">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 xml:space="preserve">More space standing empty in sub-markets </w:t>
      </w:r>
    </w:p>
    <w:p w14:paraId="04646EBD" w14:textId="147B60FC" w:rsidR="00BA3A43" w:rsidRDefault="00F97C20" w:rsidP="00BA3A43">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Of the total 94.53m </w:t>
      </w:r>
      <w:r w:rsidR="00DF6423">
        <w:rPr>
          <w:rFonts w:ascii="Source Sans Pro" w:hAnsi="Source Sans Pro"/>
          <w:sz w:val="22"/>
          <w:szCs w:val="22"/>
        </w:rPr>
        <w:t>m²</w:t>
      </w:r>
      <w:r>
        <w:rPr>
          <w:rFonts w:ascii="Source Sans Pro" w:hAnsi="Source Sans Pro"/>
          <w:sz w:val="22"/>
          <w:szCs w:val="22"/>
        </w:rPr>
        <w:t xml:space="preserve"> of office space in Hamburg, Berlin, Düsseldorf, Cologne, Frankfurt, Stuttgart and Munich, 5.1 % was available to new occupants within a short space of time (end of 2021: 4.7 %). In Frankfurt and Cologne the vacancy rate continued to decline, but in all other cities it rose. Once more the lowest vacancy rate was in Cologne at 2.8 %. In Düsseldorf the large volume of sub-let space (72,000 m²) was the main reason for the highest vacancy rate of any top 7 city at 8.0 %, followed by Frankfurt at 7.8 %.</w:t>
      </w:r>
      <w:r>
        <w:rPr>
          <w:rFonts w:ascii="Source Sans Pro" w:hAnsi="Source Sans Pro"/>
          <w:color w:val="auto"/>
          <w:sz w:val="22"/>
          <w:szCs w:val="22"/>
        </w:rPr>
        <w:t xml:space="preserve"> The volume of available space grew most in Stuttgart, with +36 %, and Berlin, with +35 %. </w:t>
      </w:r>
      <w:r>
        <w:rPr>
          <w:rFonts w:ascii="Source Sans Pro" w:hAnsi="Source Sans Pro"/>
          <w:i/>
          <w:sz w:val="22"/>
          <w:szCs w:val="22"/>
        </w:rPr>
        <w:t>“Large demand for space in top locations reduces take-up of space in the sub-markets on the periphery, where the amount of space standing empty has already increased considerably and is likely to climb still higher in 2023,”</w:t>
      </w:r>
      <w:r>
        <w:rPr>
          <w:rFonts w:ascii="Source Sans Pro" w:hAnsi="Source Sans Pro"/>
          <w:sz w:val="22"/>
          <w:szCs w:val="22"/>
        </w:rPr>
        <w:t xml:space="preserve"> remarks </w:t>
      </w:r>
      <w:proofErr w:type="spellStart"/>
      <w:r>
        <w:rPr>
          <w:rFonts w:ascii="Source Sans Pro" w:hAnsi="Source Sans Pro"/>
          <w:b/>
          <w:sz w:val="22"/>
          <w:szCs w:val="22"/>
        </w:rPr>
        <w:t>Rehberg</w:t>
      </w:r>
      <w:proofErr w:type="spellEnd"/>
      <w:r w:rsidRPr="0008484D">
        <w:rPr>
          <w:rFonts w:ascii="Source Sans Pro" w:hAnsi="Source Sans Pro"/>
          <w:sz w:val="22"/>
          <w:szCs w:val="22"/>
        </w:rPr>
        <w:t>.</w:t>
      </w:r>
      <w:r>
        <w:rPr>
          <w:rFonts w:ascii="Source Sans Pro" w:hAnsi="Source Sans Pro"/>
          <w:sz w:val="22"/>
          <w:szCs w:val="22"/>
        </w:rPr>
        <w:t xml:space="preserve"> </w:t>
      </w:r>
      <w:r>
        <w:rPr>
          <w:rFonts w:ascii="Source Sans Pro" w:hAnsi="Source Sans Pro"/>
          <w:i/>
          <w:sz w:val="22"/>
          <w:szCs w:val="22"/>
        </w:rPr>
        <w:t>“Here, owners are well-advised to develop new concepts and implement ESG-related measures, in order to make their buildings more interesting for tenants. In many parts this will probably need the cooperation of political bodies and urban development departments in order to revitalize entire non-central districts.”</w:t>
      </w:r>
    </w:p>
    <w:p w14:paraId="22B36527" w14:textId="6A9FFA33" w:rsidR="00F4757C" w:rsidRDefault="00F4757C" w:rsidP="00BA3A43">
      <w:pPr>
        <w:pStyle w:val="EinfAbs"/>
        <w:tabs>
          <w:tab w:val="left" w:pos="200"/>
        </w:tabs>
        <w:snapToGrid w:val="0"/>
        <w:spacing w:line="280" w:lineRule="exact"/>
        <w:jc w:val="both"/>
        <w:rPr>
          <w:rFonts w:ascii="Source Sans Pro" w:hAnsi="Source Sans Pro" w:cs="Source Sans Pro"/>
          <w:sz w:val="22"/>
          <w:szCs w:val="22"/>
        </w:rPr>
      </w:pPr>
    </w:p>
    <w:p w14:paraId="1386BEA5" w14:textId="03811487" w:rsidR="00F4757C" w:rsidRPr="006456EA" w:rsidRDefault="006825B4" w:rsidP="00F4757C">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Client demands promote new construction activity</w:t>
      </w:r>
    </w:p>
    <w:p w14:paraId="232F93C6" w14:textId="7FFC2A01" w:rsidR="00B0069C" w:rsidRDefault="002324D5" w:rsidP="00BA3A43">
      <w:pPr>
        <w:pStyle w:val="EinfAbs"/>
        <w:tabs>
          <w:tab w:val="left" w:pos="200"/>
        </w:tabs>
        <w:snapToGrid w:val="0"/>
        <w:spacing w:line="280" w:lineRule="exact"/>
        <w:jc w:val="both"/>
        <w:rPr>
          <w:rFonts w:ascii="Source Sans Pro" w:hAnsi="Source Sans Pro"/>
          <w:i/>
          <w:sz w:val="22"/>
          <w:szCs w:val="22"/>
        </w:rPr>
      </w:pPr>
      <w:r>
        <w:rPr>
          <w:rFonts w:ascii="Source Sans Pro" w:hAnsi="Source Sans Pro"/>
          <w:sz w:val="22"/>
          <w:szCs w:val="22"/>
        </w:rPr>
        <w:t xml:space="preserve">The changed economic environment led to the postponement of various new-build projects. This development, in conjunction with high demand for new-build offices in the top 7 cities, will preserve the level of completions in 2023 and 2024 at a mere 4,000 m² below the totals seen in 2021 and 2022. Whereas in Hamburg some 71 % of the new space scheduled for completion over the next two years is already under contract, only 26 % of space in Stuttgart and 27 % of that in Frankfurt has been spoken for. The pre-let ratio in the top 7 cities has dropped from 51 % to 45 %. </w:t>
      </w:r>
      <w:proofErr w:type="spellStart"/>
      <w:r>
        <w:rPr>
          <w:rFonts w:ascii="Source Sans Pro" w:hAnsi="Source Sans Pro"/>
          <w:b/>
          <w:sz w:val="22"/>
          <w:szCs w:val="22"/>
        </w:rPr>
        <w:t>Rehberg</w:t>
      </w:r>
      <w:proofErr w:type="spellEnd"/>
      <w:r>
        <w:rPr>
          <w:rFonts w:ascii="Source Sans Pro" w:hAnsi="Source Sans Pro"/>
          <w:sz w:val="22"/>
          <w:szCs w:val="22"/>
        </w:rPr>
        <w:t xml:space="preserve"> remarks that, </w:t>
      </w:r>
      <w:r w:rsidR="00873F7F">
        <w:rPr>
          <w:rFonts w:ascii="Source Sans Pro" w:hAnsi="Source Sans Pro"/>
          <w:sz w:val="22"/>
          <w:szCs w:val="22"/>
        </w:rPr>
        <w:t>“</w:t>
      </w:r>
      <w:r>
        <w:rPr>
          <w:rFonts w:ascii="Source Sans Pro" w:hAnsi="Source Sans Pro"/>
          <w:i/>
          <w:sz w:val="22"/>
          <w:szCs w:val="22"/>
        </w:rPr>
        <w:t>In summary, one can say that firms looking for large amounts of space were especially active in early 2022. Towards the end of 2022 large office suites were no longer in demand everywhere. Some cities will make a relatively brisk start to the new year because agreements are in the pipeline. The present situation is highly complicated and it is thus hard to make any reliable forecasts beyond the first quarter.”</w:t>
      </w:r>
    </w:p>
    <w:p w14:paraId="07E45B9B" w14:textId="77777777" w:rsidR="00B0069C" w:rsidRDefault="00B0069C">
      <w:pPr>
        <w:overflowPunct/>
        <w:autoSpaceDE/>
        <w:autoSpaceDN/>
        <w:adjustRightInd/>
        <w:textAlignment w:val="auto"/>
        <w:rPr>
          <w:rFonts w:ascii="Source Sans Pro" w:hAnsi="Source Sans Pro" w:cs="MinionPro-Regular"/>
          <w:i/>
          <w:color w:val="000000"/>
          <w:sz w:val="22"/>
          <w:szCs w:val="22"/>
        </w:rPr>
      </w:pPr>
      <w:r>
        <w:rPr>
          <w:rFonts w:ascii="Source Sans Pro" w:hAnsi="Source Sans Pro"/>
          <w:i/>
          <w:sz w:val="22"/>
          <w:szCs w:val="22"/>
        </w:rPr>
        <w:br w:type="page"/>
      </w:r>
    </w:p>
    <w:p w14:paraId="700A8FF0" w14:textId="61BDE7C5" w:rsidR="004A2D54" w:rsidRPr="004A2D54" w:rsidRDefault="00C64096" w:rsidP="004A2D54">
      <w:pPr>
        <w:jc w:val="both"/>
        <w:rPr>
          <w:rFonts w:ascii="Source Sans Pro" w:hAnsi="Source Sans Pro" w:cs="Arial"/>
          <w:sz w:val="20"/>
        </w:rPr>
      </w:pPr>
      <w:r>
        <w:rPr>
          <w:rFonts w:ascii="Source Sans Pro" w:hAnsi="Source Sans Pro"/>
          <w:b/>
          <w:sz w:val="20"/>
        </w:rPr>
        <w:lastRenderedPageBreak/>
        <w:t>Major known agreements for 20,000 m² or more | Top 7 cities | Q1-4 2022</w:t>
      </w:r>
    </w:p>
    <w:tbl>
      <w:tblPr>
        <w:tblStyle w:val="Tabellenraster"/>
        <w:tblW w:w="5000" w:type="pct"/>
        <w:tblLook w:val="04A0" w:firstRow="1" w:lastRow="0" w:firstColumn="1" w:lastColumn="0" w:noHBand="0" w:noVBand="1"/>
      </w:tblPr>
      <w:tblGrid>
        <w:gridCol w:w="605"/>
        <w:gridCol w:w="3358"/>
        <w:gridCol w:w="4112"/>
        <w:gridCol w:w="1207"/>
      </w:tblGrid>
      <w:tr w:rsidR="004A2D54" w:rsidRPr="004A2D54" w14:paraId="423F19E1"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vAlign w:val="center"/>
            <w:hideMark/>
          </w:tcPr>
          <w:p w14:paraId="6040E63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City</w:t>
            </w:r>
          </w:p>
        </w:tc>
        <w:tc>
          <w:tcPr>
            <w:tcW w:w="1809" w:type="pct"/>
            <w:tcBorders>
              <w:top w:val="single" w:sz="4" w:space="0" w:color="auto"/>
              <w:left w:val="single" w:sz="4" w:space="0" w:color="auto"/>
              <w:bottom w:val="single" w:sz="4" w:space="0" w:color="auto"/>
              <w:right w:val="single" w:sz="4" w:space="0" w:color="auto"/>
            </w:tcBorders>
            <w:vAlign w:val="center"/>
            <w:hideMark/>
          </w:tcPr>
          <w:p w14:paraId="34CBD75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Project/property</w:t>
            </w:r>
          </w:p>
        </w:tc>
        <w:tc>
          <w:tcPr>
            <w:tcW w:w="2215" w:type="pct"/>
            <w:tcBorders>
              <w:top w:val="single" w:sz="4" w:space="0" w:color="auto"/>
              <w:left w:val="single" w:sz="4" w:space="0" w:color="auto"/>
              <w:bottom w:val="single" w:sz="4" w:space="0" w:color="auto"/>
              <w:right w:val="single" w:sz="4" w:space="0" w:color="auto"/>
            </w:tcBorders>
            <w:vAlign w:val="center"/>
            <w:hideMark/>
          </w:tcPr>
          <w:p w14:paraId="0B101F63"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Tenant/owner-occupier</w:t>
            </w:r>
          </w:p>
        </w:tc>
        <w:tc>
          <w:tcPr>
            <w:tcW w:w="650" w:type="pct"/>
            <w:tcBorders>
              <w:top w:val="single" w:sz="4" w:space="0" w:color="auto"/>
              <w:left w:val="single" w:sz="4" w:space="0" w:color="auto"/>
              <w:bottom w:val="single" w:sz="4" w:space="0" w:color="auto"/>
              <w:right w:val="single" w:sz="4" w:space="0" w:color="auto"/>
            </w:tcBorders>
            <w:vAlign w:val="center"/>
            <w:hideMark/>
          </w:tcPr>
          <w:p w14:paraId="0490CE18"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 xml:space="preserve">Rental area </w:t>
            </w:r>
            <w:r>
              <w:rPr>
                <w:rFonts w:ascii="Source Sans Pro" w:hAnsi="Source Sans Pro"/>
                <w:sz w:val="16"/>
                <w:szCs w:val="16"/>
              </w:rPr>
              <w:t>(ca. m²)</w:t>
            </w:r>
          </w:p>
        </w:tc>
      </w:tr>
      <w:tr w:rsidR="00414726" w:rsidRPr="004A2D54" w14:paraId="763063CE"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34260" w14:textId="58605CAF"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STU</w:t>
            </w:r>
          </w:p>
        </w:tc>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606E8" w14:textId="2AB55E9B"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 xml:space="preserve">“Allianz Park”, </w:t>
            </w:r>
            <w:proofErr w:type="spellStart"/>
            <w:r>
              <w:rPr>
                <w:rFonts w:ascii="Source Sans Pro" w:hAnsi="Source Sans Pro"/>
                <w:bCs/>
                <w:sz w:val="16"/>
                <w:szCs w:val="16"/>
              </w:rPr>
              <w:t>Hessbrühlstrasse</w:t>
            </w:r>
            <w:proofErr w:type="spellEnd"/>
          </w:p>
        </w:tc>
        <w:tc>
          <w:tcPr>
            <w:tcW w:w="2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3EEAA" w14:textId="61778489"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Allianz</w:t>
            </w:r>
            <w:r>
              <w:rPr>
                <w:rFonts w:ascii="Source Sans Pro" w:hAnsi="Source Sans Pro"/>
                <w:b/>
                <w:bCs/>
                <w:sz w:val="16"/>
                <w:szCs w:val="16"/>
              </w:rPr>
              <w:t xml:space="preserve"> Owner-occupier</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7B751" w14:textId="23343D3E"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65,000</w:t>
            </w:r>
          </w:p>
        </w:tc>
      </w:tr>
      <w:tr w:rsidR="00524925" w:rsidRPr="004A2D54" w14:paraId="3838299D"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36D8E" w14:textId="4BFE4AC2"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E8BD2" w14:textId="32D4843C"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Site north of the city centre</w:t>
            </w:r>
          </w:p>
        </w:tc>
        <w:tc>
          <w:tcPr>
            <w:tcW w:w="2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6C9B7" w14:textId="3205A94D"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Public institution</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51D76" w14:textId="14C6B272" w:rsidR="00524925" w:rsidRDefault="007B6292" w:rsidP="00AA5925">
            <w:pPr>
              <w:widowControl w:val="0"/>
              <w:jc w:val="center"/>
              <w:rPr>
                <w:rFonts w:ascii="Source Sans Pro" w:hAnsi="Source Sans Pro" w:cs="Arial"/>
                <w:bCs/>
                <w:sz w:val="16"/>
                <w:szCs w:val="16"/>
              </w:rPr>
            </w:pPr>
            <w:r>
              <w:rPr>
                <w:rFonts w:ascii="Source Sans Pro" w:hAnsi="Source Sans Pro"/>
                <w:bCs/>
                <w:sz w:val="16"/>
                <w:szCs w:val="16"/>
              </w:rPr>
              <w:t>44,800</w:t>
            </w:r>
          </w:p>
        </w:tc>
      </w:tr>
      <w:tr w:rsidR="00524925" w:rsidRPr="004A2D54" w14:paraId="6EB27669"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DEBC1" w14:textId="687E1AAE"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BER</w:t>
            </w:r>
          </w:p>
        </w:tc>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A2BA0" w14:textId="48E966F1"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Otto-Braun-</w:t>
            </w:r>
            <w:proofErr w:type="spellStart"/>
            <w:r>
              <w:rPr>
                <w:rFonts w:ascii="Source Sans Pro" w:hAnsi="Source Sans Pro"/>
                <w:bCs/>
                <w:sz w:val="16"/>
                <w:szCs w:val="16"/>
              </w:rPr>
              <w:t>Strasse</w:t>
            </w:r>
            <w:proofErr w:type="spellEnd"/>
            <w:r>
              <w:rPr>
                <w:rFonts w:ascii="Source Sans Pro" w:hAnsi="Source Sans Pro"/>
                <w:bCs/>
                <w:sz w:val="16"/>
                <w:szCs w:val="16"/>
              </w:rPr>
              <w:t xml:space="preserve"> 70-72</w:t>
            </w:r>
          </w:p>
        </w:tc>
        <w:tc>
          <w:tcPr>
            <w:tcW w:w="2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84ACD" w14:textId="6F08007D"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 xml:space="preserve">BIM </w:t>
            </w:r>
            <w:r>
              <w:rPr>
                <w:rFonts w:ascii="Source Sans Pro" w:hAnsi="Source Sans Pro"/>
                <w:b/>
                <w:bCs/>
                <w:sz w:val="16"/>
                <w:szCs w:val="16"/>
              </w:rPr>
              <w:t>Owner-occupier</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A84B8" w14:textId="4E169F5C"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40,000</w:t>
            </w:r>
          </w:p>
        </w:tc>
      </w:tr>
      <w:tr w:rsidR="008F10AF" w:rsidRPr="004A2D54" w14:paraId="245BB3AB"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73DB3" w14:textId="1EF635A1" w:rsidR="008F10AF" w:rsidRDefault="008F10AF" w:rsidP="00AA5925">
            <w:pPr>
              <w:widowControl w:val="0"/>
              <w:jc w:val="center"/>
              <w:rPr>
                <w:rFonts w:ascii="Source Sans Pro" w:hAnsi="Source Sans Pro" w:cs="Arial"/>
                <w:bCs/>
                <w:sz w:val="16"/>
                <w:szCs w:val="16"/>
              </w:rPr>
            </w:pPr>
            <w:r>
              <w:rPr>
                <w:rFonts w:ascii="Source Sans Pro" w:hAnsi="Source Sans Pro"/>
                <w:bCs/>
                <w:sz w:val="16"/>
                <w:szCs w:val="16"/>
              </w:rPr>
              <w:t>HAM</w:t>
            </w:r>
          </w:p>
        </w:tc>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6BC3D" w14:textId="0F3447EC" w:rsidR="008F10AF" w:rsidRPr="00D675B4" w:rsidRDefault="008F10AF" w:rsidP="00FC137E">
            <w:pPr>
              <w:widowControl w:val="0"/>
              <w:jc w:val="center"/>
              <w:rPr>
                <w:rFonts w:ascii="Source Sans Pro" w:hAnsi="Source Sans Pro" w:cs="Arial"/>
                <w:bCs/>
                <w:sz w:val="16"/>
                <w:szCs w:val="16"/>
                <w:lang w:val="de-DE"/>
              </w:rPr>
            </w:pPr>
            <w:r w:rsidRPr="00D675B4">
              <w:rPr>
                <w:rFonts w:ascii="Source Sans Pro" w:hAnsi="Source Sans Pro"/>
                <w:bCs/>
                <w:sz w:val="16"/>
                <w:szCs w:val="16"/>
                <w:lang w:val="de-DE"/>
              </w:rPr>
              <w:t xml:space="preserve">“Hanse Center”, Wikingerweg 1, Normannenweg 25, 27, 29, </w:t>
            </w:r>
            <w:proofErr w:type="spellStart"/>
            <w:r w:rsidRPr="00D675B4">
              <w:rPr>
                <w:rFonts w:ascii="Source Sans Pro" w:hAnsi="Source Sans Pro"/>
                <w:bCs/>
                <w:sz w:val="16"/>
                <w:szCs w:val="16"/>
                <w:lang w:val="de-DE"/>
              </w:rPr>
              <w:t>Eiffestrasse</w:t>
            </w:r>
            <w:proofErr w:type="spellEnd"/>
            <w:r w:rsidRPr="00D675B4">
              <w:rPr>
                <w:rFonts w:ascii="Source Sans Pro" w:hAnsi="Source Sans Pro"/>
                <w:bCs/>
                <w:sz w:val="16"/>
                <w:szCs w:val="16"/>
                <w:lang w:val="de-DE"/>
              </w:rPr>
              <w:t xml:space="preserve"> 26, 28, 30</w:t>
            </w:r>
          </w:p>
        </w:tc>
        <w:tc>
          <w:tcPr>
            <w:tcW w:w="2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638C" w14:textId="2BE9D043" w:rsidR="008F10AF" w:rsidRDefault="008F10AF"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Dataport</w:t>
            </w:r>
            <w:proofErr w:type="spellEnd"/>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7E793" w14:textId="5A7466F5" w:rsidR="008F10AF" w:rsidRDefault="008F10AF" w:rsidP="00AA5925">
            <w:pPr>
              <w:widowControl w:val="0"/>
              <w:jc w:val="center"/>
              <w:rPr>
                <w:rFonts w:ascii="Source Sans Pro" w:hAnsi="Source Sans Pro" w:cs="Arial"/>
                <w:bCs/>
                <w:sz w:val="16"/>
                <w:szCs w:val="16"/>
              </w:rPr>
            </w:pPr>
            <w:r>
              <w:rPr>
                <w:rFonts w:ascii="Source Sans Pro" w:hAnsi="Source Sans Pro"/>
                <w:bCs/>
                <w:sz w:val="16"/>
                <w:szCs w:val="16"/>
              </w:rPr>
              <w:t>40,000</w:t>
            </w:r>
          </w:p>
        </w:tc>
      </w:tr>
      <w:tr w:rsidR="008F10AF" w:rsidRPr="004A2D54" w14:paraId="2E399F27"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1A889" w14:textId="2A32810D" w:rsidR="008F10AF" w:rsidRDefault="008F10AF" w:rsidP="00AA5925">
            <w:pPr>
              <w:widowControl w:val="0"/>
              <w:jc w:val="center"/>
              <w:rPr>
                <w:rFonts w:ascii="Source Sans Pro" w:hAnsi="Source Sans Pro" w:cs="Arial"/>
                <w:bCs/>
                <w:sz w:val="16"/>
                <w:szCs w:val="16"/>
              </w:rPr>
            </w:pPr>
            <w:r>
              <w:rPr>
                <w:rFonts w:ascii="Source Sans Pro" w:hAnsi="Source Sans Pro"/>
                <w:bCs/>
                <w:sz w:val="16"/>
                <w:szCs w:val="16"/>
              </w:rPr>
              <w:t>MUC</w:t>
            </w:r>
          </w:p>
        </w:tc>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B92E5" w14:textId="68361AF3" w:rsidR="008F10AF" w:rsidRPr="00D675B4" w:rsidRDefault="008F10AF" w:rsidP="00FC137E">
            <w:pPr>
              <w:widowControl w:val="0"/>
              <w:jc w:val="center"/>
              <w:rPr>
                <w:rFonts w:ascii="Source Sans Pro" w:hAnsi="Source Sans Pro" w:cs="Arial"/>
                <w:bCs/>
                <w:sz w:val="16"/>
                <w:szCs w:val="16"/>
                <w:lang w:val="de-DE"/>
              </w:rPr>
            </w:pPr>
            <w:r w:rsidRPr="00D675B4">
              <w:rPr>
                <w:rFonts w:ascii="Source Sans Pro" w:hAnsi="Source Sans Pro"/>
                <w:bCs/>
                <w:sz w:val="16"/>
                <w:szCs w:val="16"/>
                <w:lang w:val="de-DE"/>
              </w:rPr>
              <w:t>“</w:t>
            </w:r>
            <w:proofErr w:type="spellStart"/>
            <w:r w:rsidRPr="00D675B4">
              <w:rPr>
                <w:rFonts w:ascii="Source Sans Pro" w:hAnsi="Source Sans Pro"/>
                <w:bCs/>
                <w:sz w:val="16"/>
                <w:szCs w:val="16"/>
                <w:lang w:val="de-DE"/>
              </w:rPr>
              <w:t>Elementum</w:t>
            </w:r>
            <w:proofErr w:type="spellEnd"/>
            <w:r w:rsidRPr="00D675B4">
              <w:rPr>
                <w:rFonts w:ascii="Source Sans Pro" w:hAnsi="Source Sans Pro"/>
                <w:bCs/>
                <w:sz w:val="16"/>
                <w:szCs w:val="16"/>
                <w:lang w:val="de-DE"/>
              </w:rPr>
              <w:t xml:space="preserve">”, </w:t>
            </w:r>
            <w:proofErr w:type="spellStart"/>
            <w:r w:rsidRPr="00D675B4">
              <w:rPr>
                <w:rFonts w:ascii="Source Sans Pro" w:hAnsi="Source Sans Pro"/>
                <w:bCs/>
                <w:sz w:val="16"/>
                <w:szCs w:val="16"/>
                <w:lang w:val="de-DE"/>
              </w:rPr>
              <w:t>Bayerstrasse</w:t>
            </w:r>
            <w:proofErr w:type="spellEnd"/>
            <w:r w:rsidRPr="00D675B4">
              <w:rPr>
                <w:rFonts w:ascii="Source Sans Pro" w:hAnsi="Source Sans Pro"/>
                <w:bCs/>
                <w:sz w:val="16"/>
                <w:szCs w:val="16"/>
                <w:lang w:val="de-DE"/>
              </w:rPr>
              <w:t xml:space="preserve"> 49-53, Paul-Heyse-</w:t>
            </w:r>
            <w:proofErr w:type="spellStart"/>
            <w:r w:rsidRPr="00D675B4">
              <w:rPr>
                <w:rFonts w:ascii="Source Sans Pro" w:hAnsi="Source Sans Pro"/>
                <w:bCs/>
                <w:sz w:val="16"/>
                <w:szCs w:val="16"/>
                <w:lang w:val="de-DE"/>
              </w:rPr>
              <w:t>Strasse</w:t>
            </w:r>
            <w:proofErr w:type="spellEnd"/>
            <w:r w:rsidRPr="00D675B4">
              <w:rPr>
                <w:rFonts w:ascii="Source Sans Pro" w:hAnsi="Source Sans Pro"/>
                <w:bCs/>
                <w:sz w:val="16"/>
                <w:szCs w:val="16"/>
                <w:lang w:val="de-DE"/>
              </w:rPr>
              <w:t xml:space="preserve"> 7</w:t>
            </w:r>
          </w:p>
        </w:tc>
        <w:tc>
          <w:tcPr>
            <w:tcW w:w="2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F303C" w14:textId="27ECE56D" w:rsidR="008F10AF" w:rsidRDefault="008F10AF"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Personio</w:t>
            </w:r>
            <w:proofErr w:type="spellEnd"/>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A4DDA" w14:textId="4BD366A9" w:rsidR="008F10AF" w:rsidRDefault="008F10AF" w:rsidP="00AA5925">
            <w:pPr>
              <w:widowControl w:val="0"/>
              <w:jc w:val="center"/>
              <w:rPr>
                <w:rFonts w:ascii="Source Sans Pro" w:hAnsi="Source Sans Pro" w:cs="Arial"/>
                <w:bCs/>
                <w:sz w:val="16"/>
                <w:szCs w:val="16"/>
              </w:rPr>
            </w:pPr>
            <w:r>
              <w:rPr>
                <w:rFonts w:ascii="Source Sans Pro" w:hAnsi="Source Sans Pro"/>
                <w:bCs/>
                <w:sz w:val="16"/>
                <w:szCs w:val="16"/>
              </w:rPr>
              <w:t>40,000</w:t>
            </w:r>
          </w:p>
        </w:tc>
      </w:tr>
      <w:tr w:rsidR="00524925" w:rsidRPr="004A2D54" w14:paraId="41A65B93"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7F61A" w14:textId="741F7A46"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8F5F3" w14:textId="281720F7" w:rsidR="00524925" w:rsidRDefault="00524925" w:rsidP="00FC137E">
            <w:pPr>
              <w:widowControl w:val="0"/>
              <w:jc w:val="center"/>
              <w:rPr>
                <w:rFonts w:ascii="Source Sans Pro" w:hAnsi="Source Sans Pro" w:cs="Arial"/>
                <w:bCs/>
                <w:sz w:val="16"/>
                <w:szCs w:val="16"/>
              </w:rPr>
            </w:pPr>
            <w:r>
              <w:rPr>
                <w:rFonts w:ascii="Source Sans Pro" w:hAnsi="Source Sans Pro"/>
                <w:bCs/>
                <w:sz w:val="16"/>
                <w:szCs w:val="16"/>
              </w:rPr>
              <w:t>Leonhard-</w:t>
            </w:r>
            <w:proofErr w:type="spellStart"/>
            <w:r>
              <w:rPr>
                <w:rFonts w:ascii="Source Sans Pro" w:hAnsi="Source Sans Pro"/>
                <w:bCs/>
                <w:sz w:val="16"/>
                <w:szCs w:val="16"/>
              </w:rPr>
              <w:t>Tietz</w:t>
            </w:r>
            <w:proofErr w:type="spellEnd"/>
            <w:r>
              <w:rPr>
                <w:rFonts w:ascii="Source Sans Pro" w:hAnsi="Source Sans Pro"/>
                <w:bCs/>
                <w:sz w:val="16"/>
                <w:szCs w:val="16"/>
              </w:rPr>
              <w:t>-</w:t>
            </w:r>
            <w:proofErr w:type="spellStart"/>
            <w:r>
              <w:rPr>
                <w:rFonts w:ascii="Source Sans Pro" w:hAnsi="Source Sans Pro"/>
                <w:bCs/>
                <w:sz w:val="16"/>
                <w:szCs w:val="16"/>
              </w:rPr>
              <w:t>Strasse</w:t>
            </w:r>
            <w:proofErr w:type="spellEnd"/>
            <w:r>
              <w:rPr>
                <w:rFonts w:ascii="Source Sans Pro" w:hAnsi="Source Sans Pro"/>
                <w:bCs/>
                <w:sz w:val="16"/>
                <w:szCs w:val="16"/>
              </w:rPr>
              <w:t xml:space="preserve"> 1</w:t>
            </w:r>
          </w:p>
        </w:tc>
        <w:tc>
          <w:tcPr>
            <w:tcW w:w="2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02F16" w14:textId="0A3DED14"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Cologne municipality</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B4798" w14:textId="28E51D8C"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38,800</w:t>
            </w:r>
          </w:p>
        </w:tc>
      </w:tr>
      <w:tr w:rsidR="00524925" w:rsidRPr="004A2D54" w14:paraId="63E4AB28"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D6FB5" w14:textId="08FB559A"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HAM</w:t>
            </w:r>
          </w:p>
        </w:tc>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346E6" w14:textId="6D6BA1D1"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w:t>
            </w:r>
            <w:proofErr w:type="spellStart"/>
            <w:r>
              <w:rPr>
                <w:rFonts w:ascii="Source Sans Pro" w:hAnsi="Source Sans Pro"/>
                <w:bCs/>
                <w:sz w:val="16"/>
                <w:szCs w:val="16"/>
              </w:rPr>
              <w:t>Deutschlandhaus</w:t>
            </w:r>
            <w:proofErr w:type="spellEnd"/>
            <w:r>
              <w:rPr>
                <w:rFonts w:ascii="Source Sans Pro" w:hAnsi="Source Sans Pro"/>
                <w:bCs/>
                <w:sz w:val="16"/>
                <w:szCs w:val="16"/>
              </w:rPr>
              <w:t xml:space="preserve">”, </w:t>
            </w:r>
            <w:proofErr w:type="spellStart"/>
            <w:r>
              <w:rPr>
                <w:rFonts w:ascii="Source Sans Pro" w:hAnsi="Source Sans Pro"/>
                <w:bCs/>
                <w:sz w:val="16"/>
                <w:szCs w:val="16"/>
              </w:rPr>
              <w:t>Dammtorstrasse</w:t>
            </w:r>
            <w:proofErr w:type="spellEnd"/>
            <w:r>
              <w:rPr>
                <w:rFonts w:ascii="Source Sans Pro" w:hAnsi="Source Sans Pro"/>
                <w:bCs/>
                <w:sz w:val="16"/>
                <w:szCs w:val="16"/>
              </w:rPr>
              <w:t xml:space="preserve"> 1</w:t>
            </w:r>
          </w:p>
        </w:tc>
        <w:tc>
          <w:tcPr>
            <w:tcW w:w="2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3BEB9" w14:textId="7083ABC4"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 xml:space="preserve">Hamburger </w:t>
            </w:r>
            <w:proofErr w:type="spellStart"/>
            <w:r>
              <w:rPr>
                <w:rFonts w:ascii="Source Sans Pro" w:hAnsi="Source Sans Pro"/>
                <w:bCs/>
                <w:sz w:val="16"/>
                <w:szCs w:val="16"/>
              </w:rPr>
              <w:t>Sparkasse</w:t>
            </w:r>
            <w:proofErr w:type="spellEnd"/>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87888" w14:textId="21D5C182" w:rsidR="00524925" w:rsidRDefault="00524925" w:rsidP="00AA5925">
            <w:pPr>
              <w:widowControl w:val="0"/>
              <w:jc w:val="center"/>
              <w:rPr>
                <w:rFonts w:ascii="Source Sans Pro" w:hAnsi="Source Sans Pro" w:cs="Arial"/>
                <w:bCs/>
                <w:sz w:val="16"/>
                <w:szCs w:val="16"/>
              </w:rPr>
            </w:pPr>
            <w:r>
              <w:rPr>
                <w:rFonts w:ascii="Source Sans Pro" w:hAnsi="Source Sans Pro"/>
                <w:bCs/>
                <w:sz w:val="16"/>
                <w:szCs w:val="16"/>
              </w:rPr>
              <w:t>30,800</w:t>
            </w:r>
          </w:p>
        </w:tc>
      </w:tr>
      <w:tr w:rsidR="008F10AF" w:rsidRPr="004A2D54" w14:paraId="68C12E02"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CFC26" w14:textId="0F60E19F" w:rsidR="008F10AF" w:rsidRDefault="008F10AF" w:rsidP="00AA5925">
            <w:pPr>
              <w:widowControl w:val="0"/>
              <w:jc w:val="center"/>
              <w:rPr>
                <w:rFonts w:ascii="Source Sans Pro" w:hAnsi="Source Sans Pro" w:cs="Arial"/>
                <w:bCs/>
                <w:sz w:val="16"/>
                <w:szCs w:val="16"/>
              </w:rPr>
            </w:pPr>
            <w:r>
              <w:rPr>
                <w:rFonts w:ascii="Source Sans Pro" w:hAnsi="Source Sans Pro"/>
                <w:bCs/>
                <w:sz w:val="16"/>
                <w:szCs w:val="16"/>
              </w:rPr>
              <w:t>FFM</w:t>
            </w:r>
          </w:p>
        </w:tc>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2413A" w14:textId="7267FA8D" w:rsidR="008F10AF" w:rsidRDefault="008F10AF" w:rsidP="00AA5925">
            <w:pPr>
              <w:widowControl w:val="0"/>
              <w:jc w:val="center"/>
              <w:rPr>
                <w:rFonts w:ascii="Source Sans Pro" w:hAnsi="Source Sans Pro" w:cs="Arial"/>
                <w:bCs/>
                <w:sz w:val="16"/>
                <w:szCs w:val="16"/>
              </w:rPr>
            </w:pPr>
            <w:r>
              <w:rPr>
                <w:rFonts w:ascii="Source Sans Pro" w:hAnsi="Source Sans Pro"/>
                <w:bCs/>
                <w:sz w:val="16"/>
                <w:szCs w:val="16"/>
              </w:rPr>
              <w:t xml:space="preserve">Ludwig-Erhard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7, </w:t>
            </w:r>
            <w:proofErr w:type="spellStart"/>
            <w:r>
              <w:rPr>
                <w:rFonts w:ascii="Source Sans Pro" w:hAnsi="Source Sans Pro"/>
                <w:bCs/>
                <w:sz w:val="16"/>
                <w:szCs w:val="16"/>
              </w:rPr>
              <w:t>Eschborn</w:t>
            </w:r>
            <w:proofErr w:type="spellEnd"/>
          </w:p>
        </w:tc>
        <w:tc>
          <w:tcPr>
            <w:tcW w:w="2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3EFD" w14:textId="0F7055AF" w:rsidR="008F10AF" w:rsidRPr="00D675B4" w:rsidRDefault="008F10AF" w:rsidP="00AA5925">
            <w:pPr>
              <w:widowControl w:val="0"/>
              <w:jc w:val="center"/>
              <w:rPr>
                <w:rFonts w:ascii="Source Sans Pro" w:hAnsi="Source Sans Pro" w:cs="Arial"/>
                <w:bCs/>
                <w:sz w:val="16"/>
                <w:szCs w:val="16"/>
                <w:lang w:val="de-DE"/>
              </w:rPr>
            </w:pPr>
            <w:r w:rsidRPr="00D675B4">
              <w:rPr>
                <w:rFonts w:ascii="Source Sans Pro" w:hAnsi="Source Sans Pro"/>
                <w:bCs/>
                <w:sz w:val="16"/>
                <w:szCs w:val="16"/>
                <w:lang w:val="de-DE"/>
              </w:rPr>
              <w:t xml:space="preserve">Deutsche Gesellschaft für Internationale Zusammenarbeit, </w:t>
            </w:r>
            <w:proofErr w:type="spellStart"/>
            <w:r w:rsidRPr="00D675B4">
              <w:rPr>
                <w:rFonts w:ascii="Source Sans Pro" w:hAnsi="Source Sans Pro"/>
                <w:bCs/>
                <w:sz w:val="16"/>
                <w:szCs w:val="16"/>
                <w:lang w:val="de-DE"/>
              </w:rPr>
              <w:t>giz</w:t>
            </w:r>
            <w:proofErr w:type="spellEnd"/>
            <w:r w:rsidRPr="00D675B4">
              <w:rPr>
                <w:rFonts w:ascii="Source Sans Pro" w:hAnsi="Source Sans Pro"/>
                <w:bCs/>
                <w:sz w:val="16"/>
                <w:szCs w:val="16"/>
                <w:lang w:val="de-DE"/>
              </w:rPr>
              <w:t xml:space="preserve"> (Fed. int. </w:t>
            </w:r>
            <w:proofErr w:type="spellStart"/>
            <w:r w:rsidRPr="00D675B4">
              <w:rPr>
                <w:rFonts w:ascii="Source Sans Pro" w:hAnsi="Source Sans Pro"/>
                <w:bCs/>
                <w:sz w:val="16"/>
                <w:szCs w:val="16"/>
                <w:lang w:val="de-DE"/>
              </w:rPr>
              <w:t>aid</w:t>
            </w:r>
            <w:proofErr w:type="spellEnd"/>
            <w:r w:rsidRPr="00D675B4">
              <w:rPr>
                <w:rFonts w:ascii="Source Sans Pro" w:hAnsi="Source Sans Pro"/>
                <w:bCs/>
                <w:sz w:val="16"/>
                <w:szCs w:val="16"/>
                <w:lang w:val="de-DE"/>
              </w:rPr>
              <w:t xml:space="preserve"> org.)</w:t>
            </w:r>
            <w:r w:rsidR="00B0069C">
              <w:rPr>
                <w:rFonts w:ascii="Source Sans Pro" w:hAnsi="Source Sans Pro"/>
                <w:b/>
                <w:bCs/>
                <w:sz w:val="16"/>
                <w:szCs w:val="16"/>
                <w:lang w:val="de-DE"/>
              </w:rPr>
              <w:t xml:space="preserve"> </w:t>
            </w:r>
            <w:proofErr w:type="spellStart"/>
            <w:r w:rsidR="00B0069C">
              <w:rPr>
                <w:rFonts w:ascii="Source Sans Pro" w:hAnsi="Source Sans Pro"/>
                <w:b/>
                <w:bCs/>
                <w:sz w:val="16"/>
                <w:szCs w:val="16"/>
                <w:lang w:val="de-DE"/>
              </w:rPr>
              <w:t>O</w:t>
            </w:r>
            <w:r w:rsidRPr="00D675B4">
              <w:rPr>
                <w:rFonts w:ascii="Source Sans Pro" w:hAnsi="Source Sans Pro"/>
                <w:b/>
                <w:bCs/>
                <w:sz w:val="16"/>
                <w:szCs w:val="16"/>
                <w:lang w:val="de-DE"/>
              </w:rPr>
              <w:t>wner</w:t>
            </w:r>
            <w:proofErr w:type="spellEnd"/>
            <w:r w:rsidRPr="00D675B4">
              <w:rPr>
                <w:rFonts w:ascii="Source Sans Pro" w:hAnsi="Source Sans Pro"/>
                <w:b/>
                <w:bCs/>
                <w:sz w:val="16"/>
                <w:szCs w:val="16"/>
                <w:lang w:val="de-DE"/>
              </w:rPr>
              <w:t xml:space="preserve"> </w:t>
            </w:r>
            <w:proofErr w:type="spellStart"/>
            <w:r w:rsidRPr="00D675B4">
              <w:rPr>
                <w:rFonts w:ascii="Source Sans Pro" w:hAnsi="Source Sans Pro"/>
                <w:b/>
                <w:bCs/>
                <w:sz w:val="16"/>
                <w:szCs w:val="16"/>
                <w:lang w:val="de-DE"/>
              </w:rPr>
              <w:t>occupier</w:t>
            </w:r>
            <w:proofErr w:type="spellEnd"/>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63F8E" w14:textId="72ECB377" w:rsidR="008F10AF" w:rsidRDefault="008F10AF" w:rsidP="00AA5925">
            <w:pPr>
              <w:widowControl w:val="0"/>
              <w:jc w:val="center"/>
              <w:rPr>
                <w:rFonts w:ascii="Source Sans Pro" w:hAnsi="Source Sans Pro" w:cs="Arial"/>
                <w:bCs/>
                <w:sz w:val="16"/>
                <w:szCs w:val="16"/>
              </w:rPr>
            </w:pPr>
            <w:r>
              <w:rPr>
                <w:rFonts w:ascii="Source Sans Pro" w:hAnsi="Source Sans Pro"/>
                <w:bCs/>
                <w:sz w:val="16"/>
                <w:szCs w:val="16"/>
              </w:rPr>
              <w:t>28,000</w:t>
            </w:r>
          </w:p>
        </w:tc>
      </w:tr>
      <w:tr w:rsidR="008F10AF" w:rsidRPr="004A2D54" w14:paraId="77D123F3"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AB696" w14:textId="6B589EE0" w:rsidR="008F10AF" w:rsidRDefault="008F10AF" w:rsidP="00AA5925">
            <w:pPr>
              <w:widowControl w:val="0"/>
              <w:jc w:val="center"/>
              <w:rPr>
                <w:rFonts w:ascii="Source Sans Pro" w:hAnsi="Source Sans Pro" w:cs="Arial"/>
                <w:bCs/>
                <w:sz w:val="16"/>
                <w:szCs w:val="16"/>
              </w:rPr>
            </w:pPr>
            <w:r>
              <w:rPr>
                <w:rFonts w:ascii="Source Sans Pro" w:hAnsi="Source Sans Pro"/>
                <w:bCs/>
                <w:sz w:val="16"/>
                <w:szCs w:val="16"/>
              </w:rPr>
              <w:t>BER</w:t>
            </w:r>
          </w:p>
        </w:tc>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B8810" w14:textId="5E848F35" w:rsidR="008F10AF" w:rsidRDefault="008F10AF" w:rsidP="00AA5925">
            <w:pPr>
              <w:widowControl w:val="0"/>
              <w:jc w:val="center"/>
              <w:rPr>
                <w:rFonts w:ascii="Source Sans Pro" w:hAnsi="Source Sans Pro" w:cs="Arial"/>
                <w:bCs/>
                <w:sz w:val="16"/>
                <w:szCs w:val="16"/>
              </w:rPr>
            </w:pPr>
            <w:r>
              <w:rPr>
                <w:rFonts w:ascii="Source Sans Pro" w:hAnsi="Source Sans Pro"/>
                <w:bCs/>
                <w:sz w:val="16"/>
                <w:szCs w:val="16"/>
              </w:rPr>
              <w:t xml:space="preserve">“QH Core” / “QH Spring”, </w:t>
            </w:r>
            <w:proofErr w:type="spellStart"/>
            <w:r>
              <w:rPr>
                <w:rFonts w:ascii="Source Sans Pro" w:hAnsi="Source Sans Pro"/>
                <w:bCs/>
                <w:sz w:val="16"/>
                <w:szCs w:val="16"/>
              </w:rPr>
              <w:t>Heidestrasse</w:t>
            </w:r>
            <w:proofErr w:type="spellEnd"/>
            <w:r>
              <w:rPr>
                <w:rFonts w:ascii="Source Sans Pro" w:hAnsi="Source Sans Pro"/>
                <w:bCs/>
                <w:sz w:val="16"/>
                <w:szCs w:val="16"/>
              </w:rPr>
              <w:t xml:space="preserve"> 13</w:t>
            </w:r>
          </w:p>
        </w:tc>
        <w:tc>
          <w:tcPr>
            <w:tcW w:w="2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F9320" w14:textId="1186B690" w:rsidR="008F10AF" w:rsidRDefault="008F10AF" w:rsidP="00AA5925">
            <w:pPr>
              <w:widowControl w:val="0"/>
              <w:jc w:val="center"/>
              <w:rPr>
                <w:rFonts w:ascii="Source Sans Pro" w:hAnsi="Source Sans Pro" w:cs="Arial"/>
                <w:bCs/>
                <w:sz w:val="16"/>
                <w:szCs w:val="16"/>
              </w:rPr>
            </w:pPr>
            <w:r>
              <w:rPr>
                <w:rFonts w:ascii="Source Sans Pro" w:hAnsi="Source Sans Pro"/>
                <w:bCs/>
                <w:sz w:val="16"/>
                <w:szCs w:val="16"/>
              </w:rPr>
              <w:t>Volkswagen Software</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BE6C6" w14:textId="6ABBF1CE" w:rsidR="008F10AF" w:rsidRDefault="008F10AF" w:rsidP="00AA5925">
            <w:pPr>
              <w:widowControl w:val="0"/>
              <w:jc w:val="center"/>
              <w:rPr>
                <w:rFonts w:ascii="Source Sans Pro" w:hAnsi="Source Sans Pro" w:cs="Arial"/>
                <w:bCs/>
                <w:sz w:val="16"/>
                <w:szCs w:val="16"/>
              </w:rPr>
            </w:pPr>
            <w:r>
              <w:rPr>
                <w:rFonts w:ascii="Source Sans Pro" w:hAnsi="Source Sans Pro"/>
                <w:bCs/>
                <w:sz w:val="16"/>
                <w:szCs w:val="16"/>
              </w:rPr>
              <w:t>23,000</w:t>
            </w:r>
          </w:p>
        </w:tc>
      </w:tr>
      <w:tr w:rsidR="00414726" w:rsidRPr="004A2D54" w14:paraId="37A67636"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29EFB" w14:textId="769FC16A"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STU</w:t>
            </w:r>
          </w:p>
        </w:tc>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9D4B6" w14:textId="4DEB8AEE"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 xml:space="preserve">“W11”, </w:t>
            </w:r>
            <w:proofErr w:type="spellStart"/>
            <w:r>
              <w:rPr>
                <w:rFonts w:ascii="Source Sans Pro" w:hAnsi="Source Sans Pro"/>
                <w:bCs/>
                <w:sz w:val="16"/>
                <w:szCs w:val="16"/>
              </w:rPr>
              <w:t>Weissacher</w:t>
            </w:r>
            <w:proofErr w:type="spellEnd"/>
            <w:r>
              <w:rPr>
                <w:rFonts w:ascii="Source Sans Pro" w:hAnsi="Source Sans Pro"/>
                <w:bCs/>
                <w:sz w:val="16"/>
                <w:szCs w:val="16"/>
              </w:rPr>
              <w:t xml:space="preserve">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11</w:t>
            </w:r>
          </w:p>
        </w:tc>
        <w:tc>
          <w:tcPr>
            <w:tcW w:w="2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1EF34" w14:textId="1CDB8287"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Komm.ONE</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29AB9" w14:textId="4F04633C" w:rsidR="00414726" w:rsidRDefault="00414726" w:rsidP="00AA5925">
            <w:pPr>
              <w:widowControl w:val="0"/>
              <w:jc w:val="center"/>
              <w:rPr>
                <w:rFonts w:ascii="Source Sans Pro" w:hAnsi="Source Sans Pro" w:cs="Arial"/>
                <w:bCs/>
                <w:sz w:val="16"/>
                <w:szCs w:val="16"/>
              </w:rPr>
            </w:pPr>
            <w:r>
              <w:rPr>
                <w:rFonts w:ascii="Source Sans Pro" w:hAnsi="Source Sans Pro"/>
                <w:bCs/>
                <w:sz w:val="16"/>
                <w:szCs w:val="16"/>
              </w:rPr>
              <w:t>21,500</w:t>
            </w:r>
          </w:p>
        </w:tc>
      </w:tr>
      <w:tr w:rsidR="004A2D54" w:rsidRPr="004A2D54" w14:paraId="1A9052AE"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09832" w14:textId="17697BD9"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STU</w:t>
            </w:r>
          </w:p>
        </w:tc>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B6645" w14:textId="286DBE18" w:rsidR="004A2D54" w:rsidRPr="00B72F21" w:rsidRDefault="00F076C1" w:rsidP="00AA5925">
            <w:pPr>
              <w:widowControl w:val="0"/>
              <w:jc w:val="center"/>
              <w:rPr>
                <w:rFonts w:ascii="Source Sans Pro" w:hAnsi="Source Sans Pro" w:cs="Arial"/>
                <w:bCs/>
                <w:sz w:val="16"/>
                <w:szCs w:val="16"/>
              </w:rPr>
            </w:pPr>
            <w:r>
              <w:rPr>
                <w:rFonts w:ascii="Source Sans Pro" w:hAnsi="Source Sans Pro"/>
                <w:bCs/>
                <w:sz w:val="16"/>
                <w:szCs w:val="16"/>
              </w:rPr>
              <w:t xml:space="preserve">“Atlanta Business </w:t>
            </w:r>
            <w:proofErr w:type="spellStart"/>
            <w:r>
              <w:rPr>
                <w:rFonts w:ascii="Source Sans Pro" w:hAnsi="Source Sans Pro"/>
                <w:bCs/>
                <w:sz w:val="16"/>
                <w:szCs w:val="16"/>
              </w:rPr>
              <w:t>Center</w:t>
            </w:r>
            <w:proofErr w:type="spellEnd"/>
            <w:r>
              <w:rPr>
                <w:rFonts w:ascii="Source Sans Pro" w:hAnsi="Source Sans Pro"/>
                <w:bCs/>
                <w:sz w:val="16"/>
                <w:szCs w:val="16"/>
              </w:rPr>
              <w:t xml:space="preserve">”, </w:t>
            </w:r>
            <w:proofErr w:type="spellStart"/>
            <w:r>
              <w:rPr>
                <w:rFonts w:ascii="Source Sans Pro" w:hAnsi="Source Sans Pro"/>
                <w:bCs/>
                <w:sz w:val="16"/>
                <w:szCs w:val="16"/>
              </w:rPr>
              <w:t>Vaihinger</w:t>
            </w:r>
            <w:proofErr w:type="spellEnd"/>
            <w:r>
              <w:rPr>
                <w:rFonts w:ascii="Source Sans Pro" w:hAnsi="Source Sans Pro"/>
                <w:bCs/>
                <w:sz w:val="16"/>
                <w:szCs w:val="16"/>
              </w:rPr>
              <w:t xml:space="preserve">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131</w:t>
            </w:r>
          </w:p>
        </w:tc>
        <w:tc>
          <w:tcPr>
            <w:tcW w:w="2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F3013" w14:textId="64E14604"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 xml:space="preserve">Ed. </w:t>
            </w:r>
            <w:proofErr w:type="spellStart"/>
            <w:r>
              <w:rPr>
                <w:rFonts w:ascii="Source Sans Pro" w:hAnsi="Source Sans Pro"/>
                <w:bCs/>
                <w:sz w:val="16"/>
                <w:szCs w:val="16"/>
              </w:rPr>
              <w:t>Züblin</w:t>
            </w:r>
            <w:proofErr w:type="spellEnd"/>
            <w:r>
              <w:rPr>
                <w:rFonts w:ascii="Source Sans Pro" w:hAnsi="Source Sans Pro"/>
                <w:bCs/>
                <w:sz w:val="16"/>
                <w:szCs w:val="16"/>
              </w:rPr>
              <w:t xml:space="preserve"> </w:t>
            </w:r>
            <w:r w:rsidR="00B0069C">
              <w:rPr>
                <w:rFonts w:ascii="Source Sans Pro" w:hAnsi="Source Sans Pro"/>
                <w:b/>
                <w:bCs/>
                <w:sz w:val="16"/>
                <w:szCs w:val="16"/>
              </w:rPr>
              <w:t>O</w:t>
            </w:r>
            <w:r>
              <w:rPr>
                <w:rFonts w:ascii="Source Sans Pro" w:hAnsi="Source Sans Pro"/>
                <w:b/>
                <w:bCs/>
                <w:sz w:val="16"/>
                <w:szCs w:val="16"/>
              </w:rPr>
              <w:t>wner-occupier</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3F58F" w14:textId="224773A3"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21,400</w:t>
            </w:r>
          </w:p>
        </w:tc>
      </w:tr>
      <w:tr w:rsidR="001421F7" w:rsidRPr="004A2D54" w14:paraId="6D372F4A" w14:textId="77777777" w:rsidTr="00B0069C">
        <w:trPr>
          <w:trHeight w:val="227"/>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F2E5C" w14:textId="273773E5" w:rsidR="001421F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MUC</w:t>
            </w:r>
          </w:p>
        </w:tc>
        <w:tc>
          <w:tcPr>
            <w:tcW w:w="1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2469A" w14:textId="2CCB397F" w:rsidR="001421F7" w:rsidRPr="00B72F21" w:rsidRDefault="00F076C1" w:rsidP="00F076C1">
            <w:pPr>
              <w:widowControl w:val="0"/>
              <w:jc w:val="center"/>
              <w:rPr>
                <w:rFonts w:ascii="Source Sans Pro" w:hAnsi="Source Sans Pro" w:cs="Arial"/>
                <w:bCs/>
                <w:sz w:val="16"/>
                <w:szCs w:val="16"/>
              </w:rPr>
            </w:pPr>
            <w:r>
              <w:rPr>
                <w:rFonts w:ascii="Source Sans Pro" w:hAnsi="Source Sans Pro"/>
                <w:bCs/>
                <w:sz w:val="16"/>
                <w:szCs w:val="16"/>
              </w:rPr>
              <w:t>“</w:t>
            </w:r>
            <w:proofErr w:type="spellStart"/>
            <w:r>
              <w:rPr>
                <w:rFonts w:ascii="Source Sans Pro" w:hAnsi="Source Sans Pro"/>
                <w:bCs/>
                <w:sz w:val="16"/>
                <w:szCs w:val="16"/>
              </w:rPr>
              <w:t>aer</w:t>
            </w:r>
            <w:proofErr w:type="spellEnd"/>
            <w:r>
              <w:rPr>
                <w:rFonts w:ascii="Source Sans Pro" w:hAnsi="Source Sans Pro"/>
                <w:bCs/>
                <w:sz w:val="16"/>
                <w:szCs w:val="16"/>
              </w:rPr>
              <w:t>”, Fritz-</w:t>
            </w:r>
            <w:proofErr w:type="spellStart"/>
            <w:r>
              <w:rPr>
                <w:rFonts w:ascii="Source Sans Pro" w:hAnsi="Source Sans Pro"/>
                <w:bCs/>
                <w:sz w:val="16"/>
                <w:szCs w:val="16"/>
              </w:rPr>
              <w:t>Schäffer</w:t>
            </w:r>
            <w:proofErr w:type="spellEnd"/>
            <w:r>
              <w:rPr>
                <w:rFonts w:ascii="Source Sans Pro" w:hAnsi="Source Sans Pro"/>
                <w:bCs/>
                <w:sz w:val="16"/>
                <w:szCs w:val="16"/>
              </w:rPr>
              <w:t>-</w:t>
            </w:r>
            <w:proofErr w:type="spellStart"/>
            <w:r>
              <w:rPr>
                <w:rFonts w:ascii="Source Sans Pro" w:hAnsi="Source Sans Pro"/>
                <w:bCs/>
                <w:sz w:val="16"/>
                <w:szCs w:val="16"/>
              </w:rPr>
              <w:t>Strasse</w:t>
            </w:r>
            <w:proofErr w:type="spellEnd"/>
            <w:r>
              <w:rPr>
                <w:rFonts w:ascii="Source Sans Pro" w:hAnsi="Source Sans Pro"/>
                <w:bCs/>
                <w:sz w:val="16"/>
                <w:szCs w:val="16"/>
              </w:rPr>
              <w:t xml:space="preserve"> 9</w:t>
            </w:r>
          </w:p>
        </w:tc>
        <w:tc>
          <w:tcPr>
            <w:tcW w:w="2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B7137" w14:textId="4E7746CC" w:rsidR="001421F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Bosch Building Technologies</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31AC7" w14:textId="06DF20BA" w:rsidR="001421F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20,000</w:t>
            </w:r>
          </w:p>
        </w:tc>
      </w:tr>
    </w:tbl>
    <w:p w14:paraId="444FE02E" w14:textId="6024080C" w:rsidR="004A2D54" w:rsidRPr="004A2D54" w:rsidRDefault="00DE0A3B" w:rsidP="004A2D54">
      <w:pPr>
        <w:widowControl w:val="0"/>
        <w:rPr>
          <w:rFonts w:ascii="Source Sans Pro" w:hAnsi="Source Sans Pro" w:cs="Arial"/>
          <w:sz w:val="16"/>
          <w:szCs w:val="16"/>
        </w:rPr>
      </w:pPr>
      <w:r>
        <w:rPr>
          <w:rFonts w:ascii="Source Sans Pro" w:hAnsi="Source Sans Pro"/>
          <w:sz w:val="16"/>
          <w:szCs w:val="16"/>
        </w:rPr>
        <w:t>Transactions occurring in the quarter covered by this report are highlighted. Source: German Property Partners (GPP)</w:t>
      </w:r>
    </w:p>
    <w:p w14:paraId="594A9CC6" w14:textId="76A5B1E0" w:rsidR="004001E7" w:rsidRDefault="004001E7">
      <w:pPr>
        <w:overflowPunct/>
        <w:autoSpaceDE/>
        <w:autoSpaceDN/>
        <w:adjustRightInd/>
        <w:textAlignment w:val="auto"/>
        <w:rPr>
          <w:rFonts w:ascii="Source Sans Pro" w:hAnsi="Source Sans Pro" w:cs="Arial"/>
          <w:sz w:val="16"/>
          <w:szCs w:val="16"/>
        </w:rPr>
      </w:pPr>
    </w:p>
    <w:p w14:paraId="420BCDE4" w14:textId="77777777" w:rsidR="004001E7" w:rsidRDefault="004001E7">
      <w:pPr>
        <w:overflowPunct/>
        <w:autoSpaceDE/>
        <w:autoSpaceDN/>
        <w:adjustRightInd/>
        <w:textAlignment w:val="auto"/>
        <w:rPr>
          <w:rFonts w:ascii="Source Sans Pro" w:hAnsi="Source Sans Pro" w:cs="Arial"/>
          <w:sz w:val="16"/>
          <w:szCs w:val="16"/>
        </w:rPr>
      </w:pPr>
    </w:p>
    <w:p w14:paraId="1BF7891F" w14:textId="1C99EC9A" w:rsidR="004A2D54" w:rsidRPr="004A2D54" w:rsidRDefault="004A2D54" w:rsidP="004A2D54">
      <w:pPr>
        <w:rPr>
          <w:rFonts w:ascii="Source Sans Pro" w:hAnsi="Source Sans Pro" w:cs="Arial"/>
          <w:sz w:val="16"/>
          <w:szCs w:val="16"/>
        </w:rPr>
      </w:pPr>
      <w:r>
        <w:rPr>
          <w:rFonts w:ascii="Source Sans Pro" w:hAnsi="Source Sans Pro"/>
          <w:b/>
          <w:sz w:val="20"/>
        </w:rPr>
        <w:t xml:space="preserve">Top 7 cities | </w:t>
      </w:r>
      <w:r w:rsidR="00B0069C">
        <w:rPr>
          <w:rFonts w:ascii="Source Sans Pro" w:hAnsi="Source Sans Pro"/>
          <w:b/>
          <w:sz w:val="20"/>
        </w:rPr>
        <w:t>Q1-4 2022</w:t>
      </w:r>
    </w:p>
    <w:tbl>
      <w:tblPr>
        <w:tblStyle w:val="Tabellenraster"/>
        <w:tblW w:w="5000" w:type="pct"/>
        <w:tblLook w:val="04A0" w:firstRow="1" w:lastRow="0" w:firstColumn="1" w:lastColumn="0" w:noHBand="0" w:noVBand="1"/>
      </w:tblPr>
      <w:tblGrid>
        <w:gridCol w:w="2110"/>
        <w:gridCol w:w="733"/>
        <w:gridCol w:w="920"/>
        <w:gridCol w:w="920"/>
        <w:gridCol w:w="920"/>
        <w:gridCol w:w="920"/>
        <w:gridCol w:w="920"/>
        <w:gridCol w:w="920"/>
        <w:gridCol w:w="919"/>
      </w:tblGrid>
      <w:tr w:rsidR="004A2D54" w:rsidRPr="004A2D54" w14:paraId="1F169502" w14:textId="77777777" w:rsidTr="00B0069C">
        <w:trPr>
          <w:trHeight w:val="283"/>
        </w:trPr>
        <w:tc>
          <w:tcPr>
            <w:tcW w:w="1143" w:type="pct"/>
            <w:vAlign w:val="center"/>
          </w:tcPr>
          <w:p w14:paraId="0254193F" w14:textId="77777777" w:rsidR="004A2D54" w:rsidRPr="004A2D54" w:rsidRDefault="004A2D54" w:rsidP="00AA5925">
            <w:pPr>
              <w:widowControl w:val="0"/>
              <w:rPr>
                <w:rFonts w:ascii="Source Sans Pro" w:hAnsi="Source Sans Pro" w:cs="Arial"/>
                <w:b/>
                <w:sz w:val="16"/>
                <w:szCs w:val="16"/>
              </w:rPr>
            </w:pPr>
          </w:p>
        </w:tc>
        <w:tc>
          <w:tcPr>
            <w:tcW w:w="344" w:type="pct"/>
            <w:vAlign w:val="center"/>
          </w:tcPr>
          <w:p w14:paraId="6F593517"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HAM</w:t>
            </w:r>
          </w:p>
        </w:tc>
        <w:tc>
          <w:tcPr>
            <w:tcW w:w="502" w:type="pct"/>
            <w:vAlign w:val="center"/>
          </w:tcPr>
          <w:p w14:paraId="4C569DD5"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BER</w:t>
            </w:r>
          </w:p>
        </w:tc>
        <w:tc>
          <w:tcPr>
            <w:tcW w:w="502" w:type="pct"/>
            <w:vAlign w:val="center"/>
          </w:tcPr>
          <w:p w14:paraId="31F1C32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DUS</w:t>
            </w:r>
          </w:p>
        </w:tc>
        <w:tc>
          <w:tcPr>
            <w:tcW w:w="502" w:type="pct"/>
            <w:vAlign w:val="center"/>
          </w:tcPr>
          <w:p w14:paraId="22D79F28"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CGN</w:t>
            </w:r>
          </w:p>
        </w:tc>
        <w:tc>
          <w:tcPr>
            <w:tcW w:w="502" w:type="pct"/>
            <w:vAlign w:val="center"/>
          </w:tcPr>
          <w:p w14:paraId="45019706"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FFM</w:t>
            </w:r>
          </w:p>
        </w:tc>
        <w:tc>
          <w:tcPr>
            <w:tcW w:w="502" w:type="pct"/>
            <w:vAlign w:val="center"/>
          </w:tcPr>
          <w:p w14:paraId="690BA4AF"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STU</w:t>
            </w:r>
          </w:p>
        </w:tc>
        <w:tc>
          <w:tcPr>
            <w:tcW w:w="502" w:type="pct"/>
            <w:vAlign w:val="center"/>
          </w:tcPr>
          <w:p w14:paraId="7EB9AFCD"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MUC</w:t>
            </w:r>
          </w:p>
        </w:tc>
        <w:tc>
          <w:tcPr>
            <w:tcW w:w="501" w:type="pct"/>
            <w:vAlign w:val="center"/>
          </w:tcPr>
          <w:p w14:paraId="349A50B2"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Top 7</w:t>
            </w:r>
          </w:p>
        </w:tc>
      </w:tr>
      <w:tr w:rsidR="004A2D54" w:rsidRPr="004A2D54" w14:paraId="0A45CD03" w14:textId="77777777" w:rsidTr="00B0069C">
        <w:trPr>
          <w:trHeight w:val="283"/>
        </w:trPr>
        <w:tc>
          <w:tcPr>
            <w:tcW w:w="1143" w:type="pct"/>
            <w:vAlign w:val="center"/>
          </w:tcPr>
          <w:p w14:paraId="405F271F"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Take-up of space</w:t>
            </w:r>
          </w:p>
          <w:p w14:paraId="1D6CAF59"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w:t>
            </w:r>
          </w:p>
        </w:tc>
        <w:tc>
          <w:tcPr>
            <w:tcW w:w="344" w:type="pct"/>
            <w:vAlign w:val="center"/>
          </w:tcPr>
          <w:p w14:paraId="6D8FB010" w14:textId="418026F4" w:rsidR="004A2D54" w:rsidRPr="004A2D54" w:rsidRDefault="00B66510" w:rsidP="00AA5925">
            <w:pPr>
              <w:jc w:val="center"/>
              <w:rPr>
                <w:rFonts w:ascii="Source Sans Pro" w:hAnsi="Source Sans Pro" w:cs="Arial"/>
                <w:sz w:val="16"/>
                <w:szCs w:val="16"/>
              </w:rPr>
            </w:pPr>
            <w:r>
              <w:rPr>
                <w:rFonts w:ascii="Source Sans Pro" w:hAnsi="Source Sans Pro"/>
                <w:sz w:val="16"/>
                <w:szCs w:val="16"/>
              </w:rPr>
              <w:t>560,000</w:t>
            </w:r>
          </w:p>
        </w:tc>
        <w:tc>
          <w:tcPr>
            <w:tcW w:w="502" w:type="pct"/>
            <w:vAlign w:val="center"/>
          </w:tcPr>
          <w:p w14:paraId="3C6241A3" w14:textId="3D267B7A" w:rsidR="004A2D54" w:rsidRPr="00D1647B" w:rsidRDefault="00B66510" w:rsidP="00AA5925">
            <w:pPr>
              <w:jc w:val="center"/>
              <w:rPr>
                <w:rFonts w:ascii="Source Sans Pro" w:hAnsi="Source Sans Pro" w:cs="Arial"/>
                <w:sz w:val="16"/>
                <w:szCs w:val="16"/>
                <w:u w:val="single"/>
              </w:rPr>
            </w:pPr>
            <w:r>
              <w:rPr>
                <w:rFonts w:ascii="Source Sans Pro" w:hAnsi="Source Sans Pro"/>
                <w:sz w:val="16"/>
                <w:szCs w:val="16"/>
                <w:u w:val="single"/>
              </w:rPr>
              <w:t>820,000</w:t>
            </w:r>
          </w:p>
        </w:tc>
        <w:tc>
          <w:tcPr>
            <w:tcW w:w="502" w:type="pct"/>
            <w:vAlign w:val="center"/>
          </w:tcPr>
          <w:p w14:paraId="207CCC61" w14:textId="1E8EFD1F" w:rsidR="004A2D54" w:rsidRPr="004A2D54" w:rsidRDefault="00B66510" w:rsidP="00AA5925">
            <w:pPr>
              <w:jc w:val="center"/>
              <w:rPr>
                <w:rFonts w:ascii="Source Sans Pro" w:hAnsi="Source Sans Pro" w:cs="Arial"/>
                <w:sz w:val="16"/>
                <w:szCs w:val="16"/>
              </w:rPr>
            </w:pPr>
            <w:r>
              <w:rPr>
                <w:rFonts w:ascii="Source Sans Pro" w:hAnsi="Source Sans Pro"/>
                <w:sz w:val="16"/>
                <w:szCs w:val="16"/>
              </w:rPr>
              <w:t>279,200</w:t>
            </w:r>
          </w:p>
        </w:tc>
        <w:tc>
          <w:tcPr>
            <w:tcW w:w="502" w:type="pct"/>
            <w:vAlign w:val="center"/>
          </w:tcPr>
          <w:p w14:paraId="6EB9679F" w14:textId="1B18C5DC" w:rsidR="004A2D54" w:rsidRPr="004A2D54" w:rsidRDefault="00B66510" w:rsidP="00AA5925">
            <w:pPr>
              <w:jc w:val="center"/>
              <w:rPr>
                <w:rFonts w:ascii="Source Sans Pro" w:hAnsi="Source Sans Pro" w:cs="Arial"/>
                <w:sz w:val="16"/>
                <w:szCs w:val="16"/>
              </w:rPr>
            </w:pPr>
            <w:r>
              <w:rPr>
                <w:rFonts w:ascii="Source Sans Pro" w:hAnsi="Source Sans Pro"/>
                <w:sz w:val="16"/>
                <w:szCs w:val="16"/>
              </w:rPr>
              <w:t>315,000</w:t>
            </w:r>
          </w:p>
        </w:tc>
        <w:tc>
          <w:tcPr>
            <w:tcW w:w="502" w:type="pct"/>
            <w:vAlign w:val="center"/>
          </w:tcPr>
          <w:p w14:paraId="59C93C6A" w14:textId="4B2B6D18" w:rsidR="004A2D54" w:rsidRPr="004A2D54" w:rsidRDefault="00B66510" w:rsidP="00D1647B">
            <w:pPr>
              <w:jc w:val="center"/>
              <w:rPr>
                <w:rFonts w:ascii="Source Sans Pro" w:hAnsi="Source Sans Pro" w:cs="Arial"/>
                <w:sz w:val="16"/>
                <w:szCs w:val="16"/>
              </w:rPr>
            </w:pPr>
            <w:r>
              <w:rPr>
                <w:rFonts w:ascii="Source Sans Pro" w:hAnsi="Source Sans Pro"/>
                <w:sz w:val="16"/>
                <w:szCs w:val="16"/>
              </w:rPr>
              <w:t>428,100</w:t>
            </w:r>
          </w:p>
        </w:tc>
        <w:tc>
          <w:tcPr>
            <w:tcW w:w="502" w:type="pct"/>
            <w:vAlign w:val="center"/>
          </w:tcPr>
          <w:p w14:paraId="181F9FE1" w14:textId="252FBF73" w:rsidR="004A2D54" w:rsidRPr="004A2D54" w:rsidRDefault="00B66510" w:rsidP="00AA5925">
            <w:pPr>
              <w:jc w:val="center"/>
              <w:rPr>
                <w:rFonts w:ascii="Source Sans Pro" w:hAnsi="Source Sans Pro" w:cs="Arial"/>
                <w:sz w:val="16"/>
                <w:szCs w:val="16"/>
              </w:rPr>
            </w:pPr>
            <w:r>
              <w:rPr>
                <w:rFonts w:ascii="Source Sans Pro" w:hAnsi="Source Sans Pro"/>
                <w:sz w:val="16"/>
                <w:szCs w:val="16"/>
              </w:rPr>
              <w:t>300,000</w:t>
            </w:r>
          </w:p>
        </w:tc>
        <w:tc>
          <w:tcPr>
            <w:tcW w:w="502" w:type="pct"/>
            <w:vAlign w:val="center"/>
          </w:tcPr>
          <w:p w14:paraId="10452766" w14:textId="713CB6BB" w:rsidR="004A2D54" w:rsidRPr="00D1647B" w:rsidRDefault="00B66510" w:rsidP="00AA5925">
            <w:pPr>
              <w:jc w:val="center"/>
              <w:rPr>
                <w:rFonts w:ascii="Source Sans Pro" w:hAnsi="Source Sans Pro" w:cs="Arial"/>
                <w:sz w:val="16"/>
                <w:szCs w:val="16"/>
              </w:rPr>
            </w:pPr>
            <w:r>
              <w:rPr>
                <w:rFonts w:ascii="Source Sans Pro" w:hAnsi="Source Sans Pro"/>
                <w:sz w:val="16"/>
                <w:szCs w:val="16"/>
              </w:rPr>
              <w:t>763,000</w:t>
            </w:r>
          </w:p>
        </w:tc>
        <w:tc>
          <w:tcPr>
            <w:tcW w:w="501" w:type="pct"/>
            <w:vAlign w:val="center"/>
          </w:tcPr>
          <w:p w14:paraId="4805316C" w14:textId="124A45A1" w:rsidR="004A2D54" w:rsidRPr="004A2D54" w:rsidRDefault="00B66510" w:rsidP="00AA5925">
            <w:pPr>
              <w:jc w:val="center"/>
              <w:rPr>
                <w:rFonts w:ascii="Source Sans Pro" w:hAnsi="Source Sans Pro" w:cs="Arial"/>
                <w:b/>
                <w:sz w:val="16"/>
                <w:szCs w:val="16"/>
              </w:rPr>
            </w:pPr>
            <w:r>
              <w:rPr>
                <w:rFonts w:ascii="Source Sans Pro" w:hAnsi="Source Sans Pro"/>
                <w:b/>
                <w:sz w:val="16"/>
                <w:szCs w:val="16"/>
              </w:rPr>
              <w:t>3,465,300</w:t>
            </w:r>
          </w:p>
        </w:tc>
      </w:tr>
      <w:tr w:rsidR="004A2D54" w:rsidRPr="004A2D54" w14:paraId="1EA0FAB5" w14:textId="77777777" w:rsidTr="00B0069C">
        <w:trPr>
          <w:trHeight w:val="283"/>
        </w:trPr>
        <w:tc>
          <w:tcPr>
            <w:tcW w:w="1143" w:type="pct"/>
            <w:vAlign w:val="center"/>
          </w:tcPr>
          <w:p w14:paraId="32D69839"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Change</w:t>
            </w:r>
          </w:p>
          <w:p w14:paraId="6D9A9C05"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 xml:space="preserve">against prior </w:t>
            </w:r>
            <w:proofErr w:type="spellStart"/>
            <w:r>
              <w:rPr>
                <w:rFonts w:ascii="Source Sans Pro" w:hAnsi="Source Sans Pro"/>
                <w:sz w:val="16"/>
                <w:szCs w:val="16"/>
              </w:rPr>
              <w:t>yr</w:t>
            </w:r>
            <w:proofErr w:type="spellEnd"/>
            <w:r>
              <w:rPr>
                <w:rFonts w:ascii="Source Sans Pro" w:hAnsi="Source Sans Pro"/>
                <w:sz w:val="16"/>
                <w:szCs w:val="16"/>
              </w:rPr>
              <w:t xml:space="preserve"> in %</w:t>
            </w:r>
          </w:p>
        </w:tc>
        <w:tc>
          <w:tcPr>
            <w:tcW w:w="344" w:type="pct"/>
            <w:vAlign w:val="center"/>
          </w:tcPr>
          <w:p w14:paraId="5F60596F" w14:textId="59A9D174" w:rsidR="004A2D54" w:rsidRPr="001E73A9" w:rsidRDefault="00B66510" w:rsidP="00AA5925">
            <w:pPr>
              <w:jc w:val="center"/>
              <w:rPr>
                <w:rFonts w:ascii="Source Sans Pro" w:hAnsi="Source Sans Pro" w:cs="Arial"/>
                <w:sz w:val="16"/>
                <w:szCs w:val="16"/>
              </w:rPr>
            </w:pPr>
            <w:r>
              <w:rPr>
                <w:rFonts w:ascii="Source Sans Pro" w:hAnsi="Source Sans Pro"/>
                <w:sz w:val="16"/>
                <w:szCs w:val="16"/>
              </w:rPr>
              <w:t>+14</w:t>
            </w:r>
          </w:p>
        </w:tc>
        <w:tc>
          <w:tcPr>
            <w:tcW w:w="502" w:type="pct"/>
            <w:vAlign w:val="center"/>
          </w:tcPr>
          <w:p w14:paraId="0E53EDA4" w14:textId="66A38FBA" w:rsidR="004A2D54" w:rsidRPr="004A2D54" w:rsidRDefault="00B66510" w:rsidP="00AA5925">
            <w:pPr>
              <w:jc w:val="center"/>
              <w:rPr>
                <w:rFonts w:ascii="Source Sans Pro" w:hAnsi="Source Sans Pro" w:cs="Arial"/>
                <w:sz w:val="16"/>
                <w:szCs w:val="16"/>
              </w:rPr>
            </w:pPr>
            <w:r>
              <w:rPr>
                <w:rFonts w:ascii="Source Sans Pro" w:hAnsi="Source Sans Pro"/>
                <w:sz w:val="16"/>
                <w:szCs w:val="16"/>
              </w:rPr>
              <w:t>+1</w:t>
            </w:r>
          </w:p>
        </w:tc>
        <w:tc>
          <w:tcPr>
            <w:tcW w:w="502" w:type="pct"/>
            <w:vAlign w:val="center"/>
          </w:tcPr>
          <w:p w14:paraId="44D058C9" w14:textId="2EEC0365" w:rsidR="004A2D54" w:rsidRPr="004A2D54" w:rsidRDefault="00B66510" w:rsidP="00AA5925">
            <w:pPr>
              <w:jc w:val="center"/>
              <w:rPr>
                <w:rFonts w:ascii="Source Sans Pro" w:hAnsi="Source Sans Pro" w:cs="Arial"/>
                <w:sz w:val="16"/>
                <w:szCs w:val="16"/>
              </w:rPr>
            </w:pPr>
            <w:r>
              <w:rPr>
                <w:rFonts w:ascii="Source Sans Pro" w:hAnsi="Source Sans Pro"/>
                <w:sz w:val="16"/>
                <w:szCs w:val="16"/>
              </w:rPr>
              <w:t>-1</w:t>
            </w:r>
          </w:p>
        </w:tc>
        <w:tc>
          <w:tcPr>
            <w:tcW w:w="502" w:type="pct"/>
            <w:vAlign w:val="center"/>
          </w:tcPr>
          <w:p w14:paraId="07EAF74E" w14:textId="5678DA5A" w:rsidR="004A2D54" w:rsidRPr="002371FE" w:rsidRDefault="00B66510" w:rsidP="00AA5925">
            <w:pPr>
              <w:jc w:val="center"/>
              <w:rPr>
                <w:rFonts w:ascii="Source Sans Pro" w:hAnsi="Source Sans Pro" w:cs="Arial"/>
                <w:sz w:val="16"/>
                <w:szCs w:val="16"/>
              </w:rPr>
            </w:pPr>
            <w:r>
              <w:rPr>
                <w:rFonts w:ascii="Source Sans Pro" w:hAnsi="Source Sans Pro"/>
                <w:sz w:val="16"/>
                <w:szCs w:val="16"/>
              </w:rPr>
              <w:t>±0</w:t>
            </w:r>
          </w:p>
        </w:tc>
        <w:tc>
          <w:tcPr>
            <w:tcW w:w="502" w:type="pct"/>
            <w:vAlign w:val="center"/>
          </w:tcPr>
          <w:p w14:paraId="5C1E2E78" w14:textId="711D68F2" w:rsidR="004A2D54" w:rsidRPr="004A2D54" w:rsidRDefault="00B66510" w:rsidP="00AA5925">
            <w:pPr>
              <w:jc w:val="center"/>
              <w:rPr>
                <w:rFonts w:ascii="Source Sans Pro" w:hAnsi="Source Sans Pro" w:cs="Arial"/>
                <w:sz w:val="16"/>
                <w:szCs w:val="16"/>
              </w:rPr>
            </w:pPr>
            <w:r>
              <w:rPr>
                <w:rFonts w:ascii="Source Sans Pro" w:hAnsi="Source Sans Pro"/>
                <w:sz w:val="16"/>
                <w:szCs w:val="16"/>
              </w:rPr>
              <w:t>-12</w:t>
            </w:r>
          </w:p>
        </w:tc>
        <w:tc>
          <w:tcPr>
            <w:tcW w:w="502" w:type="pct"/>
            <w:vAlign w:val="center"/>
          </w:tcPr>
          <w:p w14:paraId="0CE9A835" w14:textId="53FBF0B8" w:rsidR="004A2D54" w:rsidRPr="001E73A9" w:rsidRDefault="00B66510" w:rsidP="00AA5925">
            <w:pPr>
              <w:jc w:val="center"/>
              <w:rPr>
                <w:rFonts w:ascii="Source Sans Pro" w:hAnsi="Source Sans Pro" w:cs="Arial"/>
                <w:sz w:val="16"/>
                <w:szCs w:val="16"/>
                <w:u w:val="single"/>
              </w:rPr>
            </w:pPr>
            <w:r>
              <w:rPr>
                <w:rFonts w:ascii="Source Sans Pro" w:hAnsi="Source Sans Pro"/>
                <w:sz w:val="16"/>
                <w:szCs w:val="16"/>
                <w:u w:val="single"/>
              </w:rPr>
              <w:t>+91</w:t>
            </w:r>
          </w:p>
        </w:tc>
        <w:tc>
          <w:tcPr>
            <w:tcW w:w="502" w:type="pct"/>
            <w:vAlign w:val="center"/>
          </w:tcPr>
          <w:p w14:paraId="7AE6C155" w14:textId="2B4757FB" w:rsidR="004A2D54" w:rsidRPr="004A2D54" w:rsidRDefault="00B66510" w:rsidP="00AA5925">
            <w:pPr>
              <w:jc w:val="center"/>
              <w:rPr>
                <w:rFonts w:ascii="Source Sans Pro" w:hAnsi="Source Sans Pro" w:cs="Arial"/>
                <w:sz w:val="16"/>
                <w:szCs w:val="16"/>
              </w:rPr>
            </w:pPr>
            <w:r>
              <w:rPr>
                <w:rFonts w:ascii="Source Sans Pro" w:hAnsi="Source Sans Pro"/>
                <w:sz w:val="16"/>
                <w:szCs w:val="16"/>
              </w:rPr>
              <w:t>+21</w:t>
            </w:r>
          </w:p>
        </w:tc>
        <w:tc>
          <w:tcPr>
            <w:tcW w:w="501" w:type="pct"/>
            <w:vAlign w:val="center"/>
          </w:tcPr>
          <w:p w14:paraId="0193D00C" w14:textId="7A63E058" w:rsidR="004A2D54" w:rsidRPr="004A2D54" w:rsidRDefault="00B66510" w:rsidP="00AA5925">
            <w:pPr>
              <w:jc w:val="center"/>
              <w:rPr>
                <w:rFonts w:ascii="Source Sans Pro" w:hAnsi="Source Sans Pro" w:cs="Arial"/>
                <w:b/>
                <w:sz w:val="16"/>
                <w:szCs w:val="16"/>
              </w:rPr>
            </w:pPr>
            <w:r>
              <w:rPr>
                <w:rFonts w:ascii="Source Sans Pro" w:hAnsi="Source Sans Pro"/>
                <w:b/>
                <w:sz w:val="16"/>
                <w:szCs w:val="16"/>
              </w:rPr>
              <w:t>+9</w:t>
            </w:r>
          </w:p>
        </w:tc>
      </w:tr>
      <w:tr w:rsidR="004A2D54" w:rsidRPr="004A2D54" w14:paraId="28C0E045" w14:textId="77777777" w:rsidTr="00B0069C">
        <w:trPr>
          <w:trHeight w:val="283"/>
        </w:trPr>
        <w:tc>
          <w:tcPr>
            <w:tcW w:w="1143" w:type="pct"/>
            <w:vAlign w:val="center"/>
          </w:tcPr>
          <w:p w14:paraId="20BEBAE3"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Premium rent</w:t>
            </w:r>
          </w:p>
          <w:p w14:paraId="5014603B"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€/m²/month</w:t>
            </w:r>
          </w:p>
        </w:tc>
        <w:tc>
          <w:tcPr>
            <w:tcW w:w="344" w:type="pct"/>
            <w:vAlign w:val="center"/>
          </w:tcPr>
          <w:p w14:paraId="38BC9DC0" w14:textId="1D69C37B"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33.50</w:t>
            </w:r>
          </w:p>
        </w:tc>
        <w:tc>
          <w:tcPr>
            <w:tcW w:w="502" w:type="pct"/>
            <w:vAlign w:val="center"/>
          </w:tcPr>
          <w:p w14:paraId="36FC9688" w14:textId="75386E21"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42.00</w:t>
            </w:r>
          </w:p>
        </w:tc>
        <w:tc>
          <w:tcPr>
            <w:tcW w:w="502" w:type="pct"/>
            <w:vAlign w:val="center"/>
          </w:tcPr>
          <w:p w14:paraId="1327B9B3" w14:textId="24EE4824"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34.50</w:t>
            </w:r>
          </w:p>
        </w:tc>
        <w:tc>
          <w:tcPr>
            <w:tcW w:w="502" w:type="pct"/>
            <w:vAlign w:val="center"/>
          </w:tcPr>
          <w:p w14:paraId="760BB6C8" w14:textId="3787AF74"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27.90</w:t>
            </w:r>
          </w:p>
        </w:tc>
        <w:tc>
          <w:tcPr>
            <w:tcW w:w="502" w:type="pct"/>
            <w:vAlign w:val="center"/>
          </w:tcPr>
          <w:p w14:paraId="3A6FFDAF" w14:textId="77B1ED6E" w:rsidR="004A2D54" w:rsidRPr="004A2D54" w:rsidRDefault="005F0579" w:rsidP="00AA5925">
            <w:pPr>
              <w:jc w:val="center"/>
              <w:rPr>
                <w:rFonts w:ascii="Source Sans Pro" w:hAnsi="Source Sans Pro" w:cs="Arial"/>
                <w:sz w:val="16"/>
                <w:szCs w:val="16"/>
                <w:u w:val="single"/>
              </w:rPr>
            </w:pPr>
            <w:r>
              <w:rPr>
                <w:rFonts w:ascii="Source Sans Pro" w:hAnsi="Source Sans Pro"/>
                <w:sz w:val="16"/>
                <w:szCs w:val="16"/>
                <w:u w:val="single"/>
              </w:rPr>
              <w:t>46.00</w:t>
            </w:r>
          </w:p>
        </w:tc>
        <w:tc>
          <w:tcPr>
            <w:tcW w:w="502" w:type="pct"/>
            <w:vAlign w:val="center"/>
          </w:tcPr>
          <w:p w14:paraId="7563F31F" w14:textId="6FAA9F5F"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33.00</w:t>
            </w:r>
          </w:p>
        </w:tc>
        <w:tc>
          <w:tcPr>
            <w:tcW w:w="502" w:type="pct"/>
            <w:vAlign w:val="center"/>
          </w:tcPr>
          <w:p w14:paraId="1672D038" w14:textId="3F3472CB"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45.50</w:t>
            </w:r>
          </w:p>
        </w:tc>
        <w:tc>
          <w:tcPr>
            <w:tcW w:w="501" w:type="pct"/>
            <w:vAlign w:val="center"/>
          </w:tcPr>
          <w:p w14:paraId="4DAAB3CF" w14:textId="5B1791D9" w:rsidR="004A2D54" w:rsidRPr="004A2D54" w:rsidRDefault="005F0579" w:rsidP="00AA5925">
            <w:pPr>
              <w:widowControl w:val="0"/>
              <w:jc w:val="center"/>
              <w:rPr>
                <w:rFonts w:ascii="Source Sans Pro" w:hAnsi="Source Sans Pro" w:cs="Arial"/>
                <w:b/>
                <w:sz w:val="16"/>
                <w:szCs w:val="16"/>
              </w:rPr>
            </w:pPr>
            <w:r>
              <w:rPr>
                <w:rFonts w:ascii="Source Sans Pro" w:hAnsi="Source Sans Pro"/>
                <w:b/>
                <w:sz w:val="16"/>
                <w:szCs w:val="16"/>
              </w:rPr>
              <w:t>-</w:t>
            </w:r>
          </w:p>
        </w:tc>
      </w:tr>
      <w:tr w:rsidR="004A2D54" w:rsidRPr="004A2D54" w14:paraId="1F9B5D78" w14:textId="77777777" w:rsidTr="00B0069C">
        <w:trPr>
          <w:trHeight w:val="283"/>
        </w:trPr>
        <w:tc>
          <w:tcPr>
            <w:tcW w:w="1143" w:type="pct"/>
            <w:vAlign w:val="center"/>
          </w:tcPr>
          <w:p w14:paraId="7624939D" w14:textId="77777777" w:rsidR="004A2D54" w:rsidRDefault="004A2D54" w:rsidP="00AA5925">
            <w:pPr>
              <w:widowControl w:val="0"/>
              <w:rPr>
                <w:rFonts w:ascii="Source Sans Pro" w:hAnsi="Source Sans Pro" w:cs="Arial"/>
                <w:b/>
                <w:sz w:val="16"/>
                <w:szCs w:val="16"/>
              </w:rPr>
            </w:pPr>
            <w:r>
              <w:rPr>
                <w:rFonts w:ascii="Source Sans Pro" w:hAnsi="Source Sans Pro"/>
                <w:b/>
                <w:sz w:val="16"/>
                <w:szCs w:val="16"/>
              </w:rPr>
              <w:t>Average rent</w:t>
            </w:r>
          </w:p>
          <w:p w14:paraId="0A688944" w14:textId="3E203F2E"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€/m²/month</w:t>
            </w:r>
          </w:p>
        </w:tc>
        <w:tc>
          <w:tcPr>
            <w:tcW w:w="344" w:type="pct"/>
            <w:vAlign w:val="center"/>
          </w:tcPr>
          <w:p w14:paraId="6766B324" w14:textId="65E48ED5"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21.00</w:t>
            </w:r>
          </w:p>
        </w:tc>
        <w:tc>
          <w:tcPr>
            <w:tcW w:w="502" w:type="pct"/>
            <w:vAlign w:val="center"/>
          </w:tcPr>
          <w:p w14:paraId="69F36A2E" w14:textId="29576A18" w:rsidR="004A2D54" w:rsidRPr="004A2D54" w:rsidRDefault="005F0579" w:rsidP="00AA5925">
            <w:pPr>
              <w:jc w:val="center"/>
              <w:rPr>
                <w:rFonts w:ascii="Source Sans Pro" w:hAnsi="Source Sans Pro" w:cs="Arial"/>
                <w:sz w:val="16"/>
                <w:szCs w:val="16"/>
                <w:u w:val="single"/>
              </w:rPr>
            </w:pPr>
            <w:r>
              <w:rPr>
                <w:rFonts w:ascii="Source Sans Pro" w:hAnsi="Source Sans Pro"/>
                <w:sz w:val="16"/>
                <w:szCs w:val="16"/>
                <w:u w:val="single"/>
              </w:rPr>
              <w:t>30.20</w:t>
            </w:r>
          </w:p>
        </w:tc>
        <w:tc>
          <w:tcPr>
            <w:tcW w:w="502" w:type="pct"/>
            <w:vAlign w:val="center"/>
          </w:tcPr>
          <w:p w14:paraId="3A3D5B73" w14:textId="414A5941"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17.75</w:t>
            </w:r>
          </w:p>
        </w:tc>
        <w:tc>
          <w:tcPr>
            <w:tcW w:w="502" w:type="pct"/>
            <w:vAlign w:val="center"/>
          </w:tcPr>
          <w:p w14:paraId="5EEA2477" w14:textId="48671285"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18.50</w:t>
            </w:r>
          </w:p>
        </w:tc>
        <w:tc>
          <w:tcPr>
            <w:tcW w:w="502" w:type="pct"/>
            <w:vAlign w:val="center"/>
          </w:tcPr>
          <w:p w14:paraId="5785D354" w14:textId="62AF1AFA"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23.80</w:t>
            </w:r>
          </w:p>
        </w:tc>
        <w:tc>
          <w:tcPr>
            <w:tcW w:w="502" w:type="pct"/>
            <w:vAlign w:val="center"/>
          </w:tcPr>
          <w:p w14:paraId="44091F26" w14:textId="17CA346C"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18.30</w:t>
            </w:r>
          </w:p>
        </w:tc>
        <w:tc>
          <w:tcPr>
            <w:tcW w:w="502" w:type="pct"/>
            <w:vAlign w:val="center"/>
          </w:tcPr>
          <w:p w14:paraId="2CFCC248" w14:textId="7785A8ED"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24.95</w:t>
            </w:r>
          </w:p>
        </w:tc>
        <w:tc>
          <w:tcPr>
            <w:tcW w:w="501" w:type="pct"/>
            <w:vAlign w:val="center"/>
          </w:tcPr>
          <w:p w14:paraId="77B616F3" w14:textId="3625DF0C" w:rsidR="004A2D54" w:rsidRPr="004A2D54" w:rsidRDefault="005F0579" w:rsidP="00AA5925">
            <w:pPr>
              <w:widowControl w:val="0"/>
              <w:jc w:val="center"/>
              <w:rPr>
                <w:rFonts w:ascii="Source Sans Pro" w:hAnsi="Source Sans Pro" w:cs="Arial"/>
                <w:b/>
                <w:sz w:val="16"/>
                <w:szCs w:val="16"/>
              </w:rPr>
            </w:pPr>
            <w:r>
              <w:rPr>
                <w:rFonts w:ascii="Source Sans Pro" w:hAnsi="Source Sans Pro"/>
                <w:b/>
                <w:sz w:val="16"/>
                <w:szCs w:val="16"/>
              </w:rPr>
              <w:t>-</w:t>
            </w:r>
          </w:p>
        </w:tc>
      </w:tr>
      <w:tr w:rsidR="004A2D54" w:rsidRPr="004A2D54" w14:paraId="497ADABD" w14:textId="77777777" w:rsidTr="00B0069C">
        <w:trPr>
          <w:trHeight w:val="283"/>
        </w:trPr>
        <w:tc>
          <w:tcPr>
            <w:tcW w:w="1143" w:type="pct"/>
            <w:vAlign w:val="center"/>
          </w:tcPr>
          <w:p w14:paraId="7DB90D4B" w14:textId="77777777" w:rsidR="004A2D54" w:rsidRDefault="004A2D54" w:rsidP="00AA5925">
            <w:pPr>
              <w:widowControl w:val="0"/>
              <w:rPr>
                <w:rFonts w:ascii="Source Sans Pro" w:hAnsi="Source Sans Pro" w:cs="Arial"/>
                <w:b/>
                <w:sz w:val="16"/>
                <w:szCs w:val="16"/>
              </w:rPr>
            </w:pPr>
            <w:r>
              <w:rPr>
                <w:rFonts w:ascii="Source Sans Pro" w:hAnsi="Source Sans Pro"/>
                <w:b/>
                <w:sz w:val="16"/>
                <w:szCs w:val="16"/>
              </w:rPr>
              <w:t>Total stock of office space</w:t>
            </w:r>
          </w:p>
          <w:p w14:paraId="265D7B5E" w14:textId="595DC771" w:rsidR="004A2D54" w:rsidRPr="004A2D54" w:rsidRDefault="004A2D54" w:rsidP="00AA5925">
            <w:pPr>
              <w:widowControl w:val="0"/>
              <w:rPr>
                <w:rFonts w:ascii="Source Sans Pro" w:hAnsi="Source Sans Pro" w:cs="Arial"/>
                <w:sz w:val="16"/>
                <w:szCs w:val="16"/>
              </w:rPr>
            </w:pPr>
            <w:r>
              <w:rPr>
                <w:rFonts w:ascii="Source Sans Pro" w:hAnsi="Source Sans Pro"/>
                <w:sz w:val="16"/>
                <w:szCs w:val="16"/>
              </w:rPr>
              <w:t>in millions m²</w:t>
            </w:r>
          </w:p>
        </w:tc>
        <w:tc>
          <w:tcPr>
            <w:tcW w:w="344" w:type="pct"/>
            <w:vAlign w:val="center"/>
          </w:tcPr>
          <w:p w14:paraId="6B529685" w14:textId="2E5E7E30" w:rsidR="004A2D54" w:rsidRPr="004A2D54" w:rsidRDefault="005F0579" w:rsidP="005F0579">
            <w:pPr>
              <w:jc w:val="center"/>
              <w:rPr>
                <w:rFonts w:ascii="Source Sans Pro" w:hAnsi="Source Sans Pro" w:cs="Arial"/>
                <w:sz w:val="16"/>
                <w:szCs w:val="16"/>
              </w:rPr>
            </w:pPr>
            <w:r>
              <w:rPr>
                <w:rFonts w:ascii="Source Sans Pro" w:hAnsi="Source Sans Pro"/>
                <w:sz w:val="16"/>
                <w:szCs w:val="16"/>
              </w:rPr>
              <w:t>14.14</w:t>
            </w:r>
          </w:p>
        </w:tc>
        <w:tc>
          <w:tcPr>
            <w:tcW w:w="502" w:type="pct"/>
            <w:vAlign w:val="center"/>
          </w:tcPr>
          <w:p w14:paraId="5A655032" w14:textId="629BCD17" w:rsidR="004A2D54" w:rsidRPr="004A2D54" w:rsidRDefault="005F0579" w:rsidP="008E5C25">
            <w:pPr>
              <w:jc w:val="center"/>
              <w:rPr>
                <w:rFonts w:ascii="Source Sans Pro" w:hAnsi="Source Sans Pro" w:cs="Arial"/>
                <w:sz w:val="16"/>
                <w:szCs w:val="16"/>
              </w:rPr>
            </w:pPr>
            <w:r>
              <w:rPr>
                <w:rFonts w:ascii="Source Sans Pro" w:hAnsi="Source Sans Pro"/>
                <w:sz w:val="16"/>
                <w:szCs w:val="16"/>
              </w:rPr>
              <w:t>21.20</w:t>
            </w:r>
          </w:p>
        </w:tc>
        <w:tc>
          <w:tcPr>
            <w:tcW w:w="502" w:type="pct"/>
            <w:vAlign w:val="center"/>
          </w:tcPr>
          <w:p w14:paraId="7BC26CF2" w14:textId="041B5643"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7.43</w:t>
            </w:r>
          </w:p>
        </w:tc>
        <w:tc>
          <w:tcPr>
            <w:tcW w:w="502" w:type="pct"/>
            <w:vAlign w:val="center"/>
          </w:tcPr>
          <w:p w14:paraId="6CDA777F" w14:textId="186FCF4C"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8.15</w:t>
            </w:r>
          </w:p>
        </w:tc>
        <w:tc>
          <w:tcPr>
            <w:tcW w:w="502" w:type="pct"/>
            <w:vAlign w:val="center"/>
          </w:tcPr>
          <w:p w14:paraId="14273F72" w14:textId="1F1880EE" w:rsidR="004A2D54" w:rsidRPr="004A2D54" w:rsidRDefault="005F0579" w:rsidP="008E5C25">
            <w:pPr>
              <w:jc w:val="center"/>
              <w:rPr>
                <w:rFonts w:ascii="Source Sans Pro" w:hAnsi="Source Sans Pro" w:cs="Arial"/>
                <w:sz w:val="16"/>
                <w:szCs w:val="16"/>
              </w:rPr>
            </w:pPr>
            <w:r>
              <w:rPr>
                <w:rFonts w:ascii="Source Sans Pro" w:hAnsi="Source Sans Pro"/>
                <w:sz w:val="16"/>
                <w:szCs w:val="16"/>
              </w:rPr>
              <w:t>11.70</w:t>
            </w:r>
          </w:p>
        </w:tc>
        <w:tc>
          <w:tcPr>
            <w:tcW w:w="502" w:type="pct"/>
            <w:vAlign w:val="center"/>
          </w:tcPr>
          <w:p w14:paraId="40B9B914" w14:textId="57CAFF24" w:rsidR="004A2D54" w:rsidRPr="004A2D54" w:rsidRDefault="005F0579" w:rsidP="002B35AD">
            <w:pPr>
              <w:jc w:val="center"/>
              <w:rPr>
                <w:rFonts w:ascii="Source Sans Pro" w:hAnsi="Source Sans Pro" w:cs="Arial"/>
                <w:sz w:val="16"/>
                <w:szCs w:val="16"/>
              </w:rPr>
            </w:pPr>
            <w:r>
              <w:rPr>
                <w:rFonts w:ascii="Source Sans Pro" w:hAnsi="Source Sans Pro"/>
                <w:sz w:val="16"/>
                <w:szCs w:val="16"/>
              </w:rPr>
              <w:t>8.41</w:t>
            </w:r>
          </w:p>
        </w:tc>
        <w:tc>
          <w:tcPr>
            <w:tcW w:w="502" w:type="pct"/>
            <w:vAlign w:val="center"/>
          </w:tcPr>
          <w:p w14:paraId="2FFE04BD" w14:textId="6BE48E37" w:rsidR="004A2D54" w:rsidRPr="004A2D54" w:rsidRDefault="005F0579" w:rsidP="005F0579">
            <w:pPr>
              <w:jc w:val="center"/>
              <w:rPr>
                <w:rFonts w:ascii="Source Sans Pro" w:hAnsi="Source Sans Pro" w:cs="Arial"/>
                <w:sz w:val="16"/>
                <w:szCs w:val="16"/>
                <w:u w:val="single"/>
              </w:rPr>
            </w:pPr>
            <w:r>
              <w:rPr>
                <w:rFonts w:ascii="Source Sans Pro" w:hAnsi="Source Sans Pro"/>
                <w:sz w:val="16"/>
                <w:szCs w:val="16"/>
                <w:u w:val="single"/>
              </w:rPr>
              <w:t>23.50</w:t>
            </w:r>
          </w:p>
        </w:tc>
        <w:tc>
          <w:tcPr>
            <w:tcW w:w="501" w:type="pct"/>
            <w:vAlign w:val="center"/>
          </w:tcPr>
          <w:p w14:paraId="3F08A3A6" w14:textId="0CFD956E" w:rsidR="004A2D54" w:rsidRPr="004A2D54" w:rsidRDefault="005F0579" w:rsidP="002A41A8">
            <w:pPr>
              <w:jc w:val="center"/>
              <w:rPr>
                <w:rFonts w:ascii="Source Sans Pro" w:hAnsi="Source Sans Pro" w:cs="Arial"/>
                <w:b/>
                <w:sz w:val="16"/>
                <w:szCs w:val="16"/>
              </w:rPr>
            </w:pPr>
            <w:r>
              <w:rPr>
                <w:rFonts w:ascii="Source Sans Pro" w:hAnsi="Source Sans Pro"/>
                <w:b/>
                <w:sz w:val="16"/>
                <w:szCs w:val="16"/>
              </w:rPr>
              <w:t>94.53</w:t>
            </w:r>
          </w:p>
        </w:tc>
      </w:tr>
      <w:tr w:rsidR="004A2D54" w:rsidRPr="004A2D54" w14:paraId="0AF55D2E" w14:textId="77777777" w:rsidTr="00B0069C">
        <w:trPr>
          <w:trHeight w:val="283"/>
        </w:trPr>
        <w:tc>
          <w:tcPr>
            <w:tcW w:w="1143" w:type="pct"/>
            <w:vAlign w:val="center"/>
          </w:tcPr>
          <w:p w14:paraId="387BF733" w14:textId="77777777" w:rsidR="00B0069C" w:rsidRDefault="004A2D54" w:rsidP="00AA5925">
            <w:pPr>
              <w:widowControl w:val="0"/>
              <w:rPr>
                <w:rFonts w:ascii="Source Sans Pro" w:hAnsi="Source Sans Pro"/>
                <w:sz w:val="16"/>
                <w:szCs w:val="16"/>
              </w:rPr>
            </w:pPr>
            <w:r>
              <w:rPr>
                <w:rFonts w:ascii="Source Sans Pro" w:hAnsi="Source Sans Pro"/>
                <w:b/>
                <w:sz w:val="16"/>
                <w:szCs w:val="16"/>
              </w:rPr>
              <w:t>Vacant space</w:t>
            </w:r>
          </w:p>
          <w:p w14:paraId="092670C9" w14:textId="7748A201"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incl. sub-let space [m²]</w:t>
            </w:r>
          </w:p>
        </w:tc>
        <w:tc>
          <w:tcPr>
            <w:tcW w:w="344" w:type="pct"/>
            <w:vAlign w:val="center"/>
          </w:tcPr>
          <w:p w14:paraId="22C1869E" w14:textId="355457CC"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561,200</w:t>
            </w:r>
          </w:p>
        </w:tc>
        <w:tc>
          <w:tcPr>
            <w:tcW w:w="502" w:type="pct"/>
            <w:vAlign w:val="center"/>
          </w:tcPr>
          <w:p w14:paraId="75562CB1" w14:textId="78035AD6" w:rsidR="004A2D54" w:rsidRPr="004A2D54" w:rsidRDefault="005F0579" w:rsidP="002A41A8">
            <w:pPr>
              <w:jc w:val="center"/>
              <w:rPr>
                <w:rFonts w:ascii="Source Sans Pro" w:hAnsi="Source Sans Pro" w:cs="Arial"/>
                <w:sz w:val="16"/>
                <w:szCs w:val="16"/>
              </w:rPr>
            </w:pPr>
            <w:r>
              <w:rPr>
                <w:rFonts w:ascii="Source Sans Pro" w:hAnsi="Source Sans Pro"/>
                <w:sz w:val="16"/>
                <w:szCs w:val="16"/>
              </w:rPr>
              <w:t>930,000</w:t>
            </w:r>
          </w:p>
        </w:tc>
        <w:tc>
          <w:tcPr>
            <w:tcW w:w="502" w:type="pct"/>
            <w:vAlign w:val="center"/>
          </w:tcPr>
          <w:p w14:paraId="05FD8594" w14:textId="7CC1A32B"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591,000</w:t>
            </w:r>
          </w:p>
        </w:tc>
        <w:tc>
          <w:tcPr>
            <w:tcW w:w="502" w:type="pct"/>
            <w:vAlign w:val="center"/>
          </w:tcPr>
          <w:p w14:paraId="69FA3B3B" w14:textId="0843C14C"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230,000</w:t>
            </w:r>
          </w:p>
        </w:tc>
        <w:tc>
          <w:tcPr>
            <w:tcW w:w="502" w:type="pct"/>
            <w:vAlign w:val="center"/>
          </w:tcPr>
          <w:p w14:paraId="3FBF36AD" w14:textId="6A01F6F5" w:rsidR="004A2D54" w:rsidRPr="0076666B" w:rsidRDefault="005F0579" w:rsidP="00AA5925">
            <w:pPr>
              <w:jc w:val="center"/>
              <w:rPr>
                <w:rFonts w:ascii="Source Sans Pro" w:hAnsi="Source Sans Pro" w:cs="Arial"/>
                <w:sz w:val="16"/>
                <w:szCs w:val="16"/>
              </w:rPr>
            </w:pPr>
            <w:r>
              <w:rPr>
                <w:rFonts w:ascii="Source Sans Pro" w:hAnsi="Source Sans Pro"/>
                <w:sz w:val="16"/>
                <w:szCs w:val="16"/>
              </w:rPr>
              <w:t>915,600</w:t>
            </w:r>
          </w:p>
        </w:tc>
        <w:tc>
          <w:tcPr>
            <w:tcW w:w="502" w:type="pct"/>
            <w:vAlign w:val="center"/>
          </w:tcPr>
          <w:p w14:paraId="25A1686F" w14:textId="2AA0DCFD"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364,000</w:t>
            </w:r>
          </w:p>
        </w:tc>
        <w:tc>
          <w:tcPr>
            <w:tcW w:w="502" w:type="pct"/>
            <w:vAlign w:val="center"/>
          </w:tcPr>
          <w:p w14:paraId="3C303F25" w14:textId="1B96A4D7" w:rsidR="004A2D54" w:rsidRPr="0076666B" w:rsidRDefault="005F0579" w:rsidP="00347D11">
            <w:pPr>
              <w:jc w:val="center"/>
              <w:rPr>
                <w:rFonts w:ascii="Source Sans Pro" w:hAnsi="Source Sans Pro" w:cs="Arial"/>
                <w:sz w:val="16"/>
                <w:szCs w:val="16"/>
                <w:u w:val="single"/>
              </w:rPr>
            </w:pPr>
            <w:r>
              <w:rPr>
                <w:rFonts w:ascii="Source Sans Pro" w:hAnsi="Source Sans Pro"/>
                <w:sz w:val="16"/>
                <w:szCs w:val="16"/>
                <w:u w:val="single"/>
              </w:rPr>
              <w:t>1,200,000</w:t>
            </w:r>
          </w:p>
        </w:tc>
        <w:tc>
          <w:tcPr>
            <w:tcW w:w="501" w:type="pct"/>
            <w:vAlign w:val="center"/>
          </w:tcPr>
          <w:p w14:paraId="21F33999" w14:textId="2D676E9D" w:rsidR="004A2D54" w:rsidRPr="004A2D54" w:rsidRDefault="005F0579" w:rsidP="00B2073F">
            <w:pPr>
              <w:jc w:val="center"/>
              <w:rPr>
                <w:rFonts w:ascii="Source Sans Pro" w:hAnsi="Source Sans Pro" w:cs="Arial"/>
                <w:b/>
                <w:sz w:val="16"/>
                <w:szCs w:val="16"/>
              </w:rPr>
            </w:pPr>
            <w:r>
              <w:rPr>
                <w:rFonts w:ascii="Source Sans Pro" w:hAnsi="Source Sans Pro"/>
                <w:b/>
                <w:sz w:val="16"/>
                <w:szCs w:val="16"/>
              </w:rPr>
              <w:t>4,791,800</w:t>
            </w:r>
          </w:p>
        </w:tc>
      </w:tr>
      <w:tr w:rsidR="004A2D54" w:rsidRPr="004A2D54" w14:paraId="33CC4AFE" w14:textId="77777777" w:rsidTr="00B0069C">
        <w:trPr>
          <w:trHeight w:val="283"/>
        </w:trPr>
        <w:tc>
          <w:tcPr>
            <w:tcW w:w="1143" w:type="pct"/>
            <w:vAlign w:val="center"/>
          </w:tcPr>
          <w:p w14:paraId="150C2B07" w14:textId="77777777" w:rsidR="00B0069C" w:rsidRDefault="004A2D54" w:rsidP="00AA5925">
            <w:pPr>
              <w:widowControl w:val="0"/>
              <w:rPr>
                <w:rFonts w:ascii="Source Sans Pro" w:hAnsi="Source Sans Pro"/>
                <w:sz w:val="16"/>
                <w:szCs w:val="16"/>
              </w:rPr>
            </w:pPr>
            <w:r>
              <w:rPr>
                <w:rFonts w:ascii="Source Sans Pro" w:hAnsi="Source Sans Pro"/>
                <w:b/>
                <w:sz w:val="16"/>
                <w:szCs w:val="16"/>
              </w:rPr>
              <w:t>Vacancy rate</w:t>
            </w:r>
          </w:p>
          <w:p w14:paraId="020462D7" w14:textId="15FC8F25"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incl. sub-let space [%]</w:t>
            </w:r>
          </w:p>
        </w:tc>
        <w:tc>
          <w:tcPr>
            <w:tcW w:w="344" w:type="pct"/>
            <w:vAlign w:val="center"/>
          </w:tcPr>
          <w:p w14:paraId="7D507D43" w14:textId="596F46D9"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4.0</w:t>
            </w:r>
          </w:p>
        </w:tc>
        <w:tc>
          <w:tcPr>
            <w:tcW w:w="502" w:type="pct"/>
            <w:vAlign w:val="center"/>
          </w:tcPr>
          <w:p w14:paraId="13E26529" w14:textId="36EF1ADE"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4.4</w:t>
            </w:r>
          </w:p>
        </w:tc>
        <w:tc>
          <w:tcPr>
            <w:tcW w:w="502" w:type="pct"/>
            <w:vAlign w:val="center"/>
          </w:tcPr>
          <w:p w14:paraId="6F4F9D00" w14:textId="52920468" w:rsidR="004A2D54" w:rsidRPr="00347D11" w:rsidRDefault="005F0579" w:rsidP="00AA5925">
            <w:pPr>
              <w:jc w:val="center"/>
              <w:rPr>
                <w:rFonts w:ascii="Source Sans Pro" w:hAnsi="Source Sans Pro" w:cs="Arial"/>
                <w:sz w:val="16"/>
                <w:szCs w:val="16"/>
                <w:u w:val="single"/>
              </w:rPr>
            </w:pPr>
            <w:r>
              <w:rPr>
                <w:rFonts w:ascii="Source Sans Pro" w:hAnsi="Source Sans Pro"/>
                <w:sz w:val="16"/>
                <w:szCs w:val="16"/>
                <w:u w:val="single"/>
              </w:rPr>
              <w:t>8.0</w:t>
            </w:r>
          </w:p>
        </w:tc>
        <w:tc>
          <w:tcPr>
            <w:tcW w:w="502" w:type="pct"/>
            <w:vAlign w:val="center"/>
          </w:tcPr>
          <w:p w14:paraId="5C46F14C" w14:textId="1DC097F7"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2.8</w:t>
            </w:r>
          </w:p>
        </w:tc>
        <w:tc>
          <w:tcPr>
            <w:tcW w:w="502" w:type="pct"/>
            <w:vAlign w:val="center"/>
          </w:tcPr>
          <w:p w14:paraId="28A3EAD2" w14:textId="25D4ADC6" w:rsidR="004A2D54" w:rsidRPr="00347D11" w:rsidRDefault="005F0579" w:rsidP="00AA5925">
            <w:pPr>
              <w:jc w:val="center"/>
              <w:rPr>
                <w:rFonts w:ascii="Source Sans Pro" w:hAnsi="Source Sans Pro" w:cs="Arial"/>
                <w:sz w:val="16"/>
                <w:szCs w:val="16"/>
              </w:rPr>
            </w:pPr>
            <w:r>
              <w:rPr>
                <w:rFonts w:ascii="Source Sans Pro" w:hAnsi="Source Sans Pro"/>
                <w:sz w:val="16"/>
                <w:szCs w:val="16"/>
              </w:rPr>
              <w:t>7.8</w:t>
            </w:r>
          </w:p>
        </w:tc>
        <w:tc>
          <w:tcPr>
            <w:tcW w:w="502" w:type="pct"/>
            <w:vAlign w:val="center"/>
          </w:tcPr>
          <w:p w14:paraId="33743795" w14:textId="1B0CBB8C"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4.3</w:t>
            </w:r>
          </w:p>
        </w:tc>
        <w:tc>
          <w:tcPr>
            <w:tcW w:w="502" w:type="pct"/>
            <w:vAlign w:val="center"/>
          </w:tcPr>
          <w:p w14:paraId="0C8518F0" w14:textId="3C9AFA50" w:rsidR="004A2D54" w:rsidRPr="004A2D54" w:rsidRDefault="005F0579" w:rsidP="00AA5925">
            <w:pPr>
              <w:jc w:val="center"/>
              <w:rPr>
                <w:rFonts w:ascii="Source Sans Pro" w:hAnsi="Source Sans Pro" w:cs="Arial"/>
                <w:sz w:val="16"/>
                <w:szCs w:val="16"/>
              </w:rPr>
            </w:pPr>
            <w:r>
              <w:rPr>
                <w:rFonts w:ascii="Source Sans Pro" w:hAnsi="Source Sans Pro"/>
                <w:sz w:val="16"/>
                <w:szCs w:val="16"/>
              </w:rPr>
              <w:t>5.1</w:t>
            </w:r>
          </w:p>
        </w:tc>
        <w:tc>
          <w:tcPr>
            <w:tcW w:w="501" w:type="pct"/>
            <w:vAlign w:val="center"/>
          </w:tcPr>
          <w:p w14:paraId="691A5F70" w14:textId="426776FA" w:rsidR="004A2D54" w:rsidRPr="004A2D54" w:rsidRDefault="005F0579" w:rsidP="00AA5925">
            <w:pPr>
              <w:jc w:val="center"/>
              <w:rPr>
                <w:rFonts w:ascii="Source Sans Pro" w:hAnsi="Source Sans Pro" w:cs="Arial"/>
                <w:b/>
                <w:sz w:val="16"/>
                <w:szCs w:val="16"/>
              </w:rPr>
            </w:pPr>
            <w:r>
              <w:rPr>
                <w:rFonts w:ascii="Source Sans Pro" w:hAnsi="Source Sans Pro"/>
                <w:b/>
                <w:sz w:val="16"/>
                <w:szCs w:val="16"/>
              </w:rPr>
              <w:t>5.1</w:t>
            </w:r>
          </w:p>
        </w:tc>
      </w:tr>
      <w:tr w:rsidR="004A2D54" w:rsidRPr="004A2D54" w14:paraId="29AB7F04" w14:textId="77777777" w:rsidTr="00B0069C">
        <w:trPr>
          <w:trHeight w:val="283"/>
        </w:trPr>
        <w:tc>
          <w:tcPr>
            <w:tcW w:w="1143" w:type="pct"/>
            <w:vAlign w:val="center"/>
          </w:tcPr>
          <w:p w14:paraId="3D128034" w14:textId="372FC7DA" w:rsidR="004A2D54" w:rsidRPr="004A2D54" w:rsidRDefault="004A2D54" w:rsidP="00B0069C">
            <w:pPr>
              <w:widowControl w:val="0"/>
              <w:rPr>
                <w:rFonts w:ascii="Source Sans Pro" w:hAnsi="Source Sans Pro" w:cs="Arial"/>
                <w:b/>
                <w:sz w:val="16"/>
                <w:szCs w:val="16"/>
              </w:rPr>
            </w:pPr>
            <w:r>
              <w:rPr>
                <w:rFonts w:ascii="Source Sans Pro" w:hAnsi="Source Sans Pro"/>
                <w:b/>
                <w:sz w:val="16"/>
                <w:szCs w:val="16"/>
              </w:rPr>
              <w:t>Completions</w:t>
            </w:r>
            <w:r w:rsidR="00B0069C">
              <w:rPr>
                <w:rFonts w:ascii="Source Sans Pro" w:hAnsi="Source Sans Pro"/>
                <w:b/>
                <w:sz w:val="16"/>
                <w:szCs w:val="16"/>
              </w:rPr>
              <w:t xml:space="preserve"> </w:t>
            </w:r>
            <w:r w:rsidR="005F0579">
              <w:rPr>
                <w:rFonts w:ascii="Source Sans Pro" w:hAnsi="Source Sans Pro"/>
                <w:b/>
                <w:bCs/>
                <w:sz w:val="16"/>
                <w:szCs w:val="16"/>
              </w:rPr>
              <w:t>2023 + 2024</w:t>
            </w:r>
            <w:r w:rsidR="005F0579">
              <w:rPr>
                <w:rFonts w:ascii="Source Sans Pro" w:hAnsi="Source Sans Pro"/>
                <w:bCs/>
                <w:sz w:val="16"/>
                <w:szCs w:val="16"/>
              </w:rPr>
              <w:t xml:space="preserve"> </w:t>
            </w:r>
            <w:r w:rsidR="005F0579">
              <w:rPr>
                <w:rFonts w:ascii="Source Sans Pro" w:hAnsi="Source Sans Pro"/>
                <w:sz w:val="16"/>
                <w:szCs w:val="16"/>
              </w:rPr>
              <w:t>in m²</w:t>
            </w:r>
          </w:p>
        </w:tc>
        <w:tc>
          <w:tcPr>
            <w:tcW w:w="344" w:type="pct"/>
            <w:vAlign w:val="center"/>
          </w:tcPr>
          <w:p w14:paraId="09CD14A0" w14:textId="36EA62D3" w:rsidR="004A2D54" w:rsidRPr="004A2D54" w:rsidRDefault="00F71AD1" w:rsidP="00AA5925">
            <w:pPr>
              <w:jc w:val="center"/>
              <w:rPr>
                <w:rFonts w:ascii="Source Sans Pro" w:hAnsi="Source Sans Pro" w:cs="Arial"/>
                <w:sz w:val="16"/>
                <w:szCs w:val="16"/>
              </w:rPr>
            </w:pPr>
            <w:r>
              <w:rPr>
                <w:rFonts w:ascii="Source Sans Pro" w:hAnsi="Source Sans Pro"/>
                <w:sz w:val="16"/>
                <w:szCs w:val="16"/>
              </w:rPr>
              <w:t>470,000</w:t>
            </w:r>
          </w:p>
        </w:tc>
        <w:tc>
          <w:tcPr>
            <w:tcW w:w="502" w:type="pct"/>
            <w:vAlign w:val="center"/>
          </w:tcPr>
          <w:p w14:paraId="1B9CE76A" w14:textId="32D580F8" w:rsidR="004A2D54" w:rsidRPr="004A2D54" w:rsidRDefault="00F71AD1" w:rsidP="00347D11">
            <w:pPr>
              <w:jc w:val="center"/>
              <w:rPr>
                <w:rFonts w:ascii="Source Sans Pro" w:hAnsi="Source Sans Pro" w:cs="Arial"/>
                <w:sz w:val="16"/>
                <w:szCs w:val="16"/>
                <w:u w:val="single"/>
              </w:rPr>
            </w:pPr>
            <w:r>
              <w:rPr>
                <w:rFonts w:ascii="Source Sans Pro" w:hAnsi="Source Sans Pro"/>
                <w:sz w:val="16"/>
                <w:szCs w:val="16"/>
                <w:u w:val="single"/>
              </w:rPr>
              <w:t>1,047,000</w:t>
            </w:r>
          </w:p>
        </w:tc>
        <w:tc>
          <w:tcPr>
            <w:tcW w:w="502" w:type="pct"/>
            <w:vAlign w:val="center"/>
          </w:tcPr>
          <w:p w14:paraId="6D668434" w14:textId="4FCE52D8" w:rsidR="004A2D54" w:rsidRPr="004A2D54" w:rsidRDefault="00F71AD1" w:rsidP="00AA5925">
            <w:pPr>
              <w:jc w:val="center"/>
              <w:rPr>
                <w:rFonts w:ascii="Source Sans Pro" w:hAnsi="Source Sans Pro" w:cs="Arial"/>
                <w:sz w:val="16"/>
                <w:szCs w:val="16"/>
              </w:rPr>
            </w:pPr>
            <w:r>
              <w:rPr>
                <w:rFonts w:ascii="Source Sans Pro" w:hAnsi="Source Sans Pro"/>
                <w:sz w:val="16"/>
                <w:szCs w:val="16"/>
              </w:rPr>
              <w:t>330,200</w:t>
            </w:r>
          </w:p>
        </w:tc>
        <w:tc>
          <w:tcPr>
            <w:tcW w:w="502" w:type="pct"/>
            <w:vAlign w:val="center"/>
          </w:tcPr>
          <w:p w14:paraId="10EAAFA9" w14:textId="605ED2F5" w:rsidR="004A2D54" w:rsidRPr="004A2D54" w:rsidRDefault="00F71AD1" w:rsidP="00AA5925">
            <w:pPr>
              <w:jc w:val="center"/>
              <w:rPr>
                <w:rFonts w:ascii="Source Sans Pro" w:hAnsi="Source Sans Pro" w:cs="Arial"/>
                <w:sz w:val="16"/>
                <w:szCs w:val="16"/>
              </w:rPr>
            </w:pPr>
            <w:r>
              <w:rPr>
                <w:rFonts w:ascii="Source Sans Pro" w:hAnsi="Source Sans Pro"/>
                <w:sz w:val="16"/>
                <w:szCs w:val="16"/>
              </w:rPr>
              <w:t>175,000</w:t>
            </w:r>
          </w:p>
        </w:tc>
        <w:tc>
          <w:tcPr>
            <w:tcW w:w="502" w:type="pct"/>
            <w:vAlign w:val="center"/>
          </w:tcPr>
          <w:p w14:paraId="1661A81C" w14:textId="786017ED" w:rsidR="004A2D54" w:rsidRPr="004A2D54" w:rsidRDefault="00F71AD1" w:rsidP="00347D11">
            <w:pPr>
              <w:jc w:val="center"/>
              <w:rPr>
                <w:rFonts w:ascii="Source Sans Pro" w:hAnsi="Source Sans Pro" w:cs="Arial"/>
                <w:sz w:val="16"/>
                <w:szCs w:val="16"/>
              </w:rPr>
            </w:pPr>
            <w:r>
              <w:rPr>
                <w:rFonts w:ascii="Source Sans Pro" w:hAnsi="Source Sans Pro"/>
                <w:sz w:val="16"/>
                <w:szCs w:val="16"/>
              </w:rPr>
              <w:t>661,400</w:t>
            </w:r>
          </w:p>
        </w:tc>
        <w:tc>
          <w:tcPr>
            <w:tcW w:w="502" w:type="pct"/>
            <w:vAlign w:val="center"/>
          </w:tcPr>
          <w:p w14:paraId="3B7AF91D" w14:textId="02E51F31" w:rsidR="004A2D54" w:rsidRPr="004A2D54" w:rsidRDefault="00F71AD1" w:rsidP="00347D11">
            <w:pPr>
              <w:jc w:val="center"/>
              <w:rPr>
                <w:rFonts w:ascii="Source Sans Pro" w:hAnsi="Source Sans Pro" w:cs="Arial"/>
                <w:sz w:val="16"/>
                <w:szCs w:val="16"/>
              </w:rPr>
            </w:pPr>
            <w:r>
              <w:rPr>
                <w:rFonts w:ascii="Source Sans Pro" w:hAnsi="Source Sans Pro"/>
                <w:sz w:val="16"/>
                <w:szCs w:val="16"/>
              </w:rPr>
              <w:t>170,100</w:t>
            </w:r>
          </w:p>
        </w:tc>
        <w:tc>
          <w:tcPr>
            <w:tcW w:w="502" w:type="pct"/>
            <w:vAlign w:val="center"/>
          </w:tcPr>
          <w:p w14:paraId="77B39730" w14:textId="0A6479F6" w:rsidR="004A2D54" w:rsidRPr="004A2D54" w:rsidRDefault="00F71AD1" w:rsidP="00AA5925">
            <w:pPr>
              <w:jc w:val="center"/>
              <w:rPr>
                <w:rFonts w:ascii="Source Sans Pro" w:hAnsi="Source Sans Pro" w:cs="Arial"/>
                <w:sz w:val="16"/>
                <w:szCs w:val="16"/>
              </w:rPr>
            </w:pPr>
            <w:r>
              <w:rPr>
                <w:rFonts w:ascii="Source Sans Pro" w:hAnsi="Source Sans Pro"/>
                <w:sz w:val="16"/>
                <w:szCs w:val="16"/>
              </w:rPr>
              <w:t>600,000</w:t>
            </w:r>
          </w:p>
        </w:tc>
        <w:tc>
          <w:tcPr>
            <w:tcW w:w="501" w:type="pct"/>
            <w:vAlign w:val="center"/>
          </w:tcPr>
          <w:p w14:paraId="3FBBFB7B" w14:textId="7950D14E" w:rsidR="004A2D54" w:rsidRPr="004A2D54" w:rsidRDefault="00F71AD1" w:rsidP="00347D11">
            <w:pPr>
              <w:jc w:val="center"/>
              <w:rPr>
                <w:rFonts w:ascii="Source Sans Pro" w:hAnsi="Source Sans Pro" w:cs="Arial"/>
                <w:b/>
                <w:sz w:val="16"/>
                <w:szCs w:val="16"/>
              </w:rPr>
            </w:pPr>
            <w:r>
              <w:rPr>
                <w:rFonts w:ascii="Source Sans Pro" w:hAnsi="Source Sans Pro"/>
                <w:b/>
                <w:sz w:val="16"/>
                <w:szCs w:val="16"/>
              </w:rPr>
              <w:t>3,454,000</w:t>
            </w:r>
          </w:p>
        </w:tc>
      </w:tr>
      <w:tr w:rsidR="004A2D54" w:rsidRPr="004A2D54" w14:paraId="21503B01" w14:textId="77777777" w:rsidTr="00B0069C">
        <w:trPr>
          <w:trHeight w:val="283"/>
        </w:trPr>
        <w:tc>
          <w:tcPr>
            <w:tcW w:w="1143" w:type="pct"/>
            <w:vAlign w:val="center"/>
          </w:tcPr>
          <w:p w14:paraId="3334946C" w14:textId="036ED267" w:rsidR="004A2D54" w:rsidRPr="004A2D54" w:rsidRDefault="005F0579" w:rsidP="00AA5925">
            <w:pPr>
              <w:widowControl w:val="0"/>
              <w:rPr>
                <w:rFonts w:ascii="Source Sans Pro" w:hAnsi="Source Sans Pro" w:cs="Arial"/>
                <w:b/>
                <w:sz w:val="16"/>
                <w:szCs w:val="16"/>
              </w:rPr>
            </w:pPr>
            <w:r>
              <w:rPr>
                <w:rFonts w:ascii="Source Sans Pro" w:hAnsi="Source Sans Pro"/>
                <w:b/>
                <w:sz w:val="16"/>
                <w:szCs w:val="16"/>
              </w:rPr>
              <w:t xml:space="preserve">Pre-let ratios 2023 + 2024 </w:t>
            </w:r>
            <w:r w:rsidRPr="00B0069C">
              <w:rPr>
                <w:rFonts w:ascii="Source Sans Pro" w:hAnsi="Source Sans Pro"/>
                <w:sz w:val="16"/>
                <w:szCs w:val="16"/>
              </w:rPr>
              <w:t>in %</w:t>
            </w:r>
          </w:p>
        </w:tc>
        <w:tc>
          <w:tcPr>
            <w:tcW w:w="344" w:type="pct"/>
            <w:vAlign w:val="center"/>
          </w:tcPr>
          <w:p w14:paraId="032EB028" w14:textId="094EC051" w:rsidR="004A2D54" w:rsidRPr="00F076C1" w:rsidRDefault="00F71AD1" w:rsidP="00AA5925">
            <w:pPr>
              <w:jc w:val="center"/>
              <w:rPr>
                <w:rFonts w:ascii="Source Sans Pro" w:hAnsi="Source Sans Pro" w:cs="Arial"/>
                <w:sz w:val="16"/>
                <w:szCs w:val="16"/>
                <w:u w:val="single"/>
              </w:rPr>
            </w:pPr>
            <w:r>
              <w:rPr>
                <w:rFonts w:ascii="Source Sans Pro" w:hAnsi="Source Sans Pro"/>
                <w:sz w:val="16"/>
                <w:szCs w:val="16"/>
                <w:u w:val="single"/>
              </w:rPr>
              <w:t>71</w:t>
            </w:r>
          </w:p>
        </w:tc>
        <w:tc>
          <w:tcPr>
            <w:tcW w:w="502" w:type="pct"/>
            <w:vAlign w:val="center"/>
          </w:tcPr>
          <w:p w14:paraId="3128957F" w14:textId="0736785A" w:rsidR="004A2D54" w:rsidRPr="00524925" w:rsidRDefault="00F71AD1" w:rsidP="00AA5925">
            <w:pPr>
              <w:jc w:val="center"/>
              <w:rPr>
                <w:rFonts w:ascii="Source Sans Pro" w:hAnsi="Source Sans Pro" w:cs="Arial"/>
                <w:sz w:val="16"/>
                <w:szCs w:val="16"/>
              </w:rPr>
            </w:pPr>
            <w:r>
              <w:rPr>
                <w:rFonts w:ascii="Source Sans Pro" w:hAnsi="Source Sans Pro"/>
                <w:sz w:val="16"/>
                <w:szCs w:val="16"/>
              </w:rPr>
              <w:t>43</w:t>
            </w:r>
          </w:p>
        </w:tc>
        <w:tc>
          <w:tcPr>
            <w:tcW w:w="502" w:type="pct"/>
            <w:vAlign w:val="center"/>
          </w:tcPr>
          <w:p w14:paraId="7CFBEDFF" w14:textId="50010FDE" w:rsidR="004A2D54" w:rsidRPr="00F076C1" w:rsidRDefault="00F71AD1" w:rsidP="00AA5925">
            <w:pPr>
              <w:jc w:val="center"/>
              <w:rPr>
                <w:rFonts w:ascii="Source Sans Pro" w:hAnsi="Source Sans Pro" w:cs="Arial"/>
                <w:sz w:val="16"/>
                <w:szCs w:val="16"/>
              </w:rPr>
            </w:pPr>
            <w:r>
              <w:rPr>
                <w:rFonts w:ascii="Source Sans Pro" w:hAnsi="Source Sans Pro"/>
                <w:sz w:val="16"/>
                <w:szCs w:val="16"/>
              </w:rPr>
              <w:t>33</w:t>
            </w:r>
          </w:p>
        </w:tc>
        <w:tc>
          <w:tcPr>
            <w:tcW w:w="502" w:type="pct"/>
            <w:vAlign w:val="center"/>
          </w:tcPr>
          <w:p w14:paraId="67E63DB4" w14:textId="4C299398" w:rsidR="004A2D54" w:rsidRPr="00524925" w:rsidRDefault="00F71AD1" w:rsidP="00AA5925">
            <w:pPr>
              <w:jc w:val="center"/>
              <w:rPr>
                <w:rFonts w:ascii="Source Sans Pro" w:hAnsi="Source Sans Pro" w:cs="Arial"/>
                <w:sz w:val="16"/>
                <w:szCs w:val="16"/>
              </w:rPr>
            </w:pPr>
            <w:r>
              <w:rPr>
                <w:rFonts w:ascii="Source Sans Pro" w:hAnsi="Source Sans Pro"/>
                <w:sz w:val="16"/>
                <w:szCs w:val="16"/>
              </w:rPr>
              <w:t>57</w:t>
            </w:r>
          </w:p>
        </w:tc>
        <w:tc>
          <w:tcPr>
            <w:tcW w:w="502" w:type="pct"/>
            <w:vAlign w:val="center"/>
          </w:tcPr>
          <w:p w14:paraId="06DA1C27" w14:textId="36190660" w:rsidR="004A2D54" w:rsidRPr="004A2D54" w:rsidRDefault="00F71AD1" w:rsidP="00AA5925">
            <w:pPr>
              <w:jc w:val="center"/>
              <w:rPr>
                <w:rFonts w:ascii="Source Sans Pro" w:hAnsi="Source Sans Pro" w:cs="Arial"/>
                <w:sz w:val="16"/>
                <w:szCs w:val="16"/>
              </w:rPr>
            </w:pPr>
            <w:r>
              <w:rPr>
                <w:rFonts w:ascii="Source Sans Pro" w:hAnsi="Source Sans Pro"/>
                <w:sz w:val="16"/>
                <w:szCs w:val="16"/>
              </w:rPr>
              <w:t>27</w:t>
            </w:r>
          </w:p>
        </w:tc>
        <w:tc>
          <w:tcPr>
            <w:tcW w:w="502" w:type="pct"/>
            <w:vAlign w:val="center"/>
          </w:tcPr>
          <w:p w14:paraId="7876BE02" w14:textId="7298298E" w:rsidR="004A2D54" w:rsidRPr="008E5C25" w:rsidRDefault="00F71AD1" w:rsidP="00AA5925">
            <w:pPr>
              <w:jc w:val="center"/>
              <w:rPr>
                <w:rFonts w:ascii="Source Sans Pro" w:hAnsi="Source Sans Pro" w:cs="Arial"/>
                <w:sz w:val="16"/>
                <w:szCs w:val="16"/>
              </w:rPr>
            </w:pPr>
            <w:r>
              <w:rPr>
                <w:rFonts w:ascii="Source Sans Pro" w:hAnsi="Source Sans Pro"/>
                <w:sz w:val="16"/>
                <w:szCs w:val="16"/>
              </w:rPr>
              <w:t>26</w:t>
            </w:r>
          </w:p>
        </w:tc>
        <w:tc>
          <w:tcPr>
            <w:tcW w:w="502" w:type="pct"/>
            <w:vAlign w:val="center"/>
          </w:tcPr>
          <w:p w14:paraId="7E645B9E" w14:textId="6562607E" w:rsidR="004A2D54" w:rsidRPr="004A2D54" w:rsidRDefault="00F71AD1" w:rsidP="00AA5925">
            <w:pPr>
              <w:jc w:val="center"/>
              <w:rPr>
                <w:rFonts w:ascii="Source Sans Pro" w:hAnsi="Source Sans Pro" w:cs="Arial"/>
                <w:sz w:val="16"/>
                <w:szCs w:val="16"/>
              </w:rPr>
            </w:pPr>
            <w:r>
              <w:rPr>
                <w:rFonts w:ascii="Source Sans Pro" w:hAnsi="Source Sans Pro"/>
                <w:sz w:val="16"/>
                <w:szCs w:val="16"/>
              </w:rPr>
              <w:t>55</w:t>
            </w:r>
          </w:p>
        </w:tc>
        <w:tc>
          <w:tcPr>
            <w:tcW w:w="501" w:type="pct"/>
            <w:vAlign w:val="center"/>
          </w:tcPr>
          <w:p w14:paraId="6B1BB734" w14:textId="253F60BD" w:rsidR="004A2D54" w:rsidRPr="004A2D54" w:rsidRDefault="00F71AD1" w:rsidP="00AA5925">
            <w:pPr>
              <w:jc w:val="center"/>
              <w:rPr>
                <w:rFonts w:ascii="Source Sans Pro" w:hAnsi="Source Sans Pro" w:cs="Arial"/>
                <w:b/>
                <w:sz w:val="16"/>
                <w:szCs w:val="16"/>
              </w:rPr>
            </w:pPr>
            <w:r>
              <w:rPr>
                <w:rFonts w:ascii="Source Sans Pro" w:hAnsi="Source Sans Pro"/>
                <w:b/>
                <w:sz w:val="16"/>
                <w:szCs w:val="16"/>
              </w:rPr>
              <w:t>45</w:t>
            </w:r>
          </w:p>
        </w:tc>
      </w:tr>
    </w:tbl>
    <w:p w14:paraId="1DF46B9C" w14:textId="77777777" w:rsidR="004A2D54" w:rsidRPr="004A2D54" w:rsidRDefault="004A2D54" w:rsidP="004A2D54">
      <w:pPr>
        <w:widowControl w:val="0"/>
        <w:rPr>
          <w:rFonts w:ascii="Source Sans Pro" w:hAnsi="Source Sans Pro" w:cs="Arial"/>
          <w:sz w:val="16"/>
          <w:szCs w:val="16"/>
        </w:rPr>
      </w:pPr>
      <w:r>
        <w:rPr>
          <w:rFonts w:ascii="Source Sans Pro" w:hAnsi="Source Sans Pro"/>
          <w:sz w:val="16"/>
          <w:szCs w:val="16"/>
        </w:rPr>
        <w:t xml:space="preserve"> Source: German Property Partners (GPP)</w:t>
      </w:r>
    </w:p>
    <w:p w14:paraId="38A06C97" w14:textId="3AF4AAC2" w:rsidR="004001E7" w:rsidRDefault="004001E7">
      <w:pPr>
        <w:overflowPunct/>
        <w:autoSpaceDE/>
        <w:autoSpaceDN/>
        <w:adjustRightInd/>
        <w:textAlignment w:val="auto"/>
        <w:rPr>
          <w:rFonts w:ascii="Source Sans Pro SemiBold" w:hAnsi="Source Sans Pro SemiBold" w:cs="Source Sans Pro SemiBold"/>
          <w:b/>
          <w:bCs/>
          <w:caps/>
          <w:color w:val="0087A8"/>
          <w:sz w:val="18"/>
          <w:szCs w:val="18"/>
        </w:rPr>
      </w:pPr>
    </w:p>
    <w:p w14:paraId="0FC30111" w14:textId="77777777" w:rsidR="004001E7" w:rsidRDefault="004001E7">
      <w:pPr>
        <w:overflowPunct/>
        <w:autoSpaceDE/>
        <w:autoSpaceDN/>
        <w:adjustRightInd/>
        <w:textAlignment w:val="auto"/>
        <w:rPr>
          <w:rFonts w:ascii="Source Sans Pro SemiBold" w:hAnsi="Source Sans Pro SemiBold" w:cs="Source Sans Pro SemiBold"/>
          <w:b/>
          <w:bCs/>
          <w:caps/>
          <w:color w:val="0087A8"/>
          <w:sz w:val="18"/>
          <w:szCs w:val="18"/>
        </w:rPr>
      </w:pPr>
    </w:p>
    <w:p w14:paraId="4D4D8FE3" w14:textId="77777777" w:rsidR="006F7426" w:rsidRDefault="006F7426">
      <w:pPr>
        <w:overflowPunct/>
        <w:autoSpaceDE/>
        <w:autoSpaceDN/>
        <w:adjustRightInd/>
        <w:textAlignment w:val="auto"/>
        <w:rPr>
          <w:rFonts w:ascii="Source Sans Pro SemiBold" w:hAnsi="Source Sans Pro SemiBold" w:cs="Source Sans Pro SemiBold"/>
          <w:b/>
          <w:bCs/>
          <w:caps/>
          <w:color w:val="0087A8"/>
          <w:sz w:val="18"/>
          <w:szCs w:val="18"/>
        </w:rPr>
      </w:pPr>
      <w:r>
        <w:br w:type="page"/>
      </w:r>
    </w:p>
    <w:p w14:paraId="50B0AF24" w14:textId="744D1C8F" w:rsidR="00DA733A" w:rsidRPr="006456EA" w:rsidRDefault="00DA733A"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Pr>
          <w:rFonts w:ascii="Source Sans Pro SemiBold" w:hAnsi="Source Sans Pro SemiBold"/>
          <w:b/>
          <w:bCs/>
          <w:caps/>
          <w:color w:val="0087A8"/>
          <w:sz w:val="18"/>
          <w:szCs w:val="18"/>
        </w:rPr>
        <w:lastRenderedPageBreak/>
        <w:t xml:space="preserve">ABOUT GERMAN PROPERTY PARTNERS </w:t>
      </w:r>
    </w:p>
    <w:p w14:paraId="47B60849" w14:textId="77777777" w:rsidR="00E1280F" w:rsidRPr="00E1280F" w:rsidRDefault="00B0069C"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7" w:history="1">
        <w:r w:rsidR="00D05C7B">
          <w:rPr>
            <w:rFonts w:ascii="Source Sans Pro SemiBold" w:hAnsi="Source Sans Pro SemiBold"/>
            <w:bCs/>
            <w:caps/>
            <w:color w:val="0087A8"/>
            <w:sz w:val="18"/>
            <w:szCs w:val="18"/>
          </w:rPr>
          <w:t>German Property Partners</w:t>
        </w:r>
      </w:hyperlink>
      <w:r w:rsidR="00D05C7B">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4B150B6D" w14:textId="77777777" w:rsidR="00613E6C" w:rsidRPr="00E1280F" w:rsidRDefault="00613E6C" w:rsidP="00613E6C">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420 property specialists work for the network. Nationwide, German Property Partners brokered lets in 2021 involving 640,000 m² of commercial property, and managed investment transactions totalling €2.6bn.</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r>
        <w:rPr>
          <w:rFonts w:ascii="Source Sans Pro SemiBold" w:hAnsi="Source Sans Pro SemiBold"/>
          <w:b/>
          <w:bCs/>
          <w:color w:val="0087A8"/>
          <w:sz w:val="18"/>
          <w:szCs w:val="18"/>
        </w:rPr>
        <w:t>www.germanpropertypartners.de/en</w:t>
      </w:r>
    </w:p>
    <w:p w14:paraId="7E45B8A0"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468FAFF6" w14:textId="22EC1C81" w:rsidR="005C25D5" w:rsidRPr="009D7B86" w:rsidRDefault="004000A8" w:rsidP="009D7B86">
      <w:pPr>
        <w:pStyle w:val="EinfAbs"/>
        <w:tabs>
          <w:tab w:val="left" w:pos="200"/>
        </w:tabs>
        <w:spacing w:line="180" w:lineRule="exact"/>
        <w:jc w:val="both"/>
        <w:rPr>
          <w:rFonts w:ascii="Source Sans Pro" w:hAnsi="Source Sans Pro" w:cs="Source Sans Pro"/>
          <w:sz w:val="14"/>
          <w:szCs w:val="14"/>
        </w:rPr>
      </w:pPr>
      <w:r>
        <w:rPr>
          <w:sz w:val="14"/>
          <w:szCs w:val="14"/>
        </w:rPr>
        <w:t xml:space="preserve">German Property Partners’ </w:t>
      </w:r>
      <w:r>
        <w:rPr>
          <w:b/>
          <w:sz w:val="14"/>
          <w:szCs w:val="14"/>
        </w:rPr>
        <w:t>data protection declaration</w:t>
      </w:r>
      <w:r>
        <w:rPr>
          <w:sz w:val="14"/>
          <w:szCs w:val="14"/>
        </w:rPr>
        <w:t xml:space="preserve"> is available on the GPP website:</w:t>
      </w:r>
      <w:r>
        <w:rPr>
          <w:rFonts w:ascii="Source Sans Pro" w:hAnsi="Source Sans Pro"/>
          <w:sz w:val="14"/>
          <w:szCs w:val="14"/>
        </w:rPr>
        <w:t xml:space="preserve"> </w:t>
      </w:r>
      <w:hyperlink r:id="rId8" w:history="1">
        <w:r>
          <w:rPr>
            <w:rStyle w:val="Hyperlink"/>
            <w:rFonts w:ascii="Source Sans Pro" w:hAnsi="Source Sans Pro"/>
            <w:sz w:val="14"/>
            <w:szCs w:val="14"/>
          </w:rPr>
          <w:t>www.germanpropertypartners.de/datenschutz</w:t>
        </w:r>
      </w:hyperlink>
      <w:r>
        <w:rPr>
          <w:rFonts w:ascii="Source Sans Pro" w:hAnsi="Source Sans Pro"/>
          <w:sz w:val="14"/>
          <w:szCs w:val="14"/>
        </w:rPr>
        <w:t>. If in future you would prefer not to receive any more information from the GPP press office, please e-mail us at presse@germanpropertypartners.de quoting as reference "</w:t>
      </w:r>
      <w:proofErr w:type="spellStart"/>
      <w:r>
        <w:rPr>
          <w:rFonts w:ascii="Source Sans Pro" w:hAnsi="Source Sans Pro"/>
          <w:sz w:val="14"/>
          <w:szCs w:val="14"/>
        </w:rPr>
        <w:t>Abmeldung</w:t>
      </w:r>
      <w:proofErr w:type="spellEnd"/>
      <w:r>
        <w:rPr>
          <w:rFonts w:ascii="Source Sans Pro" w:hAnsi="Source Sans Pro"/>
          <w:sz w:val="14"/>
          <w:szCs w:val="14"/>
        </w:rPr>
        <w:t xml:space="preserve"> </w:t>
      </w:r>
      <w:proofErr w:type="spellStart"/>
      <w:r>
        <w:rPr>
          <w:rFonts w:ascii="Source Sans Pro" w:hAnsi="Source Sans Pro"/>
          <w:sz w:val="14"/>
          <w:szCs w:val="14"/>
        </w:rPr>
        <w:t>aus</w:t>
      </w:r>
      <w:proofErr w:type="spellEnd"/>
      <w:r>
        <w:rPr>
          <w:rFonts w:ascii="Source Sans Pro" w:hAnsi="Source Sans Pro"/>
          <w:sz w:val="14"/>
          <w:szCs w:val="14"/>
        </w:rPr>
        <w:t xml:space="preserve"> </w:t>
      </w:r>
      <w:proofErr w:type="spellStart"/>
      <w:r>
        <w:rPr>
          <w:rFonts w:ascii="Source Sans Pro" w:hAnsi="Source Sans Pro"/>
          <w:sz w:val="14"/>
          <w:szCs w:val="14"/>
        </w:rPr>
        <w:t>Presseverteiler</w:t>
      </w:r>
      <w:proofErr w:type="spellEnd"/>
      <w:r>
        <w:rPr>
          <w:rFonts w:ascii="Source Sans Pro" w:hAnsi="Source Sans Pro"/>
          <w:sz w:val="14"/>
          <w:szCs w:val="14"/>
        </w:rPr>
        <w:t xml:space="preserve">” / “Unsubscribe from press mailing list”. </w:t>
      </w:r>
      <w:bookmarkStart w:id="0" w:name="_GoBack"/>
      <w:bookmarkEnd w:id="0"/>
    </w:p>
    <w:sectPr w:rsidR="005C25D5" w:rsidRPr="009D7B86" w:rsidSect="001B786B">
      <w:headerReference w:type="default" r:id="rId9"/>
      <w:footerReference w:type="default" r:id="rId10"/>
      <w:headerReference w:type="first" r:id="rId11"/>
      <w:footerReference w:type="first" r:id="rId12"/>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0B0C2" w14:textId="77777777" w:rsidR="00CB0E44" w:rsidRDefault="00CB0E44">
      <w:r>
        <w:separator/>
      </w:r>
    </w:p>
  </w:endnote>
  <w:endnote w:type="continuationSeparator" w:id="0">
    <w:p w14:paraId="0EBB64C7" w14:textId="77777777" w:rsidR="00CB0E44" w:rsidRDefault="00CB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348E0280"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B0069C">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B0069C">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5D199B7F" w14:textId="2C9D187E"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Tel.: +49</w:t>
    </w:r>
    <w:r w:rsidR="0008484D">
      <w:rPr>
        <w:rFonts w:ascii="Source Sans Pro" w:hAnsi="Source Sans Pro"/>
        <w:color w:val="0087A8"/>
        <w:sz w:val="18"/>
        <w:szCs w:val="18"/>
      </w:rPr>
      <w:t xml:space="preserve"> 4</w:t>
    </w:r>
    <w:r>
      <w:rPr>
        <w:rFonts w:ascii="Source Sans Pro" w:hAnsi="Source Sans Pro"/>
        <w:color w:val="0087A8"/>
        <w:sz w:val="18"/>
        <w:szCs w:val="18"/>
      </w:rPr>
      <w:t xml:space="preserve">0 350802 -993 </w:t>
    </w:r>
  </w:p>
  <w:p w14:paraId="6F9C1B3C" w14:textId="000D340E"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Britt Finke</w:t>
    </w:r>
    <w:r>
      <w:rPr>
        <w:rFonts w:ascii="Source Sans Pro" w:hAnsi="Source Sans Pro"/>
        <w:color w:val="0087A8"/>
        <w:sz w:val="18"/>
        <w:szCs w:val="18"/>
      </w:rPr>
      <w:tab/>
      <w:t>presse@germanpropertypartners.de</w:t>
    </w:r>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289FABB0"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B0069C">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B0069C">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664ECE5C" w14:textId="0FA7CA9F"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Tel.: +49</w:t>
    </w:r>
    <w:r w:rsidR="0008484D">
      <w:rPr>
        <w:rFonts w:ascii="Source Sans Pro" w:hAnsi="Source Sans Pro"/>
        <w:color w:val="0087A8"/>
        <w:sz w:val="18"/>
        <w:szCs w:val="18"/>
      </w:rPr>
      <w:t xml:space="preserve"> 4</w:t>
    </w:r>
    <w:r>
      <w:rPr>
        <w:rFonts w:ascii="Source Sans Pro" w:hAnsi="Source Sans Pro"/>
        <w:color w:val="0087A8"/>
        <w:sz w:val="18"/>
        <w:szCs w:val="18"/>
      </w:rPr>
      <w:t xml:space="preserve">0 350802 -993 </w:t>
    </w:r>
  </w:p>
  <w:p w14:paraId="5F7CBAE8" w14:textId="1EADBBA1"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Britt Finke</w:t>
    </w:r>
    <w:r>
      <w:rPr>
        <w:rFonts w:ascii="Source Sans Pro" w:hAnsi="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6295C" w14:textId="77777777" w:rsidR="00CB0E44" w:rsidRDefault="00CB0E44">
      <w:r>
        <w:separator/>
      </w:r>
    </w:p>
  </w:footnote>
  <w:footnote w:type="continuationSeparator" w:id="0">
    <w:p w14:paraId="0EEE3A89" w14:textId="77777777" w:rsidR="00CB0E44" w:rsidRDefault="00CB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EDF03"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3819"/>
    <w:rsid w:val="00004E93"/>
    <w:rsid w:val="00007A82"/>
    <w:rsid w:val="00012426"/>
    <w:rsid w:val="000136D7"/>
    <w:rsid w:val="00013D73"/>
    <w:rsid w:val="00013FE8"/>
    <w:rsid w:val="000162F3"/>
    <w:rsid w:val="00020AC9"/>
    <w:rsid w:val="0002187D"/>
    <w:rsid w:val="00022CE1"/>
    <w:rsid w:val="00022F25"/>
    <w:rsid w:val="00024032"/>
    <w:rsid w:val="000243CC"/>
    <w:rsid w:val="00027EA3"/>
    <w:rsid w:val="00032028"/>
    <w:rsid w:val="00033F7F"/>
    <w:rsid w:val="0003409F"/>
    <w:rsid w:val="00034991"/>
    <w:rsid w:val="00035322"/>
    <w:rsid w:val="00041A34"/>
    <w:rsid w:val="000440EB"/>
    <w:rsid w:val="0005029E"/>
    <w:rsid w:val="00050787"/>
    <w:rsid w:val="00050C83"/>
    <w:rsid w:val="000513B0"/>
    <w:rsid w:val="000513D0"/>
    <w:rsid w:val="000548AC"/>
    <w:rsid w:val="00054FE9"/>
    <w:rsid w:val="00057246"/>
    <w:rsid w:val="000663B5"/>
    <w:rsid w:val="00066A8A"/>
    <w:rsid w:val="00071BAF"/>
    <w:rsid w:val="00075DE1"/>
    <w:rsid w:val="00077E8A"/>
    <w:rsid w:val="00082C59"/>
    <w:rsid w:val="000839E8"/>
    <w:rsid w:val="0008484D"/>
    <w:rsid w:val="00091562"/>
    <w:rsid w:val="00093286"/>
    <w:rsid w:val="0009382E"/>
    <w:rsid w:val="0009651C"/>
    <w:rsid w:val="000A4F68"/>
    <w:rsid w:val="000A4FBB"/>
    <w:rsid w:val="000A6A78"/>
    <w:rsid w:val="000B1744"/>
    <w:rsid w:val="000B310B"/>
    <w:rsid w:val="000B4143"/>
    <w:rsid w:val="000C36A5"/>
    <w:rsid w:val="000C3A22"/>
    <w:rsid w:val="000C5469"/>
    <w:rsid w:val="000C5B2A"/>
    <w:rsid w:val="000D6F2E"/>
    <w:rsid w:val="000D7FD3"/>
    <w:rsid w:val="000E1357"/>
    <w:rsid w:val="000E194E"/>
    <w:rsid w:val="000E6285"/>
    <w:rsid w:val="000E641E"/>
    <w:rsid w:val="000E6577"/>
    <w:rsid w:val="000E77DC"/>
    <w:rsid w:val="000E7EA5"/>
    <w:rsid w:val="000F57F1"/>
    <w:rsid w:val="000F6742"/>
    <w:rsid w:val="000F79F5"/>
    <w:rsid w:val="00101220"/>
    <w:rsid w:val="00103C4E"/>
    <w:rsid w:val="001116D7"/>
    <w:rsid w:val="00113D8C"/>
    <w:rsid w:val="00120624"/>
    <w:rsid w:val="0012156C"/>
    <w:rsid w:val="00127A45"/>
    <w:rsid w:val="001412C5"/>
    <w:rsid w:val="001416A0"/>
    <w:rsid w:val="001421F7"/>
    <w:rsid w:val="00143D80"/>
    <w:rsid w:val="0014498B"/>
    <w:rsid w:val="0014598D"/>
    <w:rsid w:val="00146881"/>
    <w:rsid w:val="001504EA"/>
    <w:rsid w:val="001550FE"/>
    <w:rsid w:val="00155828"/>
    <w:rsid w:val="00157F0D"/>
    <w:rsid w:val="001647B3"/>
    <w:rsid w:val="001668E1"/>
    <w:rsid w:val="00166ED2"/>
    <w:rsid w:val="00173AA4"/>
    <w:rsid w:val="0017641E"/>
    <w:rsid w:val="0018306F"/>
    <w:rsid w:val="00184BB0"/>
    <w:rsid w:val="00187963"/>
    <w:rsid w:val="0019039E"/>
    <w:rsid w:val="00194477"/>
    <w:rsid w:val="001963BB"/>
    <w:rsid w:val="00197E98"/>
    <w:rsid w:val="001A17F5"/>
    <w:rsid w:val="001A22F5"/>
    <w:rsid w:val="001A27D0"/>
    <w:rsid w:val="001A6FA9"/>
    <w:rsid w:val="001B786B"/>
    <w:rsid w:val="001C3E96"/>
    <w:rsid w:val="001C518B"/>
    <w:rsid w:val="001C5412"/>
    <w:rsid w:val="001C5D5B"/>
    <w:rsid w:val="001C6C29"/>
    <w:rsid w:val="001D3808"/>
    <w:rsid w:val="001D6D41"/>
    <w:rsid w:val="001E1829"/>
    <w:rsid w:val="001E5503"/>
    <w:rsid w:val="001E5CBD"/>
    <w:rsid w:val="001E67BE"/>
    <w:rsid w:val="001E6935"/>
    <w:rsid w:val="001E73A9"/>
    <w:rsid w:val="001F218D"/>
    <w:rsid w:val="001F35E1"/>
    <w:rsid w:val="00200C83"/>
    <w:rsid w:val="002014F7"/>
    <w:rsid w:val="00202DD3"/>
    <w:rsid w:val="002076E6"/>
    <w:rsid w:val="00220C0E"/>
    <w:rsid w:val="00223AD5"/>
    <w:rsid w:val="00226210"/>
    <w:rsid w:val="0022694F"/>
    <w:rsid w:val="002303B6"/>
    <w:rsid w:val="002324D5"/>
    <w:rsid w:val="002343E6"/>
    <w:rsid w:val="00235393"/>
    <w:rsid w:val="002371FE"/>
    <w:rsid w:val="00242061"/>
    <w:rsid w:val="00245D99"/>
    <w:rsid w:val="002468C0"/>
    <w:rsid w:val="002475A1"/>
    <w:rsid w:val="0025553E"/>
    <w:rsid w:val="00256D60"/>
    <w:rsid w:val="00257D1A"/>
    <w:rsid w:val="00261761"/>
    <w:rsid w:val="00264A0A"/>
    <w:rsid w:val="00266EAB"/>
    <w:rsid w:val="00270180"/>
    <w:rsid w:val="0027217C"/>
    <w:rsid w:val="002779E9"/>
    <w:rsid w:val="0028070D"/>
    <w:rsid w:val="002808A5"/>
    <w:rsid w:val="00281464"/>
    <w:rsid w:val="00282ED8"/>
    <w:rsid w:val="00285B5B"/>
    <w:rsid w:val="00296FF7"/>
    <w:rsid w:val="002A054F"/>
    <w:rsid w:val="002A09C2"/>
    <w:rsid w:val="002A1615"/>
    <w:rsid w:val="002A179D"/>
    <w:rsid w:val="002A255F"/>
    <w:rsid w:val="002A3A37"/>
    <w:rsid w:val="002A3CF3"/>
    <w:rsid w:val="002A41A8"/>
    <w:rsid w:val="002A480D"/>
    <w:rsid w:val="002A543B"/>
    <w:rsid w:val="002A59DD"/>
    <w:rsid w:val="002A7D58"/>
    <w:rsid w:val="002B1AE6"/>
    <w:rsid w:val="002B35AD"/>
    <w:rsid w:val="002B4422"/>
    <w:rsid w:val="002B537B"/>
    <w:rsid w:val="002C15F8"/>
    <w:rsid w:val="002C2A26"/>
    <w:rsid w:val="002C2AF3"/>
    <w:rsid w:val="002C52C5"/>
    <w:rsid w:val="002D59CF"/>
    <w:rsid w:val="002D5B8F"/>
    <w:rsid w:val="002E0FB5"/>
    <w:rsid w:val="002E1470"/>
    <w:rsid w:val="002E58D4"/>
    <w:rsid w:val="002E7B19"/>
    <w:rsid w:val="002F3B9E"/>
    <w:rsid w:val="002F461A"/>
    <w:rsid w:val="002F746F"/>
    <w:rsid w:val="00304877"/>
    <w:rsid w:val="00304FB9"/>
    <w:rsid w:val="003054EB"/>
    <w:rsid w:val="003152C9"/>
    <w:rsid w:val="00316196"/>
    <w:rsid w:val="00324EA0"/>
    <w:rsid w:val="003250ED"/>
    <w:rsid w:val="003278F6"/>
    <w:rsid w:val="0033523C"/>
    <w:rsid w:val="00337E28"/>
    <w:rsid w:val="00341D84"/>
    <w:rsid w:val="003424EC"/>
    <w:rsid w:val="00343846"/>
    <w:rsid w:val="0034454C"/>
    <w:rsid w:val="00344A31"/>
    <w:rsid w:val="00347D11"/>
    <w:rsid w:val="0035249E"/>
    <w:rsid w:val="00355438"/>
    <w:rsid w:val="00355ED1"/>
    <w:rsid w:val="00357E06"/>
    <w:rsid w:val="00363075"/>
    <w:rsid w:val="00364BAF"/>
    <w:rsid w:val="00366AF3"/>
    <w:rsid w:val="00370BFB"/>
    <w:rsid w:val="003713C9"/>
    <w:rsid w:val="00371640"/>
    <w:rsid w:val="00371F87"/>
    <w:rsid w:val="00374F87"/>
    <w:rsid w:val="00381D14"/>
    <w:rsid w:val="00392C51"/>
    <w:rsid w:val="003948FA"/>
    <w:rsid w:val="003A0C65"/>
    <w:rsid w:val="003A463F"/>
    <w:rsid w:val="003A6202"/>
    <w:rsid w:val="003B3E23"/>
    <w:rsid w:val="003B5C7B"/>
    <w:rsid w:val="003B7A7E"/>
    <w:rsid w:val="003D2029"/>
    <w:rsid w:val="003D36F0"/>
    <w:rsid w:val="003D40B2"/>
    <w:rsid w:val="003D5215"/>
    <w:rsid w:val="003D6537"/>
    <w:rsid w:val="003E4A45"/>
    <w:rsid w:val="003E772C"/>
    <w:rsid w:val="003F293B"/>
    <w:rsid w:val="003F4EE7"/>
    <w:rsid w:val="003F5E07"/>
    <w:rsid w:val="004000A8"/>
    <w:rsid w:val="004001E7"/>
    <w:rsid w:val="0040331F"/>
    <w:rsid w:val="00403481"/>
    <w:rsid w:val="00403C95"/>
    <w:rsid w:val="0041251D"/>
    <w:rsid w:val="00414726"/>
    <w:rsid w:val="00422B53"/>
    <w:rsid w:val="00423DAC"/>
    <w:rsid w:val="00425DBF"/>
    <w:rsid w:val="004329C6"/>
    <w:rsid w:val="004343B1"/>
    <w:rsid w:val="00434EB9"/>
    <w:rsid w:val="00445495"/>
    <w:rsid w:val="004501A9"/>
    <w:rsid w:val="004520A6"/>
    <w:rsid w:val="004530E4"/>
    <w:rsid w:val="00453BB0"/>
    <w:rsid w:val="00453F14"/>
    <w:rsid w:val="004563C8"/>
    <w:rsid w:val="00456442"/>
    <w:rsid w:val="00462567"/>
    <w:rsid w:val="004642B7"/>
    <w:rsid w:val="004651EC"/>
    <w:rsid w:val="00466B99"/>
    <w:rsid w:val="00467174"/>
    <w:rsid w:val="0047027D"/>
    <w:rsid w:val="00474003"/>
    <w:rsid w:val="00474099"/>
    <w:rsid w:val="00474DEF"/>
    <w:rsid w:val="00483578"/>
    <w:rsid w:val="004903D0"/>
    <w:rsid w:val="00491CBC"/>
    <w:rsid w:val="004A2A30"/>
    <w:rsid w:val="004A2D54"/>
    <w:rsid w:val="004A5F84"/>
    <w:rsid w:val="004A6E04"/>
    <w:rsid w:val="004A7421"/>
    <w:rsid w:val="004B2FC8"/>
    <w:rsid w:val="004B5CB6"/>
    <w:rsid w:val="004C616B"/>
    <w:rsid w:val="004D21F1"/>
    <w:rsid w:val="004D2288"/>
    <w:rsid w:val="004D2CD0"/>
    <w:rsid w:val="004D5D1F"/>
    <w:rsid w:val="004E0775"/>
    <w:rsid w:val="004E6B98"/>
    <w:rsid w:val="004F1EDD"/>
    <w:rsid w:val="004F46C1"/>
    <w:rsid w:val="004F5684"/>
    <w:rsid w:val="004F77D4"/>
    <w:rsid w:val="00500981"/>
    <w:rsid w:val="00500AD6"/>
    <w:rsid w:val="0050304A"/>
    <w:rsid w:val="005045E7"/>
    <w:rsid w:val="00510C33"/>
    <w:rsid w:val="005122A0"/>
    <w:rsid w:val="00515641"/>
    <w:rsid w:val="00520B8C"/>
    <w:rsid w:val="00524925"/>
    <w:rsid w:val="00527911"/>
    <w:rsid w:val="005306BF"/>
    <w:rsid w:val="005319DF"/>
    <w:rsid w:val="0054038E"/>
    <w:rsid w:val="00541FE4"/>
    <w:rsid w:val="0054593A"/>
    <w:rsid w:val="00546364"/>
    <w:rsid w:val="005476AA"/>
    <w:rsid w:val="00554C9F"/>
    <w:rsid w:val="00557B57"/>
    <w:rsid w:val="005644BE"/>
    <w:rsid w:val="00567755"/>
    <w:rsid w:val="0057524E"/>
    <w:rsid w:val="00575A55"/>
    <w:rsid w:val="00580A44"/>
    <w:rsid w:val="005810F0"/>
    <w:rsid w:val="00583BFE"/>
    <w:rsid w:val="00593ABF"/>
    <w:rsid w:val="00596092"/>
    <w:rsid w:val="005A2517"/>
    <w:rsid w:val="005A5999"/>
    <w:rsid w:val="005A7DA9"/>
    <w:rsid w:val="005C25D5"/>
    <w:rsid w:val="005C2998"/>
    <w:rsid w:val="005D0D0E"/>
    <w:rsid w:val="005D1D6F"/>
    <w:rsid w:val="005D2A11"/>
    <w:rsid w:val="005D449F"/>
    <w:rsid w:val="005D73BE"/>
    <w:rsid w:val="005E21DE"/>
    <w:rsid w:val="005E6515"/>
    <w:rsid w:val="005E730D"/>
    <w:rsid w:val="005F0393"/>
    <w:rsid w:val="005F0579"/>
    <w:rsid w:val="005F27EF"/>
    <w:rsid w:val="005F3B7B"/>
    <w:rsid w:val="005F5AF2"/>
    <w:rsid w:val="005F7547"/>
    <w:rsid w:val="0060257F"/>
    <w:rsid w:val="00605989"/>
    <w:rsid w:val="006079F0"/>
    <w:rsid w:val="006110D3"/>
    <w:rsid w:val="00613713"/>
    <w:rsid w:val="00613E6C"/>
    <w:rsid w:val="0062180F"/>
    <w:rsid w:val="006224FB"/>
    <w:rsid w:val="006251C0"/>
    <w:rsid w:val="00626723"/>
    <w:rsid w:val="006271DD"/>
    <w:rsid w:val="0063115F"/>
    <w:rsid w:val="006363DA"/>
    <w:rsid w:val="00640E69"/>
    <w:rsid w:val="00642C73"/>
    <w:rsid w:val="006432C0"/>
    <w:rsid w:val="006456EA"/>
    <w:rsid w:val="00650F25"/>
    <w:rsid w:val="00653983"/>
    <w:rsid w:val="00653C12"/>
    <w:rsid w:val="00655943"/>
    <w:rsid w:val="006609C2"/>
    <w:rsid w:val="0066316A"/>
    <w:rsid w:val="00664262"/>
    <w:rsid w:val="0066789C"/>
    <w:rsid w:val="00670450"/>
    <w:rsid w:val="0067133D"/>
    <w:rsid w:val="00675BA1"/>
    <w:rsid w:val="00675E89"/>
    <w:rsid w:val="00681EC4"/>
    <w:rsid w:val="006825B4"/>
    <w:rsid w:val="00683C6C"/>
    <w:rsid w:val="00684F14"/>
    <w:rsid w:val="006853DC"/>
    <w:rsid w:val="00685E14"/>
    <w:rsid w:val="006904F7"/>
    <w:rsid w:val="00695F46"/>
    <w:rsid w:val="006A3C35"/>
    <w:rsid w:val="006A49B1"/>
    <w:rsid w:val="006A5E3F"/>
    <w:rsid w:val="006A6D11"/>
    <w:rsid w:val="006B2259"/>
    <w:rsid w:val="006B2684"/>
    <w:rsid w:val="006B5252"/>
    <w:rsid w:val="006C1FF3"/>
    <w:rsid w:val="006C47D0"/>
    <w:rsid w:val="006C4890"/>
    <w:rsid w:val="006C5754"/>
    <w:rsid w:val="006C5831"/>
    <w:rsid w:val="006C71D1"/>
    <w:rsid w:val="006D2948"/>
    <w:rsid w:val="006D6526"/>
    <w:rsid w:val="006D7431"/>
    <w:rsid w:val="006D7E9F"/>
    <w:rsid w:val="006E03E0"/>
    <w:rsid w:val="006E0E09"/>
    <w:rsid w:val="006E3B37"/>
    <w:rsid w:val="006E60AE"/>
    <w:rsid w:val="006E674D"/>
    <w:rsid w:val="006E6770"/>
    <w:rsid w:val="006F12A8"/>
    <w:rsid w:val="006F154A"/>
    <w:rsid w:val="006F36FE"/>
    <w:rsid w:val="006F3F00"/>
    <w:rsid w:val="006F7426"/>
    <w:rsid w:val="00700A62"/>
    <w:rsid w:val="0070136B"/>
    <w:rsid w:val="0070230A"/>
    <w:rsid w:val="0070363C"/>
    <w:rsid w:val="00712023"/>
    <w:rsid w:val="007144E9"/>
    <w:rsid w:val="00714A1F"/>
    <w:rsid w:val="007150E5"/>
    <w:rsid w:val="00715FC4"/>
    <w:rsid w:val="00717328"/>
    <w:rsid w:val="0072073D"/>
    <w:rsid w:val="00720F0F"/>
    <w:rsid w:val="007366B7"/>
    <w:rsid w:val="00742C04"/>
    <w:rsid w:val="007451D2"/>
    <w:rsid w:val="0074571D"/>
    <w:rsid w:val="00762055"/>
    <w:rsid w:val="007627C8"/>
    <w:rsid w:val="0076566A"/>
    <w:rsid w:val="0076666B"/>
    <w:rsid w:val="00766717"/>
    <w:rsid w:val="00767CEF"/>
    <w:rsid w:val="00771C92"/>
    <w:rsid w:val="00772470"/>
    <w:rsid w:val="007832C8"/>
    <w:rsid w:val="00785D9C"/>
    <w:rsid w:val="00792884"/>
    <w:rsid w:val="00797DA3"/>
    <w:rsid w:val="007A4844"/>
    <w:rsid w:val="007B3142"/>
    <w:rsid w:val="007B33CE"/>
    <w:rsid w:val="007B6292"/>
    <w:rsid w:val="007B7B81"/>
    <w:rsid w:val="007C2FA3"/>
    <w:rsid w:val="007D1495"/>
    <w:rsid w:val="007D452D"/>
    <w:rsid w:val="007D5A52"/>
    <w:rsid w:val="007D6D1D"/>
    <w:rsid w:val="007D75C8"/>
    <w:rsid w:val="007E2C66"/>
    <w:rsid w:val="007E6244"/>
    <w:rsid w:val="007F02A1"/>
    <w:rsid w:val="007F056B"/>
    <w:rsid w:val="007F1021"/>
    <w:rsid w:val="007F2DBB"/>
    <w:rsid w:val="007F44B7"/>
    <w:rsid w:val="007F4D32"/>
    <w:rsid w:val="007F7E7C"/>
    <w:rsid w:val="008010F4"/>
    <w:rsid w:val="0080489D"/>
    <w:rsid w:val="00810F59"/>
    <w:rsid w:val="008113A7"/>
    <w:rsid w:val="00812A5A"/>
    <w:rsid w:val="00812BD4"/>
    <w:rsid w:val="0081554E"/>
    <w:rsid w:val="00821A81"/>
    <w:rsid w:val="00826C30"/>
    <w:rsid w:val="0082758F"/>
    <w:rsid w:val="00833779"/>
    <w:rsid w:val="008373FC"/>
    <w:rsid w:val="0084144F"/>
    <w:rsid w:val="00846E84"/>
    <w:rsid w:val="00856A7C"/>
    <w:rsid w:val="00866CE1"/>
    <w:rsid w:val="008739E7"/>
    <w:rsid w:val="00873F7F"/>
    <w:rsid w:val="00874645"/>
    <w:rsid w:val="00881685"/>
    <w:rsid w:val="00882014"/>
    <w:rsid w:val="008844D9"/>
    <w:rsid w:val="00891C3A"/>
    <w:rsid w:val="008931F2"/>
    <w:rsid w:val="00895BBC"/>
    <w:rsid w:val="00897490"/>
    <w:rsid w:val="008A3A3B"/>
    <w:rsid w:val="008A41AF"/>
    <w:rsid w:val="008A5E54"/>
    <w:rsid w:val="008A6F0D"/>
    <w:rsid w:val="008A7188"/>
    <w:rsid w:val="008B12B4"/>
    <w:rsid w:val="008C1EBB"/>
    <w:rsid w:val="008C7031"/>
    <w:rsid w:val="008D1D28"/>
    <w:rsid w:val="008D24F1"/>
    <w:rsid w:val="008D4B5C"/>
    <w:rsid w:val="008D6864"/>
    <w:rsid w:val="008D6B2E"/>
    <w:rsid w:val="008E5C25"/>
    <w:rsid w:val="008F10AF"/>
    <w:rsid w:val="008F2058"/>
    <w:rsid w:val="008F5B37"/>
    <w:rsid w:val="009027D0"/>
    <w:rsid w:val="009044A3"/>
    <w:rsid w:val="009064CE"/>
    <w:rsid w:val="009073DF"/>
    <w:rsid w:val="00912233"/>
    <w:rsid w:val="009122D1"/>
    <w:rsid w:val="00917410"/>
    <w:rsid w:val="009264D0"/>
    <w:rsid w:val="009312C4"/>
    <w:rsid w:val="0093360A"/>
    <w:rsid w:val="009358D3"/>
    <w:rsid w:val="00955433"/>
    <w:rsid w:val="00955764"/>
    <w:rsid w:val="00957A6F"/>
    <w:rsid w:val="0096223F"/>
    <w:rsid w:val="009649C2"/>
    <w:rsid w:val="00965DEB"/>
    <w:rsid w:val="00971DF5"/>
    <w:rsid w:val="00973056"/>
    <w:rsid w:val="009738DE"/>
    <w:rsid w:val="009758E9"/>
    <w:rsid w:val="00977A0F"/>
    <w:rsid w:val="00980BEB"/>
    <w:rsid w:val="00980D94"/>
    <w:rsid w:val="00982F7B"/>
    <w:rsid w:val="009843D4"/>
    <w:rsid w:val="00984642"/>
    <w:rsid w:val="00986E5B"/>
    <w:rsid w:val="0099076D"/>
    <w:rsid w:val="0099690F"/>
    <w:rsid w:val="00996D38"/>
    <w:rsid w:val="00997675"/>
    <w:rsid w:val="009A3211"/>
    <w:rsid w:val="009A53E2"/>
    <w:rsid w:val="009A7F51"/>
    <w:rsid w:val="009B008F"/>
    <w:rsid w:val="009B0873"/>
    <w:rsid w:val="009B7E8C"/>
    <w:rsid w:val="009C11F2"/>
    <w:rsid w:val="009C3FDE"/>
    <w:rsid w:val="009C51BD"/>
    <w:rsid w:val="009C7CAD"/>
    <w:rsid w:val="009D0055"/>
    <w:rsid w:val="009D686B"/>
    <w:rsid w:val="009D7B86"/>
    <w:rsid w:val="009E2200"/>
    <w:rsid w:val="009E6FDF"/>
    <w:rsid w:val="009F1B81"/>
    <w:rsid w:val="009F2742"/>
    <w:rsid w:val="009F28F5"/>
    <w:rsid w:val="009F2DA7"/>
    <w:rsid w:val="009F540E"/>
    <w:rsid w:val="009F7BCF"/>
    <w:rsid w:val="00A00ACE"/>
    <w:rsid w:val="00A02E49"/>
    <w:rsid w:val="00A0582F"/>
    <w:rsid w:val="00A0717D"/>
    <w:rsid w:val="00A07846"/>
    <w:rsid w:val="00A159F8"/>
    <w:rsid w:val="00A17CA6"/>
    <w:rsid w:val="00A2086A"/>
    <w:rsid w:val="00A20DD4"/>
    <w:rsid w:val="00A217D6"/>
    <w:rsid w:val="00A2291B"/>
    <w:rsid w:val="00A22C2C"/>
    <w:rsid w:val="00A3032A"/>
    <w:rsid w:val="00A346EF"/>
    <w:rsid w:val="00A35294"/>
    <w:rsid w:val="00A36855"/>
    <w:rsid w:val="00A54087"/>
    <w:rsid w:val="00A549F3"/>
    <w:rsid w:val="00A56202"/>
    <w:rsid w:val="00A65690"/>
    <w:rsid w:val="00A65FB0"/>
    <w:rsid w:val="00A66A23"/>
    <w:rsid w:val="00A67512"/>
    <w:rsid w:val="00A710CE"/>
    <w:rsid w:val="00A743C6"/>
    <w:rsid w:val="00A83F7B"/>
    <w:rsid w:val="00A908C3"/>
    <w:rsid w:val="00A909D7"/>
    <w:rsid w:val="00A9412B"/>
    <w:rsid w:val="00A95739"/>
    <w:rsid w:val="00A96A38"/>
    <w:rsid w:val="00AB2F7B"/>
    <w:rsid w:val="00AB300C"/>
    <w:rsid w:val="00AB3B1B"/>
    <w:rsid w:val="00AB449B"/>
    <w:rsid w:val="00AB54A8"/>
    <w:rsid w:val="00AB69AD"/>
    <w:rsid w:val="00AB7F28"/>
    <w:rsid w:val="00AC00F8"/>
    <w:rsid w:val="00AC282E"/>
    <w:rsid w:val="00AC6775"/>
    <w:rsid w:val="00AC6B15"/>
    <w:rsid w:val="00AC6B2A"/>
    <w:rsid w:val="00AC7376"/>
    <w:rsid w:val="00AD2569"/>
    <w:rsid w:val="00AD3799"/>
    <w:rsid w:val="00AD4124"/>
    <w:rsid w:val="00AD49EB"/>
    <w:rsid w:val="00AD6D82"/>
    <w:rsid w:val="00AE027C"/>
    <w:rsid w:val="00AE0761"/>
    <w:rsid w:val="00AE07A3"/>
    <w:rsid w:val="00AE0E7B"/>
    <w:rsid w:val="00AE2412"/>
    <w:rsid w:val="00AE318F"/>
    <w:rsid w:val="00AE4AB8"/>
    <w:rsid w:val="00AE6F47"/>
    <w:rsid w:val="00AE7264"/>
    <w:rsid w:val="00AF13F6"/>
    <w:rsid w:val="00AF202A"/>
    <w:rsid w:val="00AF237D"/>
    <w:rsid w:val="00AF2F5E"/>
    <w:rsid w:val="00AF7492"/>
    <w:rsid w:val="00AF76E5"/>
    <w:rsid w:val="00B005BD"/>
    <w:rsid w:val="00B0069C"/>
    <w:rsid w:val="00B03444"/>
    <w:rsid w:val="00B03542"/>
    <w:rsid w:val="00B04F23"/>
    <w:rsid w:val="00B14E68"/>
    <w:rsid w:val="00B2073F"/>
    <w:rsid w:val="00B21268"/>
    <w:rsid w:val="00B220E3"/>
    <w:rsid w:val="00B226FB"/>
    <w:rsid w:val="00B23669"/>
    <w:rsid w:val="00B24860"/>
    <w:rsid w:val="00B30599"/>
    <w:rsid w:val="00B3154F"/>
    <w:rsid w:val="00B340CD"/>
    <w:rsid w:val="00B352CB"/>
    <w:rsid w:val="00B364E2"/>
    <w:rsid w:val="00B36CFA"/>
    <w:rsid w:val="00B37CEC"/>
    <w:rsid w:val="00B41CC3"/>
    <w:rsid w:val="00B4714C"/>
    <w:rsid w:val="00B47620"/>
    <w:rsid w:val="00B47AA6"/>
    <w:rsid w:val="00B50A63"/>
    <w:rsid w:val="00B54FF3"/>
    <w:rsid w:val="00B56233"/>
    <w:rsid w:val="00B56AFB"/>
    <w:rsid w:val="00B56B12"/>
    <w:rsid w:val="00B576A5"/>
    <w:rsid w:val="00B62EDB"/>
    <w:rsid w:val="00B64450"/>
    <w:rsid w:val="00B66510"/>
    <w:rsid w:val="00B71718"/>
    <w:rsid w:val="00B717E3"/>
    <w:rsid w:val="00B71BBD"/>
    <w:rsid w:val="00B72F21"/>
    <w:rsid w:val="00B75E05"/>
    <w:rsid w:val="00B776EA"/>
    <w:rsid w:val="00B83DA7"/>
    <w:rsid w:val="00B862DB"/>
    <w:rsid w:val="00B922EE"/>
    <w:rsid w:val="00B93E98"/>
    <w:rsid w:val="00B9596E"/>
    <w:rsid w:val="00BA3A43"/>
    <w:rsid w:val="00BA6227"/>
    <w:rsid w:val="00BB0F85"/>
    <w:rsid w:val="00BB21C3"/>
    <w:rsid w:val="00BB3A1A"/>
    <w:rsid w:val="00BC0132"/>
    <w:rsid w:val="00BC0598"/>
    <w:rsid w:val="00BC40CC"/>
    <w:rsid w:val="00BC410C"/>
    <w:rsid w:val="00BC72A5"/>
    <w:rsid w:val="00BD0426"/>
    <w:rsid w:val="00BD10B3"/>
    <w:rsid w:val="00BD1FB9"/>
    <w:rsid w:val="00BD2784"/>
    <w:rsid w:val="00BE0C9E"/>
    <w:rsid w:val="00BE4F61"/>
    <w:rsid w:val="00BF11C6"/>
    <w:rsid w:val="00BF3D93"/>
    <w:rsid w:val="00BF5F7B"/>
    <w:rsid w:val="00BF69F6"/>
    <w:rsid w:val="00BF702E"/>
    <w:rsid w:val="00C045F4"/>
    <w:rsid w:val="00C11004"/>
    <w:rsid w:val="00C111FE"/>
    <w:rsid w:val="00C14446"/>
    <w:rsid w:val="00C1497F"/>
    <w:rsid w:val="00C15B1E"/>
    <w:rsid w:val="00C20B9C"/>
    <w:rsid w:val="00C2509E"/>
    <w:rsid w:val="00C2778C"/>
    <w:rsid w:val="00C27F6A"/>
    <w:rsid w:val="00C35841"/>
    <w:rsid w:val="00C41C74"/>
    <w:rsid w:val="00C43C76"/>
    <w:rsid w:val="00C47F8B"/>
    <w:rsid w:val="00C52723"/>
    <w:rsid w:val="00C53318"/>
    <w:rsid w:val="00C616A4"/>
    <w:rsid w:val="00C64096"/>
    <w:rsid w:val="00C654E1"/>
    <w:rsid w:val="00C6661C"/>
    <w:rsid w:val="00C7027E"/>
    <w:rsid w:val="00C70FAD"/>
    <w:rsid w:val="00C83CDB"/>
    <w:rsid w:val="00C846F6"/>
    <w:rsid w:val="00C852DE"/>
    <w:rsid w:val="00C85B10"/>
    <w:rsid w:val="00C86ED7"/>
    <w:rsid w:val="00C91E63"/>
    <w:rsid w:val="00C93CE8"/>
    <w:rsid w:val="00C96048"/>
    <w:rsid w:val="00C96214"/>
    <w:rsid w:val="00C9797F"/>
    <w:rsid w:val="00CA1645"/>
    <w:rsid w:val="00CA1FB9"/>
    <w:rsid w:val="00CA2523"/>
    <w:rsid w:val="00CA6DFD"/>
    <w:rsid w:val="00CA73C1"/>
    <w:rsid w:val="00CA79D7"/>
    <w:rsid w:val="00CB0E44"/>
    <w:rsid w:val="00CB424C"/>
    <w:rsid w:val="00CB52E2"/>
    <w:rsid w:val="00CC40B9"/>
    <w:rsid w:val="00CC646D"/>
    <w:rsid w:val="00CC7CBA"/>
    <w:rsid w:val="00CD463B"/>
    <w:rsid w:val="00CD4CF5"/>
    <w:rsid w:val="00CD687A"/>
    <w:rsid w:val="00CD77DD"/>
    <w:rsid w:val="00CD7E39"/>
    <w:rsid w:val="00CE1436"/>
    <w:rsid w:val="00CE28CA"/>
    <w:rsid w:val="00CE2EFB"/>
    <w:rsid w:val="00CE5A10"/>
    <w:rsid w:val="00CE6E4A"/>
    <w:rsid w:val="00CE7A62"/>
    <w:rsid w:val="00CF1BE1"/>
    <w:rsid w:val="00CF6D99"/>
    <w:rsid w:val="00D002D6"/>
    <w:rsid w:val="00D005AD"/>
    <w:rsid w:val="00D0256F"/>
    <w:rsid w:val="00D02FD8"/>
    <w:rsid w:val="00D048AF"/>
    <w:rsid w:val="00D05C7B"/>
    <w:rsid w:val="00D10832"/>
    <w:rsid w:val="00D145A9"/>
    <w:rsid w:val="00D1647B"/>
    <w:rsid w:val="00D24EAF"/>
    <w:rsid w:val="00D30707"/>
    <w:rsid w:val="00D3104C"/>
    <w:rsid w:val="00D41ABC"/>
    <w:rsid w:val="00D451F2"/>
    <w:rsid w:val="00D478CC"/>
    <w:rsid w:val="00D50FDD"/>
    <w:rsid w:val="00D51669"/>
    <w:rsid w:val="00D602AC"/>
    <w:rsid w:val="00D60741"/>
    <w:rsid w:val="00D675B4"/>
    <w:rsid w:val="00D70824"/>
    <w:rsid w:val="00D70F9E"/>
    <w:rsid w:val="00D760A9"/>
    <w:rsid w:val="00D845D6"/>
    <w:rsid w:val="00D84935"/>
    <w:rsid w:val="00D925B8"/>
    <w:rsid w:val="00D92C1C"/>
    <w:rsid w:val="00D92E46"/>
    <w:rsid w:val="00D95197"/>
    <w:rsid w:val="00DA0D62"/>
    <w:rsid w:val="00DA1539"/>
    <w:rsid w:val="00DA3B66"/>
    <w:rsid w:val="00DA6836"/>
    <w:rsid w:val="00DA733A"/>
    <w:rsid w:val="00DB2417"/>
    <w:rsid w:val="00DC05A3"/>
    <w:rsid w:val="00DC0951"/>
    <w:rsid w:val="00DC4528"/>
    <w:rsid w:val="00DC6A0C"/>
    <w:rsid w:val="00DC7EB8"/>
    <w:rsid w:val="00DD2947"/>
    <w:rsid w:val="00DD3BDB"/>
    <w:rsid w:val="00DE0A3B"/>
    <w:rsid w:val="00DE1AAC"/>
    <w:rsid w:val="00DE2669"/>
    <w:rsid w:val="00DE6137"/>
    <w:rsid w:val="00DF0568"/>
    <w:rsid w:val="00DF1EEF"/>
    <w:rsid w:val="00DF226F"/>
    <w:rsid w:val="00DF25FA"/>
    <w:rsid w:val="00DF2B8B"/>
    <w:rsid w:val="00DF6423"/>
    <w:rsid w:val="00E03DB3"/>
    <w:rsid w:val="00E04456"/>
    <w:rsid w:val="00E05ECE"/>
    <w:rsid w:val="00E1280F"/>
    <w:rsid w:val="00E174D6"/>
    <w:rsid w:val="00E17B2C"/>
    <w:rsid w:val="00E20271"/>
    <w:rsid w:val="00E27DEF"/>
    <w:rsid w:val="00E32743"/>
    <w:rsid w:val="00E342C7"/>
    <w:rsid w:val="00E354F6"/>
    <w:rsid w:val="00E404DC"/>
    <w:rsid w:val="00E40B33"/>
    <w:rsid w:val="00E41A83"/>
    <w:rsid w:val="00E4317C"/>
    <w:rsid w:val="00E503CC"/>
    <w:rsid w:val="00E51A3A"/>
    <w:rsid w:val="00E52683"/>
    <w:rsid w:val="00E5286F"/>
    <w:rsid w:val="00E606F4"/>
    <w:rsid w:val="00E61E55"/>
    <w:rsid w:val="00E63703"/>
    <w:rsid w:val="00E66C4A"/>
    <w:rsid w:val="00E704C6"/>
    <w:rsid w:val="00E75185"/>
    <w:rsid w:val="00E75E5A"/>
    <w:rsid w:val="00E761C9"/>
    <w:rsid w:val="00E775AC"/>
    <w:rsid w:val="00E77B98"/>
    <w:rsid w:val="00E80907"/>
    <w:rsid w:val="00E8471E"/>
    <w:rsid w:val="00E8594D"/>
    <w:rsid w:val="00E9085A"/>
    <w:rsid w:val="00E9241E"/>
    <w:rsid w:val="00E942DA"/>
    <w:rsid w:val="00E94EF3"/>
    <w:rsid w:val="00E959E9"/>
    <w:rsid w:val="00E95E00"/>
    <w:rsid w:val="00E96A90"/>
    <w:rsid w:val="00E9704C"/>
    <w:rsid w:val="00E97167"/>
    <w:rsid w:val="00EB19E5"/>
    <w:rsid w:val="00EB249C"/>
    <w:rsid w:val="00EB4564"/>
    <w:rsid w:val="00EB468A"/>
    <w:rsid w:val="00EB5647"/>
    <w:rsid w:val="00EB760B"/>
    <w:rsid w:val="00EC0D1A"/>
    <w:rsid w:val="00EC1FDA"/>
    <w:rsid w:val="00EC228B"/>
    <w:rsid w:val="00EC3DC1"/>
    <w:rsid w:val="00EC642F"/>
    <w:rsid w:val="00EC6CC2"/>
    <w:rsid w:val="00EC76D2"/>
    <w:rsid w:val="00ED0970"/>
    <w:rsid w:val="00ED2A61"/>
    <w:rsid w:val="00ED40B1"/>
    <w:rsid w:val="00ED6DCA"/>
    <w:rsid w:val="00EE6C7C"/>
    <w:rsid w:val="00EF1E22"/>
    <w:rsid w:val="00EF20B1"/>
    <w:rsid w:val="00EF7BE7"/>
    <w:rsid w:val="00F00604"/>
    <w:rsid w:val="00F00CF2"/>
    <w:rsid w:val="00F011B6"/>
    <w:rsid w:val="00F01486"/>
    <w:rsid w:val="00F01C8D"/>
    <w:rsid w:val="00F05141"/>
    <w:rsid w:val="00F076C1"/>
    <w:rsid w:val="00F119A6"/>
    <w:rsid w:val="00F16436"/>
    <w:rsid w:val="00F167CB"/>
    <w:rsid w:val="00F2164E"/>
    <w:rsid w:val="00F21813"/>
    <w:rsid w:val="00F218D7"/>
    <w:rsid w:val="00F23AFC"/>
    <w:rsid w:val="00F23C99"/>
    <w:rsid w:val="00F240EB"/>
    <w:rsid w:val="00F315FE"/>
    <w:rsid w:val="00F31FE6"/>
    <w:rsid w:val="00F36BED"/>
    <w:rsid w:val="00F41264"/>
    <w:rsid w:val="00F41FFE"/>
    <w:rsid w:val="00F44BD5"/>
    <w:rsid w:val="00F45BB8"/>
    <w:rsid w:val="00F46F19"/>
    <w:rsid w:val="00F4757C"/>
    <w:rsid w:val="00F53E0E"/>
    <w:rsid w:val="00F53F80"/>
    <w:rsid w:val="00F5697E"/>
    <w:rsid w:val="00F63BFA"/>
    <w:rsid w:val="00F64376"/>
    <w:rsid w:val="00F6556A"/>
    <w:rsid w:val="00F65709"/>
    <w:rsid w:val="00F660D9"/>
    <w:rsid w:val="00F673A2"/>
    <w:rsid w:val="00F71AD1"/>
    <w:rsid w:val="00F72A3E"/>
    <w:rsid w:val="00F7577B"/>
    <w:rsid w:val="00F774B4"/>
    <w:rsid w:val="00F77715"/>
    <w:rsid w:val="00F82242"/>
    <w:rsid w:val="00F8287E"/>
    <w:rsid w:val="00F84808"/>
    <w:rsid w:val="00F84A25"/>
    <w:rsid w:val="00F84C57"/>
    <w:rsid w:val="00F87F15"/>
    <w:rsid w:val="00F92C41"/>
    <w:rsid w:val="00F937F1"/>
    <w:rsid w:val="00F93A0D"/>
    <w:rsid w:val="00F97C20"/>
    <w:rsid w:val="00FA4024"/>
    <w:rsid w:val="00FA76AB"/>
    <w:rsid w:val="00FB28C0"/>
    <w:rsid w:val="00FB3B53"/>
    <w:rsid w:val="00FC137E"/>
    <w:rsid w:val="00FC69D9"/>
    <w:rsid w:val="00FC79EA"/>
    <w:rsid w:val="00FD17E6"/>
    <w:rsid w:val="00FD1D36"/>
    <w:rsid w:val="00FD38AA"/>
    <w:rsid w:val="00FD6D0F"/>
    <w:rsid w:val="00FD7412"/>
    <w:rsid w:val="00FE1374"/>
    <w:rsid w:val="00FE2133"/>
    <w:rsid w:val="00FE6C3C"/>
    <w:rsid w:val="00FF01B7"/>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46E54"/>
  <w15:docId w15:val="{C0597037-D686-4C3C-BB15-C63956C7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416A0"/>
    <w:rPr>
      <w:sz w:val="16"/>
      <w:szCs w:val="16"/>
    </w:rPr>
  </w:style>
  <w:style w:type="paragraph" w:styleId="Kommentartext">
    <w:name w:val="annotation text"/>
    <w:basedOn w:val="Standard"/>
    <w:link w:val="KommentartextZchn"/>
    <w:uiPriority w:val="99"/>
    <w:semiHidden/>
    <w:unhideWhenUsed/>
    <w:rsid w:val="001416A0"/>
    <w:rPr>
      <w:sz w:val="20"/>
    </w:rPr>
  </w:style>
  <w:style w:type="character" w:customStyle="1" w:styleId="KommentartextZchn">
    <w:name w:val="Kommentartext Zchn"/>
    <w:basedOn w:val="Absatz-Standardschriftart"/>
    <w:link w:val="Kommentartext"/>
    <w:uiPriority w:val="99"/>
    <w:semiHidden/>
    <w:rsid w:val="001416A0"/>
  </w:style>
  <w:style w:type="paragraph" w:styleId="Kommentarthema">
    <w:name w:val="annotation subject"/>
    <w:basedOn w:val="Kommentartext"/>
    <w:next w:val="Kommentartext"/>
    <w:link w:val="KommentarthemaZchn"/>
    <w:uiPriority w:val="99"/>
    <w:semiHidden/>
    <w:unhideWhenUsed/>
    <w:rsid w:val="001416A0"/>
    <w:rPr>
      <w:b/>
      <w:bCs/>
    </w:rPr>
  </w:style>
  <w:style w:type="character" w:customStyle="1" w:styleId="KommentarthemaZchn">
    <w:name w:val="Kommentarthema Zchn"/>
    <w:basedOn w:val="KommentartextZchn"/>
    <w:link w:val="Kommentarthema"/>
    <w:uiPriority w:val="99"/>
    <w:semiHidden/>
    <w:rsid w:val="00141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manpropertypartners.de/datenschut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rmanpropertypartners.de/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8235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Corinna Fühner</dc:creator>
  <cp:keywords/>
  <cp:lastModifiedBy>Britt Finke</cp:lastModifiedBy>
  <cp:revision>6</cp:revision>
  <cp:lastPrinted>2023-01-03T06:51:00Z</cp:lastPrinted>
  <dcterms:created xsi:type="dcterms:W3CDTF">2023-01-03T08:25:00Z</dcterms:created>
  <dcterms:modified xsi:type="dcterms:W3CDTF">2023-01-03T08:47:00Z</dcterms:modified>
</cp:coreProperties>
</file>