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3E8A79D7" w:rsidR="00CA79D7" w:rsidRPr="006456EA" w:rsidRDefault="00AF202A"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OFFICE MARKETS Q2/2022 </w:t>
      </w:r>
    </w:p>
    <w:p w14:paraId="7C2D2599" w14:textId="709A8E27" w:rsidR="00CA79D7" w:rsidRDefault="00C86ED7"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Pent-up demand and new work environment boost office market</w:t>
      </w:r>
    </w:p>
    <w:p w14:paraId="743073FD" w14:textId="77777777" w:rsidR="003152C9" w:rsidRPr="00826C30" w:rsidRDefault="003152C9" w:rsidP="003152C9">
      <w:pPr>
        <w:pStyle w:val="EinfAbs"/>
        <w:tabs>
          <w:tab w:val="left" w:pos="200"/>
        </w:tabs>
        <w:spacing w:line="440" w:lineRule="exact"/>
        <w:rPr>
          <w:rFonts w:ascii="Source Sans Pro" w:hAnsi="Source Sans Pro" w:cs="Source Sans Pro"/>
          <w:sz w:val="22"/>
          <w:szCs w:val="22"/>
        </w:rPr>
      </w:pPr>
    </w:p>
    <w:p w14:paraId="5647083E" w14:textId="4FB0B758" w:rsidR="00CA79D7" w:rsidRPr="00CA79D7" w:rsidRDefault="00AF76E5" w:rsidP="00CA79D7">
      <w:pPr>
        <w:pStyle w:val="EinfAbs"/>
        <w:tabs>
          <w:tab w:val="left" w:pos="200"/>
        </w:tabs>
        <w:rPr>
          <w:rFonts w:ascii="Source Sans Pro" w:hAnsi="Source Sans Pro" w:cs="Source Sans Pro"/>
          <w:color w:val="0086A8"/>
          <w:sz w:val="22"/>
          <w:szCs w:val="22"/>
        </w:rPr>
      </w:pPr>
      <w:r>
        <w:rPr>
          <w:rFonts w:ascii="Source Sans Pro" w:hAnsi="Source Sans Pro"/>
          <w:noProof/>
          <w:color w:val="0086A8"/>
          <w:sz w:val="22"/>
          <w:szCs w:val="22"/>
          <w:lang w:val="de-DE"/>
        </w:rPr>
        <w:drawing>
          <wp:inline distT="0" distB="0" distL="0" distR="0" wp14:anchorId="415F403A" wp14:editId="14CCFF1C">
            <wp:extent cx="4499073" cy="2588856"/>
            <wp:effectExtent l="19050" t="19050" r="15875" b="215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1410" cy="2601709"/>
                    </a:xfrm>
                    <a:prstGeom prst="rect">
                      <a:avLst/>
                    </a:prstGeom>
                    <a:noFill/>
                    <a:ln w="3175">
                      <a:solidFill>
                        <a:schemeClr val="tx1"/>
                      </a:solidFill>
                    </a:ln>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444769DA" w14:textId="0918E7AD" w:rsidR="007D5A52" w:rsidRPr="00197E98" w:rsidRDefault="00CE28CA" w:rsidP="007D5A52">
      <w:pPr>
        <w:pStyle w:val="EinfAbs"/>
        <w:tabs>
          <w:tab w:val="left" w:pos="200"/>
        </w:tabs>
        <w:snapToGrid w:val="0"/>
        <w:spacing w:line="280" w:lineRule="exact"/>
        <w:jc w:val="both"/>
        <w:rPr>
          <w:rFonts w:ascii="Source Sans Pro" w:hAnsi="Source Sans Pro" w:cs="Source Sans Pro"/>
          <w:color w:val="auto"/>
          <w:sz w:val="22"/>
          <w:szCs w:val="22"/>
        </w:rPr>
      </w:pPr>
      <w:r>
        <w:rPr>
          <w:rFonts w:ascii="Source Sans Pro" w:hAnsi="Source Sans Pro"/>
          <w:color w:val="0087A8"/>
          <w:sz w:val="22"/>
          <w:szCs w:val="22"/>
        </w:rPr>
        <w:t>2022</w:t>
      </w:r>
      <w:r w:rsidR="00176891">
        <w:rPr>
          <w:rFonts w:ascii="Source Sans Pro" w:hAnsi="Source Sans Pro"/>
          <w:color w:val="0087A8"/>
          <w:sz w:val="22"/>
          <w:szCs w:val="22"/>
        </w:rPr>
        <w:t>-07-04</w:t>
      </w:r>
      <w:r>
        <w:rPr>
          <w:rFonts w:ascii="Source Sans Pro" w:hAnsi="Source Sans Pro"/>
          <w:color w:val="0087A8"/>
          <w:sz w:val="22"/>
          <w:szCs w:val="22"/>
        </w:rPr>
        <w:t>, Hamburg.</w:t>
      </w:r>
      <w:r>
        <w:rPr>
          <w:rFonts w:ascii="Source Sans Pro" w:hAnsi="Source Sans Pro"/>
          <w:color w:val="auto"/>
          <w:sz w:val="22"/>
          <w:szCs w:val="22"/>
        </w:rPr>
        <w:t xml:space="preserve"> </w:t>
      </w:r>
      <w:r>
        <w:rPr>
          <w:rFonts w:ascii="Source Sans Pro" w:hAnsi="Source Sans Pro"/>
          <w:sz w:val="22"/>
          <w:szCs w:val="22"/>
        </w:rPr>
        <w:t xml:space="preserve">During the 1st half of 2022 the market for office space in Germany’s </w:t>
      </w:r>
      <w:r w:rsidRPr="00717E97">
        <w:rPr>
          <w:rFonts w:ascii="Source Sans Pro" w:hAnsi="Source Sans Pro"/>
          <w:sz w:val="22"/>
          <w:szCs w:val="22"/>
        </w:rPr>
        <w:t>top 7 cities owed much to the public sector, IT companies and the p</w:t>
      </w:r>
      <w:r w:rsidR="00717E97">
        <w:rPr>
          <w:rFonts w:ascii="Source Sans Pro" w:hAnsi="Source Sans Pro"/>
          <w:sz w:val="22"/>
          <w:szCs w:val="22"/>
        </w:rPr>
        <w:t xml:space="preserve">roviders of financial services. </w:t>
      </w:r>
      <w:r w:rsidRPr="00717E97">
        <w:rPr>
          <w:rFonts w:ascii="Source Sans Pro" w:hAnsi="Source Sans Pro"/>
          <w:sz w:val="22"/>
          <w:szCs w:val="22"/>
        </w:rPr>
        <w:t>During t</w:t>
      </w:r>
      <w:r>
        <w:rPr>
          <w:rFonts w:ascii="Source Sans Pro" w:hAnsi="Source Sans Pro"/>
          <w:sz w:val="22"/>
          <w:szCs w:val="22"/>
        </w:rPr>
        <w:t>his period 1.82m m² of office space was let or absorbed by owner-occupiers. Year on year</w:t>
      </w:r>
      <w:r w:rsidR="00052C73">
        <w:rPr>
          <w:rFonts w:ascii="Source Sans Pro" w:hAnsi="Source Sans Pro"/>
          <w:sz w:val="22"/>
          <w:szCs w:val="22"/>
        </w:rPr>
        <w:t>,</w:t>
      </w:r>
      <w:r>
        <w:rPr>
          <w:rFonts w:ascii="Source Sans Pro" w:hAnsi="Source Sans Pro"/>
          <w:sz w:val="22"/>
          <w:szCs w:val="22"/>
        </w:rPr>
        <w:t xml:space="preserve"> take-up of space shot up by 49 % to record the best ever result since 2019, when the total was 1.85m m². </w:t>
      </w:r>
      <w:r>
        <w:rPr>
          <w:rFonts w:ascii="Source Sans Pro" w:hAnsi="Source Sans Pro"/>
          <w:i/>
          <w:sz w:val="22"/>
          <w:szCs w:val="22"/>
        </w:rPr>
        <w:t>“To date, demand for space in most cities has more than compensated for adverse market c</w:t>
      </w:r>
      <w:r w:rsidR="006775B5">
        <w:rPr>
          <w:rFonts w:ascii="Source Sans Pro" w:hAnsi="Source Sans Pro"/>
          <w:i/>
          <w:sz w:val="22"/>
          <w:szCs w:val="22"/>
        </w:rPr>
        <w:t>onditions</w:t>
      </w:r>
      <w:r>
        <w:rPr>
          <w:rFonts w:ascii="Source Sans Pro" w:hAnsi="Source Sans Pro"/>
          <w:i/>
          <w:sz w:val="22"/>
          <w:szCs w:val="22"/>
        </w:rPr>
        <w:t xml:space="preserve"> such as inflation, rising interest rates, sky-rocketing construction costs and disrupted supply chains. Partly, this is because new working environments have been creat</w:t>
      </w:r>
      <w:bookmarkStart w:id="0" w:name="_GoBack"/>
      <w:bookmarkEnd w:id="0"/>
      <w:r>
        <w:rPr>
          <w:rFonts w:ascii="Source Sans Pro" w:hAnsi="Source Sans Pro"/>
          <w:i/>
          <w:sz w:val="22"/>
          <w:szCs w:val="22"/>
        </w:rPr>
        <w:t xml:space="preserve">ed and partly because talks about office space that were postponed due to </w:t>
      </w:r>
      <w:proofErr w:type="spellStart"/>
      <w:r>
        <w:rPr>
          <w:rFonts w:ascii="Source Sans Pro" w:hAnsi="Source Sans Pro"/>
          <w:i/>
          <w:sz w:val="22"/>
          <w:szCs w:val="22"/>
        </w:rPr>
        <w:t>Covid</w:t>
      </w:r>
      <w:proofErr w:type="spellEnd"/>
      <w:r>
        <w:rPr>
          <w:rFonts w:ascii="Source Sans Pro" w:hAnsi="Source Sans Pro"/>
          <w:i/>
          <w:sz w:val="22"/>
          <w:szCs w:val="22"/>
        </w:rPr>
        <w:t xml:space="preserve"> 19 were recommenced and agreements signed,”</w:t>
      </w:r>
      <w:r>
        <w:rPr>
          <w:rFonts w:ascii="Source Sans Pro" w:hAnsi="Source Sans Pro"/>
          <w:sz w:val="22"/>
          <w:szCs w:val="22"/>
        </w:rPr>
        <w:t xml:space="preserve"> says </w:t>
      </w:r>
      <w:r>
        <w:rPr>
          <w:rFonts w:ascii="Source Sans Pro" w:hAnsi="Source Sans Pro"/>
          <w:b/>
          <w:sz w:val="22"/>
          <w:szCs w:val="22"/>
        </w:rPr>
        <w:t xml:space="preserve">Andreas </w:t>
      </w:r>
      <w:proofErr w:type="spellStart"/>
      <w:r>
        <w:rPr>
          <w:rFonts w:ascii="Source Sans Pro" w:hAnsi="Source Sans Pro"/>
          <w:b/>
          <w:sz w:val="22"/>
          <w:szCs w:val="22"/>
        </w:rPr>
        <w:t>Rehberg</w:t>
      </w:r>
      <w:proofErr w:type="spellEnd"/>
      <w:r>
        <w:rPr>
          <w:rFonts w:ascii="Source Sans Pro" w:hAnsi="Source Sans Pro"/>
          <w:sz w:val="22"/>
          <w:szCs w:val="22"/>
        </w:rPr>
        <w:t xml:space="preserve">, spokesperson for German Property partners (GPP). This commercial property network consists of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w:t>
      </w:r>
      <w:proofErr w:type="spellStart"/>
      <w:r>
        <w:rPr>
          <w:rFonts w:ascii="Source Sans Pro" w:hAnsi="Source Sans Pro"/>
          <w:sz w:val="22"/>
          <w:szCs w:val="22"/>
        </w:rPr>
        <w:t>blackolive</w:t>
      </w:r>
      <w:proofErr w:type="spellEnd"/>
      <w:r>
        <w:rPr>
          <w:rFonts w:ascii="Source Sans Pro" w:hAnsi="Source Sans Pro"/>
          <w:sz w:val="22"/>
          <w:szCs w:val="22"/>
        </w:rPr>
        <w:t xml:space="preserve"> and E &amp; G Real Estate. Since four of the 14 agreements for more than 10,000 m² of space were concluded by owner-occupiers, their share of the market rose year on year from 5 to 13 %.</w:t>
      </w:r>
    </w:p>
    <w:p w14:paraId="65E17CEF" w14:textId="77777777" w:rsidR="009C51BD" w:rsidRDefault="009C51BD"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2479A7D8" w:rsidR="007D5A52" w:rsidRPr="006456EA" w:rsidRDefault="00C53318"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Stuttgart and Cologne post highest numbers of large-volume agreements</w:t>
      </w:r>
    </w:p>
    <w:p w14:paraId="5F847AE9" w14:textId="73993E51" w:rsidR="00640E69" w:rsidRDefault="002475A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Take-up grew in all top 7 cities, although at enormously varying rates. Stuttgart returned a new record result, with growth of 314 % and has already surged </w:t>
      </w:r>
      <w:r w:rsidR="00E459FD">
        <w:rPr>
          <w:rFonts w:ascii="Source Sans Pro" w:hAnsi="Source Sans Pro"/>
          <w:sz w:val="22"/>
          <w:szCs w:val="22"/>
        </w:rPr>
        <w:t xml:space="preserve">far </w:t>
      </w:r>
      <w:r>
        <w:rPr>
          <w:rFonts w:ascii="Source Sans Pro" w:hAnsi="Source Sans Pro"/>
          <w:sz w:val="22"/>
          <w:szCs w:val="22"/>
        </w:rPr>
        <w:t xml:space="preserve">past the </w:t>
      </w:r>
      <w:r w:rsidR="00E459FD">
        <w:rPr>
          <w:rFonts w:ascii="Source Sans Pro" w:hAnsi="Source Sans Pro"/>
          <w:sz w:val="22"/>
          <w:szCs w:val="22"/>
        </w:rPr>
        <w:t xml:space="preserve">full-year figures posted for </w:t>
      </w:r>
      <w:r>
        <w:rPr>
          <w:rFonts w:ascii="Source Sans Pro" w:hAnsi="Source Sans Pro"/>
          <w:sz w:val="22"/>
          <w:szCs w:val="22"/>
        </w:rPr>
        <w:t xml:space="preserve">2020 and 2021. Owner-occupiers were behind almost half of the 213,000 m² of take-up; this total included 65,000 m² for the insurance company Allianz, the biggest agreement signed in any top 7 city so far this year. In Cologne, where take-up of 220,000 m² represented the fourth-highest increase (+57 %) in the top 7, the noteworthy aspect of the result was that exactly half was take-up by the public sector. </w:t>
      </w:r>
      <w:r>
        <w:rPr>
          <w:rFonts w:ascii="Source Sans Pro" w:hAnsi="Source Sans Pro"/>
          <w:color w:val="auto"/>
          <w:sz w:val="22"/>
          <w:szCs w:val="22"/>
        </w:rPr>
        <w:t xml:space="preserve">The two biggest agreements signed in the cathedral city of Cologne since 2016 added more than 80,000 m² to the total. Likewise in Berlin and Düsseldorf the public sector was very active. </w:t>
      </w:r>
      <w:r>
        <w:rPr>
          <w:rFonts w:ascii="Source Sans Pro" w:hAnsi="Source Sans Pro"/>
          <w:sz w:val="22"/>
          <w:szCs w:val="22"/>
        </w:rPr>
        <w:t xml:space="preserve">Stuttgart and Cologne each reported three agreements for more than 15,000 m² of space – they were thus uncharacteristically </w:t>
      </w:r>
      <w:r>
        <w:rPr>
          <w:rFonts w:ascii="Source Sans Pro" w:hAnsi="Source Sans Pro"/>
          <w:sz w:val="22"/>
          <w:szCs w:val="22"/>
        </w:rPr>
        <w:lastRenderedPageBreak/>
        <w:t xml:space="preserve">propelled to the top of the list of the year’s biggest-volume contracts in the top 7 cities. Berlin, Hamburg and Frankfurt each posted only one agreement for over 25,000 m² of space. </w:t>
      </w:r>
    </w:p>
    <w:p w14:paraId="49FB2639" w14:textId="77777777" w:rsidR="00717E97" w:rsidRDefault="00717E97" w:rsidP="00DE0A3B">
      <w:pPr>
        <w:pStyle w:val="EinfAbs"/>
        <w:tabs>
          <w:tab w:val="left" w:pos="200"/>
        </w:tabs>
        <w:snapToGrid w:val="0"/>
        <w:spacing w:line="280" w:lineRule="exact"/>
        <w:jc w:val="both"/>
        <w:rPr>
          <w:rFonts w:ascii="Source Sans Pro" w:hAnsi="Source Sans Pro"/>
          <w:caps/>
          <w:color w:val="0086A8"/>
          <w:sz w:val="22"/>
          <w:szCs w:val="22"/>
        </w:rPr>
      </w:pPr>
    </w:p>
    <w:p w14:paraId="53EC4DA5" w14:textId="760F74A7" w:rsidR="00DE0A3B" w:rsidRPr="006456EA" w:rsidRDefault="00FE1374" w:rsidP="00DE0A3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New builds fuel rental rates</w:t>
      </w:r>
    </w:p>
    <w:p w14:paraId="2B6B9AA5" w14:textId="1370A508" w:rsidR="00DE0A3B" w:rsidRDefault="00FE1374" w:rsidP="00DE0A3B">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Without exception, both average and premium rents in the top 7 cities rose in the first half of 2022. Year on the year the premium rent increased most in Stuttgart, climbing by +18 % to €29.40/m²/month. At €32.50/m²/month, premium rents in Hamburg reached a new high. And the highest increase in average rents was noted here too, with 15 % growth pushing the rate above the 20-euro mark for the first time, to €20.60/m²/month. As </w:t>
      </w:r>
      <w:proofErr w:type="spellStart"/>
      <w:r>
        <w:rPr>
          <w:rFonts w:ascii="Source Sans Pro" w:hAnsi="Source Sans Pro"/>
          <w:b/>
          <w:sz w:val="22"/>
          <w:szCs w:val="22"/>
        </w:rPr>
        <w:t>Rehberg</w:t>
      </w:r>
      <w:proofErr w:type="spellEnd"/>
      <w:r>
        <w:rPr>
          <w:rFonts w:ascii="Source Sans Pro" w:hAnsi="Source Sans Pro"/>
          <w:sz w:val="22"/>
          <w:szCs w:val="22"/>
        </w:rPr>
        <w:t xml:space="preserve"> explains, </w:t>
      </w:r>
      <w:r>
        <w:rPr>
          <w:rFonts w:ascii="Source Sans Pro" w:hAnsi="Source Sans Pro"/>
          <w:i/>
          <w:sz w:val="22"/>
          <w:szCs w:val="22"/>
        </w:rPr>
        <w:t>“18 of the 24 rental agreements for more than 2,000 square metres of space were signed at rates of over 20 euros per square metre.”</w:t>
      </w:r>
      <w:r>
        <w:rPr>
          <w:rFonts w:ascii="Source Sans Pro" w:hAnsi="Source Sans Pro"/>
          <w:sz w:val="22"/>
          <w:szCs w:val="22"/>
        </w:rPr>
        <w:t xml:space="preserve"> In Berlin the average monthly rent broke the €30/m² barrier for the first time. </w:t>
      </w:r>
      <w:r>
        <w:rPr>
          <w:rFonts w:ascii="Source Sans Pro" w:hAnsi="Source Sans Pro"/>
          <w:i/>
          <w:sz w:val="22"/>
          <w:szCs w:val="22"/>
        </w:rPr>
        <w:t>“At the moment top quality space of new-build quality is especially sought-after. Firms are even more attracted if such premises are centrally sited and address ESG issues. Indeed</w:t>
      </w:r>
      <w:r w:rsidR="00E358CA">
        <w:rPr>
          <w:rFonts w:ascii="Source Sans Pro" w:hAnsi="Source Sans Pro"/>
          <w:i/>
          <w:sz w:val="22"/>
          <w:szCs w:val="22"/>
        </w:rPr>
        <w:t>,</w:t>
      </w:r>
      <w:r>
        <w:rPr>
          <w:rFonts w:ascii="Source Sans Pro" w:hAnsi="Source Sans Pro"/>
          <w:i/>
          <w:sz w:val="22"/>
          <w:szCs w:val="22"/>
        </w:rPr>
        <w:t xml:space="preserve"> companies are prepared to pay for better offices so that it is easier to recruit staff,”</w:t>
      </w:r>
      <w:r>
        <w:rPr>
          <w:rFonts w:ascii="Source Sans Pro" w:hAnsi="Source Sans Pro"/>
          <w:sz w:val="22"/>
          <w:szCs w:val="22"/>
        </w:rPr>
        <w:t xml:space="preserve"> remarks </w:t>
      </w:r>
      <w:proofErr w:type="spellStart"/>
      <w:r>
        <w:rPr>
          <w:rFonts w:ascii="Source Sans Pro" w:hAnsi="Source Sans Pro"/>
          <w:b/>
          <w:sz w:val="22"/>
          <w:szCs w:val="22"/>
        </w:rPr>
        <w:t>Rehberg</w:t>
      </w:r>
      <w:proofErr w:type="spellEnd"/>
      <w:r w:rsidRPr="00717E97">
        <w:rPr>
          <w:rFonts w:ascii="Source Sans Pro" w:hAnsi="Source Sans Pro"/>
          <w:sz w:val="22"/>
          <w:szCs w:val="22"/>
        </w:rPr>
        <w:t>.</w:t>
      </w:r>
      <w:r>
        <w:rPr>
          <w:rFonts w:ascii="Source Sans Pro" w:hAnsi="Source Sans Pro"/>
          <w:sz w:val="22"/>
          <w:szCs w:val="22"/>
        </w:rPr>
        <w:t xml:space="preserve"> Office rents could well rise further in response to the enormous increases in construction costs. In the longer term, however, the growth of rental rates will probably slow in view of uncertainties about future developments. </w:t>
      </w:r>
    </w:p>
    <w:p w14:paraId="29C2DECF" w14:textId="50F8B1C4" w:rsidR="00DE0A3B" w:rsidRDefault="00DE0A3B" w:rsidP="000136D7">
      <w:pPr>
        <w:pStyle w:val="EinfAbs"/>
        <w:tabs>
          <w:tab w:val="left" w:pos="200"/>
        </w:tabs>
        <w:snapToGrid w:val="0"/>
        <w:spacing w:line="280" w:lineRule="exact"/>
        <w:jc w:val="both"/>
        <w:rPr>
          <w:rFonts w:ascii="Source Sans Pro" w:hAnsi="Source Sans Pro" w:cs="Source Sans Pro"/>
          <w:sz w:val="22"/>
          <w:szCs w:val="22"/>
        </w:rPr>
      </w:pPr>
    </w:p>
    <w:p w14:paraId="6AB1B6C1" w14:textId="79549CBB" w:rsidR="00DE0A3B" w:rsidRPr="006456EA" w:rsidRDefault="00050787" w:rsidP="00DE0A3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empty space </w:t>
      </w:r>
      <w:r w:rsidR="00E358CA">
        <w:rPr>
          <w:rFonts w:ascii="Source Sans Pro" w:hAnsi="Source Sans Pro"/>
          <w:caps/>
          <w:color w:val="0086A8"/>
          <w:sz w:val="22"/>
          <w:szCs w:val="22"/>
        </w:rPr>
        <w:t xml:space="preserve">Generally </w:t>
      </w:r>
      <w:r>
        <w:rPr>
          <w:rFonts w:ascii="Source Sans Pro" w:hAnsi="Source Sans Pro"/>
          <w:caps/>
          <w:color w:val="0086A8"/>
          <w:sz w:val="22"/>
          <w:szCs w:val="22"/>
        </w:rPr>
        <w:t>at a healthy level</w:t>
      </w:r>
    </w:p>
    <w:p w14:paraId="3EBD0C30" w14:textId="7FC8084A" w:rsidR="00DE0A3B" w:rsidRDefault="00466B99" w:rsidP="00DE0A3B">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At the end of the 1st half year the vacancy rate in the top 7 cities was 4.8 % compared with 4.2 % a year before. Only in Cologne was there still a two before the decimal point</w:t>
      </w:r>
      <w:r w:rsidR="00E358CA">
        <w:rPr>
          <w:rFonts w:ascii="Source Sans Pro" w:hAnsi="Source Sans Pro"/>
          <w:sz w:val="22"/>
          <w:szCs w:val="22"/>
        </w:rPr>
        <w:t xml:space="preserve"> (2.7 %)</w:t>
      </w:r>
      <w:r>
        <w:rPr>
          <w:rFonts w:ascii="Source Sans Pro" w:hAnsi="Source Sans Pro"/>
          <w:sz w:val="22"/>
          <w:szCs w:val="22"/>
        </w:rPr>
        <w:t xml:space="preserve">. Year on year the vacancy rate in Cologne, Frankfurt and Hamburg fell from its level at the end of June 2021. At the end of the 1st half year, German Property Partners’ figures show total building completion volumes for 2022 and 2023 at 3.57m square metres. To date 59 % of this total has been pre-let. </w:t>
      </w:r>
    </w:p>
    <w:p w14:paraId="2BB76F36" w14:textId="1F008E14" w:rsidR="00445495" w:rsidRDefault="00445495" w:rsidP="000136D7">
      <w:pPr>
        <w:pStyle w:val="EinfAbs"/>
        <w:tabs>
          <w:tab w:val="left" w:pos="200"/>
        </w:tabs>
        <w:snapToGrid w:val="0"/>
        <w:spacing w:line="280" w:lineRule="exact"/>
        <w:jc w:val="both"/>
        <w:rPr>
          <w:rFonts w:ascii="Source Sans Pro" w:hAnsi="Source Sans Pro" w:cs="Source Sans Pro"/>
          <w:sz w:val="22"/>
          <w:szCs w:val="22"/>
        </w:rPr>
      </w:pPr>
    </w:p>
    <w:p w14:paraId="1D789970" w14:textId="24CF10D1" w:rsidR="004001E7" w:rsidRDefault="00052C73"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 xml:space="preserve"> </w:t>
      </w:r>
    </w:p>
    <w:p w14:paraId="700A8FF0" w14:textId="46117B0A" w:rsidR="004A2D54" w:rsidRPr="004A2D54" w:rsidRDefault="00C64096" w:rsidP="004A2D54">
      <w:pPr>
        <w:jc w:val="both"/>
        <w:rPr>
          <w:rFonts w:ascii="Source Sans Pro" w:hAnsi="Source Sans Pro" w:cs="Arial"/>
          <w:sz w:val="20"/>
        </w:rPr>
      </w:pPr>
      <w:r>
        <w:rPr>
          <w:rFonts w:ascii="Source Sans Pro" w:hAnsi="Source Sans Pro"/>
          <w:b/>
          <w:sz w:val="20"/>
        </w:rPr>
        <w:t>Major known agreements for 10,000 m² or more | Top 7 locations | Q1-2 2022</w:t>
      </w:r>
    </w:p>
    <w:tbl>
      <w:tblPr>
        <w:tblStyle w:val="Tabellenraster"/>
        <w:tblW w:w="5000" w:type="pct"/>
        <w:tblLook w:val="04A0" w:firstRow="1" w:lastRow="0" w:firstColumn="1" w:lastColumn="0" w:noHBand="0" w:noVBand="1"/>
      </w:tblPr>
      <w:tblGrid>
        <w:gridCol w:w="603"/>
        <w:gridCol w:w="3501"/>
        <w:gridCol w:w="4168"/>
        <w:gridCol w:w="1010"/>
      </w:tblGrid>
      <w:tr w:rsidR="004A2D54" w:rsidRPr="004A2D54" w14:paraId="423F19E1"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vAlign w:val="center"/>
            <w:hideMark/>
          </w:tcPr>
          <w:p w14:paraId="6040E63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City</w:t>
            </w:r>
          </w:p>
        </w:tc>
        <w:tc>
          <w:tcPr>
            <w:tcW w:w="1886" w:type="pct"/>
            <w:tcBorders>
              <w:top w:val="single" w:sz="4" w:space="0" w:color="auto"/>
              <w:left w:val="single" w:sz="4" w:space="0" w:color="auto"/>
              <w:bottom w:val="single" w:sz="4" w:space="0" w:color="auto"/>
              <w:right w:val="single" w:sz="4" w:space="0" w:color="auto"/>
            </w:tcBorders>
            <w:vAlign w:val="center"/>
            <w:hideMark/>
          </w:tcPr>
          <w:p w14:paraId="34CBD75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245" w:type="pct"/>
            <w:tcBorders>
              <w:top w:val="single" w:sz="4" w:space="0" w:color="auto"/>
              <w:left w:val="single" w:sz="4" w:space="0" w:color="auto"/>
              <w:bottom w:val="single" w:sz="4" w:space="0" w:color="auto"/>
              <w:right w:val="single" w:sz="4" w:space="0" w:color="auto"/>
            </w:tcBorders>
            <w:vAlign w:val="center"/>
            <w:hideMark/>
          </w:tcPr>
          <w:p w14:paraId="0B101F6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Tenant/owner-occupier</w:t>
            </w:r>
          </w:p>
        </w:tc>
        <w:tc>
          <w:tcPr>
            <w:tcW w:w="544" w:type="pct"/>
            <w:tcBorders>
              <w:top w:val="single" w:sz="4" w:space="0" w:color="auto"/>
              <w:left w:val="single" w:sz="4" w:space="0" w:color="auto"/>
              <w:bottom w:val="single" w:sz="4" w:space="0" w:color="auto"/>
              <w:right w:val="single" w:sz="4" w:space="0" w:color="auto"/>
            </w:tcBorders>
            <w:vAlign w:val="center"/>
            <w:hideMark/>
          </w:tcPr>
          <w:p w14:paraId="0490CE1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 xml:space="preserve">Rental area </w:t>
            </w:r>
            <w:r>
              <w:rPr>
                <w:rFonts w:ascii="Source Sans Pro" w:hAnsi="Source Sans Pro"/>
                <w:sz w:val="16"/>
                <w:szCs w:val="16"/>
              </w:rPr>
              <w:t>(ca. m²)</w:t>
            </w:r>
          </w:p>
        </w:tc>
      </w:tr>
      <w:tr w:rsidR="00414726" w:rsidRPr="004A2D54" w14:paraId="763063CE"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34260" w14:textId="58605CAF"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606E8" w14:textId="2AB55E9B"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 xml:space="preserve">“Allianz Park”, </w:t>
            </w:r>
            <w:proofErr w:type="spellStart"/>
            <w:r>
              <w:rPr>
                <w:rFonts w:ascii="Source Sans Pro" w:hAnsi="Source Sans Pro"/>
                <w:bCs/>
                <w:sz w:val="16"/>
                <w:szCs w:val="16"/>
              </w:rPr>
              <w:t>Hessbrühlstrasse</w:t>
            </w:r>
            <w:proofErr w:type="spellEnd"/>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3EEAA" w14:textId="61778489"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Allianz</w:t>
            </w:r>
            <w:r>
              <w:rPr>
                <w:rFonts w:ascii="Source Sans Pro" w:hAnsi="Source Sans Pro"/>
                <w:b/>
                <w:bCs/>
                <w:sz w:val="16"/>
                <w:szCs w:val="16"/>
              </w:rPr>
              <w:t xml:space="preserve"> Owner-occupier</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7B751" w14:textId="23343D3E"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65,000</w:t>
            </w:r>
          </w:p>
        </w:tc>
      </w:tr>
      <w:tr w:rsidR="00524925" w:rsidRPr="004A2D54" w14:paraId="3838299D"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6D8E" w14:textId="4BFE4AC2"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E8BD2" w14:textId="32D4843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Site north of the city centre</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6C9B7" w14:textId="3205A94D"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Public institution</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51D76" w14:textId="4461AE6D"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45,000</w:t>
            </w:r>
          </w:p>
        </w:tc>
      </w:tr>
      <w:tr w:rsidR="00524925" w:rsidRPr="004A2D54" w14:paraId="6EB27669"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DEBC1" w14:textId="687E1AAE"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A2BA0" w14:textId="48E966F1"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Otto-Braun-</w:t>
            </w:r>
            <w:proofErr w:type="spellStart"/>
            <w:r>
              <w:rPr>
                <w:rFonts w:ascii="Source Sans Pro" w:hAnsi="Source Sans Pro"/>
                <w:bCs/>
                <w:sz w:val="16"/>
                <w:szCs w:val="16"/>
              </w:rPr>
              <w:t>Strasse</w:t>
            </w:r>
            <w:proofErr w:type="spellEnd"/>
            <w:r>
              <w:rPr>
                <w:rFonts w:ascii="Source Sans Pro" w:hAnsi="Source Sans Pro"/>
                <w:bCs/>
                <w:sz w:val="16"/>
                <w:szCs w:val="16"/>
              </w:rPr>
              <w:t xml:space="preserve"> 70-72</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84ACD" w14:textId="6F08007D"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 xml:space="preserve">BIM </w:t>
            </w:r>
            <w:r>
              <w:rPr>
                <w:rFonts w:ascii="Source Sans Pro" w:hAnsi="Source Sans Pro"/>
                <w:b/>
                <w:bCs/>
                <w:sz w:val="16"/>
                <w:szCs w:val="16"/>
              </w:rPr>
              <w:t>Owner-occupier</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A84B8" w14:textId="4E169F5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40,000</w:t>
            </w:r>
          </w:p>
        </w:tc>
      </w:tr>
      <w:tr w:rsidR="00524925" w:rsidRPr="004A2D54" w14:paraId="41A65B93"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7F61A" w14:textId="741F7A46"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8F5F3" w14:textId="281720F7" w:rsidR="00524925" w:rsidRDefault="00524925" w:rsidP="00FC137E">
            <w:pPr>
              <w:widowControl w:val="0"/>
              <w:jc w:val="center"/>
              <w:rPr>
                <w:rFonts w:ascii="Source Sans Pro" w:hAnsi="Source Sans Pro" w:cs="Arial"/>
                <w:bCs/>
                <w:sz w:val="16"/>
                <w:szCs w:val="16"/>
              </w:rPr>
            </w:pPr>
            <w:r>
              <w:rPr>
                <w:rFonts w:ascii="Source Sans Pro" w:hAnsi="Source Sans Pro"/>
                <w:bCs/>
                <w:sz w:val="16"/>
                <w:szCs w:val="16"/>
              </w:rPr>
              <w:t>Leonhard-</w:t>
            </w:r>
            <w:proofErr w:type="spellStart"/>
            <w:r>
              <w:rPr>
                <w:rFonts w:ascii="Source Sans Pro" w:hAnsi="Source Sans Pro"/>
                <w:bCs/>
                <w:sz w:val="16"/>
                <w:szCs w:val="16"/>
              </w:rPr>
              <w:t>Tietz</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02F16" w14:textId="0A3DED14"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Cologne municipality</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B4798" w14:textId="28E51D8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38,800</w:t>
            </w:r>
          </w:p>
        </w:tc>
      </w:tr>
      <w:tr w:rsidR="00524925" w:rsidRPr="004A2D54" w14:paraId="63E4AB28"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D6FB5" w14:textId="08FB559A"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346E6" w14:textId="6D6BA1D1"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Deutschlandhaus</w:t>
            </w:r>
            <w:proofErr w:type="spellEnd"/>
            <w:r>
              <w:rPr>
                <w:rFonts w:ascii="Source Sans Pro" w:hAnsi="Source Sans Pro"/>
                <w:bCs/>
                <w:sz w:val="16"/>
                <w:szCs w:val="16"/>
              </w:rPr>
              <w:t xml:space="preserve">”, </w:t>
            </w:r>
            <w:proofErr w:type="spellStart"/>
            <w:r>
              <w:rPr>
                <w:rFonts w:ascii="Source Sans Pro" w:hAnsi="Source Sans Pro"/>
                <w:bCs/>
                <w:sz w:val="16"/>
                <w:szCs w:val="16"/>
              </w:rPr>
              <w:t>Dammtorstrasse</w:t>
            </w:r>
            <w:proofErr w:type="spellEnd"/>
            <w:r>
              <w:rPr>
                <w:rFonts w:ascii="Source Sans Pro" w:hAnsi="Source Sans Pro"/>
                <w:bCs/>
                <w:sz w:val="16"/>
                <w:szCs w:val="16"/>
              </w:rPr>
              <w:t xml:space="preserve"> 1</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3BEB9" w14:textId="7083ABC4"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 xml:space="preserve">Hamburger </w:t>
            </w:r>
            <w:proofErr w:type="spellStart"/>
            <w:r>
              <w:rPr>
                <w:rFonts w:ascii="Source Sans Pro" w:hAnsi="Source Sans Pro"/>
                <w:bCs/>
                <w:sz w:val="16"/>
                <w:szCs w:val="16"/>
              </w:rPr>
              <w:t>Sparkasse</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87888" w14:textId="21D5C182"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30,800</w:t>
            </w:r>
          </w:p>
        </w:tc>
      </w:tr>
      <w:tr w:rsidR="00371F87" w:rsidRPr="004A2D54" w14:paraId="7E1E4C34"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3D30E22" w14:textId="6B8F882A"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32D219CD" w14:textId="2CA40A06" w:rsidR="00371F87"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Ludwig-Erhard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7, </w:t>
            </w:r>
            <w:proofErr w:type="spellStart"/>
            <w:r>
              <w:rPr>
                <w:rFonts w:ascii="Source Sans Pro" w:hAnsi="Source Sans Pro"/>
                <w:bCs/>
                <w:sz w:val="16"/>
                <w:szCs w:val="16"/>
              </w:rPr>
              <w:t>Eschborn</w:t>
            </w:r>
            <w:proofErr w:type="spellEnd"/>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1349315" w14:textId="37F30AED" w:rsidR="00371F87" w:rsidRPr="00052C73" w:rsidRDefault="001E5CBD" w:rsidP="00AA5925">
            <w:pPr>
              <w:widowControl w:val="0"/>
              <w:jc w:val="center"/>
              <w:rPr>
                <w:rFonts w:ascii="Source Sans Pro" w:hAnsi="Source Sans Pro" w:cs="Arial"/>
                <w:bCs/>
                <w:sz w:val="16"/>
                <w:szCs w:val="16"/>
                <w:lang w:val="de-DE"/>
              </w:rPr>
            </w:pPr>
            <w:r w:rsidRPr="00052C73">
              <w:rPr>
                <w:rFonts w:ascii="Source Sans Pro" w:hAnsi="Source Sans Pro"/>
                <w:bCs/>
                <w:sz w:val="16"/>
                <w:szCs w:val="16"/>
                <w:lang w:val="de-DE"/>
              </w:rPr>
              <w:t xml:space="preserve">Deutsche Gesellschaft für Internationale Zusammenarbeit, </w:t>
            </w:r>
            <w:proofErr w:type="spellStart"/>
            <w:r w:rsidRPr="00052C73">
              <w:rPr>
                <w:rFonts w:ascii="Source Sans Pro" w:hAnsi="Source Sans Pro"/>
                <w:bCs/>
                <w:sz w:val="16"/>
                <w:szCs w:val="16"/>
                <w:lang w:val="de-DE"/>
              </w:rPr>
              <w:t>giz</w:t>
            </w:r>
            <w:proofErr w:type="spellEnd"/>
            <w:r w:rsidRPr="00052C73">
              <w:rPr>
                <w:rFonts w:ascii="Source Sans Pro" w:hAnsi="Source Sans Pro"/>
                <w:bCs/>
                <w:sz w:val="16"/>
                <w:szCs w:val="16"/>
                <w:lang w:val="de-DE"/>
              </w:rPr>
              <w:t xml:space="preserve"> (Fed. int. </w:t>
            </w:r>
            <w:proofErr w:type="spellStart"/>
            <w:r w:rsidRPr="00052C73">
              <w:rPr>
                <w:rFonts w:ascii="Source Sans Pro" w:hAnsi="Source Sans Pro"/>
                <w:bCs/>
                <w:sz w:val="16"/>
                <w:szCs w:val="16"/>
                <w:lang w:val="de-DE"/>
              </w:rPr>
              <w:t>aid</w:t>
            </w:r>
            <w:proofErr w:type="spellEnd"/>
            <w:r w:rsidRPr="00052C73">
              <w:rPr>
                <w:rFonts w:ascii="Source Sans Pro" w:hAnsi="Source Sans Pro"/>
                <w:bCs/>
                <w:sz w:val="16"/>
                <w:szCs w:val="16"/>
                <w:lang w:val="de-DE"/>
              </w:rPr>
              <w:t xml:space="preserve"> org.)</w:t>
            </w:r>
            <w:r w:rsidR="00E358CA">
              <w:rPr>
                <w:rFonts w:ascii="Source Sans Pro" w:hAnsi="Source Sans Pro"/>
                <w:bCs/>
                <w:sz w:val="16"/>
                <w:szCs w:val="16"/>
                <w:lang w:val="de-DE"/>
              </w:rPr>
              <w:t xml:space="preserve"> </w:t>
            </w:r>
            <w:proofErr w:type="spellStart"/>
            <w:r w:rsidRPr="00052C73">
              <w:rPr>
                <w:rFonts w:ascii="Source Sans Pro" w:hAnsi="Source Sans Pro"/>
                <w:b/>
                <w:bCs/>
                <w:sz w:val="16"/>
                <w:szCs w:val="16"/>
                <w:lang w:val="de-DE"/>
              </w:rPr>
              <w:t>owner</w:t>
            </w:r>
            <w:proofErr w:type="spellEnd"/>
            <w:r w:rsidRPr="00052C73">
              <w:rPr>
                <w:rFonts w:ascii="Source Sans Pro" w:hAnsi="Source Sans Pro"/>
                <w:b/>
                <w:bCs/>
                <w:sz w:val="16"/>
                <w:szCs w:val="16"/>
                <w:lang w:val="de-DE"/>
              </w:rPr>
              <w:t xml:space="preserve"> </w:t>
            </w:r>
            <w:proofErr w:type="spellStart"/>
            <w:r w:rsidRPr="00052C73">
              <w:rPr>
                <w:rFonts w:ascii="Source Sans Pro" w:hAnsi="Source Sans Pro"/>
                <w:b/>
                <w:bCs/>
                <w:sz w:val="16"/>
                <w:szCs w:val="16"/>
                <w:lang w:val="de-DE"/>
              </w:rPr>
              <w:t>occupier</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8FB5CA8" w14:textId="1CC126E5"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28,000</w:t>
            </w:r>
          </w:p>
        </w:tc>
      </w:tr>
      <w:tr w:rsidR="00414726" w:rsidRPr="004A2D54" w14:paraId="37A67636" w14:textId="77777777" w:rsidTr="00414726">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9EFB" w14:textId="769FC16A"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9D4B6" w14:textId="4DEB8AEE"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 xml:space="preserve">“W11”, </w:t>
            </w:r>
            <w:proofErr w:type="spellStart"/>
            <w:r>
              <w:rPr>
                <w:rFonts w:ascii="Source Sans Pro" w:hAnsi="Source Sans Pro"/>
                <w:bCs/>
                <w:sz w:val="16"/>
                <w:szCs w:val="16"/>
              </w:rPr>
              <w:t>Weissacher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11</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1EF34" w14:textId="1CDB8287"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Komm.ONE</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9AB9" w14:textId="4F04633C"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21,500</w:t>
            </w:r>
          </w:p>
        </w:tc>
      </w:tr>
      <w:tr w:rsidR="004A2D54" w:rsidRPr="004A2D54" w14:paraId="1A9052AE"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9D09832" w14:textId="17697BD9"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226B6645" w14:textId="286DBE18" w:rsidR="004A2D54" w:rsidRPr="00B72F21" w:rsidRDefault="00F076C1" w:rsidP="00AA5925">
            <w:pPr>
              <w:widowControl w:val="0"/>
              <w:jc w:val="center"/>
              <w:rPr>
                <w:rFonts w:ascii="Source Sans Pro" w:hAnsi="Source Sans Pro" w:cs="Arial"/>
                <w:bCs/>
                <w:sz w:val="16"/>
                <w:szCs w:val="16"/>
              </w:rPr>
            </w:pPr>
            <w:r>
              <w:rPr>
                <w:rFonts w:ascii="Source Sans Pro" w:hAnsi="Source Sans Pro"/>
                <w:bCs/>
                <w:sz w:val="16"/>
                <w:szCs w:val="16"/>
              </w:rPr>
              <w:t xml:space="preserve">“Atlanta Business </w:t>
            </w:r>
            <w:proofErr w:type="spellStart"/>
            <w:r>
              <w:rPr>
                <w:rFonts w:ascii="Source Sans Pro" w:hAnsi="Source Sans Pro"/>
                <w:bCs/>
                <w:sz w:val="16"/>
                <w:szCs w:val="16"/>
              </w:rPr>
              <w:t>Center</w:t>
            </w:r>
            <w:proofErr w:type="spellEnd"/>
            <w:r>
              <w:rPr>
                <w:rFonts w:ascii="Source Sans Pro" w:hAnsi="Source Sans Pro"/>
                <w:bCs/>
                <w:sz w:val="16"/>
                <w:szCs w:val="16"/>
              </w:rPr>
              <w:t xml:space="preserve">”, </w:t>
            </w:r>
            <w:proofErr w:type="spellStart"/>
            <w:r>
              <w:rPr>
                <w:rFonts w:ascii="Source Sans Pro" w:hAnsi="Source Sans Pro"/>
                <w:bCs/>
                <w:sz w:val="16"/>
                <w:szCs w:val="16"/>
              </w:rPr>
              <w:t>Vaihinger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131</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D3F3013" w14:textId="2A95CAF8"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Ed. </w:t>
            </w:r>
            <w:proofErr w:type="spellStart"/>
            <w:r>
              <w:rPr>
                <w:rFonts w:ascii="Source Sans Pro" w:hAnsi="Source Sans Pro"/>
                <w:bCs/>
                <w:sz w:val="16"/>
                <w:szCs w:val="16"/>
              </w:rPr>
              <w:t>Züblin</w:t>
            </w:r>
            <w:proofErr w:type="spellEnd"/>
            <w:r>
              <w:rPr>
                <w:rFonts w:ascii="Source Sans Pro" w:hAnsi="Source Sans Pro"/>
                <w:bCs/>
                <w:sz w:val="16"/>
                <w:szCs w:val="16"/>
              </w:rPr>
              <w:t xml:space="preserve"> </w:t>
            </w:r>
            <w:r>
              <w:rPr>
                <w:rFonts w:ascii="Source Sans Pro" w:hAnsi="Source Sans Pro"/>
                <w:b/>
                <w:bCs/>
                <w:sz w:val="16"/>
                <w:szCs w:val="16"/>
              </w:rPr>
              <w:t>owner-occupier</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C23F58F" w14:textId="224773A3"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21,400</w:t>
            </w:r>
          </w:p>
        </w:tc>
      </w:tr>
      <w:tr w:rsidR="001421F7" w:rsidRPr="004A2D54" w14:paraId="6D372F4A"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C1F2E5C" w14:textId="273773E5"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7342469A" w14:textId="2CCB397F" w:rsidR="001421F7" w:rsidRPr="00B72F21" w:rsidRDefault="00F076C1" w:rsidP="00F076C1">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aer</w:t>
            </w:r>
            <w:proofErr w:type="spellEnd"/>
            <w:r>
              <w:rPr>
                <w:rFonts w:ascii="Source Sans Pro" w:hAnsi="Source Sans Pro"/>
                <w:bCs/>
                <w:sz w:val="16"/>
                <w:szCs w:val="16"/>
              </w:rPr>
              <w:t>”, Fritz-</w:t>
            </w:r>
            <w:proofErr w:type="spellStart"/>
            <w:r>
              <w:rPr>
                <w:rFonts w:ascii="Source Sans Pro" w:hAnsi="Source Sans Pro"/>
                <w:bCs/>
                <w:sz w:val="16"/>
                <w:szCs w:val="16"/>
              </w:rPr>
              <w:t>Schäffer</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9</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9B7137" w14:textId="4E7746CC"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Bosch Building Technologies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6531AC7" w14:textId="06DF20BA"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524925" w:rsidRPr="004A2D54" w14:paraId="2E2E1907"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6F519" w14:textId="3B361522"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DUS</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56EFD" w14:textId="693A677A" w:rsidR="00524925" w:rsidRDefault="00462567" w:rsidP="00FB28C0">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Yorcks</w:t>
            </w:r>
            <w:proofErr w:type="spellEnd"/>
            <w:r>
              <w:rPr>
                <w:rFonts w:ascii="Source Sans Pro" w:hAnsi="Source Sans Pro"/>
                <w:bCs/>
                <w:sz w:val="16"/>
                <w:szCs w:val="16"/>
              </w:rPr>
              <w:t xml:space="preserve">”, </w:t>
            </w:r>
            <w:proofErr w:type="spellStart"/>
            <w:r>
              <w:rPr>
                <w:rFonts w:ascii="Source Sans Pro" w:hAnsi="Source Sans Pro"/>
                <w:bCs/>
                <w:sz w:val="16"/>
                <w:szCs w:val="16"/>
              </w:rPr>
              <w:t>Yorckstrasse</w:t>
            </w:r>
            <w:proofErr w:type="spellEnd"/>
            <w:r>
              <w:rPr>
                <w:rFonts w:ascii="Source Sans Pro" w:hAnsi="Source Sans Pro"/>
                <w:bCs/>
                <w:sz w:val="16"/>
                <w:szCs w:val="16"/>
              </w:rPr>
              <w:t xml:space="preserve"> 19-23</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FAE83" w14:textId="2008002A" w:rsidR="00524925" w:rsidRDefault="006271D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Volkshochschule</w:t>
            </w:r>
            <w:proofErr w:type="spellEnd"/>
            <w:r>
              <w:rPr>
                <w:rFonts w:ascii="Source Sans Pro" w:hAnsi="Source Sans Pro"/>
                <w:bCs/>
                <w:sz w:val="16"/>
                <w:szCs w:val="16"/>
              </w:rPr>
              <w:t xml:space="preserve"> Düsseldorf (adult education centre)</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69FD3" w14:textId="412841B0" w:rsidR="00524925" w:rsidRDefault="006271DD" w:rsidP="00AA5925">
            <w:pPr>
              <w:widowControl w:val="0"/>
              <w:jc w:val="center"/>
              <w:rPr>
                <w:rFonts w:ascii="Source Sans Pro" w:hAnsi="Source Sans Pro" w:cs="Arial"/>
                <w:bCs/>
                <w:sz w:val="16"/>
                <w:szCs w:val="16"/>
              </w:rPr>
            </w:pPr>
            <w:r>
              <w:rPr>
                <w:rFonts w:ascii="Source Sans Pro" w:hAnsi="Source Sans Pro"/>
                <w:bCs/>
                <w:sz w:val="16"/>
                <w:szCs w:val="16"/>
              </w:rPr>
              <w:t>17,570</w:t>
            </w:r>
          </w:p>
        </w:tc>
      </w:tr>
      <w:tr w:rsidR="009C7CAD" w:rsidRPr="004A2D54" w14:paraId="0BA6F12E"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151C1D5" w14:textId="67381F3F" w:rsidR="009C7CAD"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6885EE34" w14:textId="7F1334C1" w:rsidR="009C7CAD" w:rsidRPr="00B72F21" w:rsidRDefault="006271DD" w:rsidP="00FB28C0">
            <w:pPr>
              <w:widowControl w:val="0"/>
              <w:jc w:val="center"/>
              <w:rPr>
                <w:rFonts w:ascii="Source Sans Pro" w:hAnsi="Source Sans Pro" w:cs="Arial"/>
                <w:bCs/>
                <w:sz w:val="16"/>
                <w:szCs w:val="16"/>
              </w:rPr>
            </w:pPr>
            <w:r>
              <w:rPr>
                <w:rFonts w:ascii="Source Sans Pro" w:hAnsi="Source Sans Pro"/>
                <w:bCs/>
                <w:sz w:val="16"/>
                <w:szCs w:val="16"/>
              </w:rPr>
              <w:t xml:space="preserve">Konrad-Adenauer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25, </w:t>
            </w:r>
            <w:proofErr w:type="spellStart"/>
            <w:r>
              <w:rPr>
                <w:rFonts w:ascii="Source Sans Pro" w:hAnsi="Source Sans Pro"/>
                <w:bCs/>
                <w:sz w:val="16"/>
                <w:szCs w:val="16"/>
              </w:rPr>
              <w:t>Bahnstrasse</w:t>
            </w:r>
            <w:proofErr w:type="spellEnd"/>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103B65" w14:textId="5CA2FB64" w:rsidR="009C7CAD" w:rsidRPr="004A2D54" w:rsidRDefault="006271DD" w:rsidP="00AA5925">
            <w:pPr>
              <w:widowControl w:val="0"/>
              <w:jc w:val="center"/>
              <w:rPr>
                <w:rFonts w:ascii="Source Sans Pro" w:hAnsi="Source Sans Pro" w:cs="Arial"/>
                <w:bCs/>
                <w:sz w:val="16"/>
                <w:szCs w:val="16"/>
              </w:rPr>
            </w:pPr>
            <w:r>
              <w:rPr>
                <w:rFonts w:ascii="Source Sans Pro" w:hAnsi="Source Sans Pro"/>
                <w:bCs/>
                <w:sz w:val="16"/>
                <w:szCs w:val="16"/>
              </w:rPr>
              <w:t>CBS Cologne Business School</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AC39139" w14:textId="3E8F787D" w:rsidR="009C7CAD"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16,000</w:t>
            </w:r>
          </w:p>
        </w:tc>
      </w:tr>
      <w:tr w:rsidR="006271DD" w:rsidRPr="004A2D54" w14:paraId="60932FB9"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87812" w14:textId="6EFD35BC"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314F1" w14:textId="5304001A" w:rsidR="006271DD" w:rsidRDefault="00E459FD" w:rsidP="00AA5925">
            <w:pPr>
              <w:widowControl w:val="0"/>
              <w:jc w:val="center"/>
              <w:rPr>
                <w:rFonts w:ascii="Source Sans Pro" w:hAnsi="Source Sans Pro" w:cs="Arial"/>
                <w:bCs/>
                <w:sz w:val="16"/>
                <w:szCs w:val="16"/>
              </w:rPr>
            </w:pPr>
            <w:r>
              <w:rPr>
                <w:rFonts w:ascii="Source Sans Pro" w:hAnsi="Source Sans Pro"/>
                <w:bCs/>
                <w:sz w:val="16"/>
                <w:szCs w:val="16"/>
              </w:rPr>
              <w:t>Wagner-</w:t>
            </w:r>
            <w:proofErr w:type="spellStart"/>
            <w:r>
              <w:rPr>
                <w:rFonts w:ascii="Source Sans Pro" w:hAnsi="Source Sans Pro"/>
                <w:bCs/>
                <w:sz w:val="16"/>
                <w:szCs w:val="16"/>
              </w:rPr>
              <w:t>Régen</w:t>
            </w:r>
            <w:r w:rsidR="006271DD">
              <w:rPr>
                <w:rFonts w:ascii="Source Sans Pro" w:hAnsi="Source Sans Pro"/>
                <w:bCs/>
                <w:sz w:val="16"/>
                <w:szCs w:val="16"/>
              </w:rPr>
              <w:t>y</w:t>
            </w:r>
            <w:proofErr w:type="spellEnd"/>
            <w:r w:rsidR="006271DD">
              <w:rPr>
                <w:rFonts w:ascii="Source Sans Pro" w:hAnsi="Source Sans Pro"/>
                <w:bCs/>
                <w:sz w:val="16"/>
                <w:szCs w:val="16"/>
              </w:rPr>
              <w:t>-</w:t>
            </w:r>
            <w:proofErr w:type="spellStart"/>
            <w:r w:rsidR="006271DD">
              <w:rPr>
                <w:rFonts w:ascii="Source Sans Pro" w:hAnsi="Source Sans Pro"/>
                <w:bCs/>
                <w:sz w:val="16"/>
                <w:szCs w:val="16"/>
              </w:rPr>
              <w:t>Strasse</w:t>
            </w:r>
            <w:proofErr w:type="spellEnd"/>
            <w:r w:rsidR="006271DD">
              <w:rPr>
                <w:rFonts w:ascii="Source Sans Pro" w:hAnsi="Source Sans Pro"/>
                <w:bCs/>
                <w:sz w:val="16"/>
                <w:szCs w:val="16"/>
              </w:rPr>
              <w:t xml:space="preserve"> 2-9</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7498D" w14:textId="77E69291"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Siemens Mobility</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D848E" w14:textId="3AD55393"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16,000</w:t>
            </w:r>
          </w:p>
        </w:tc>
      </w:tr>
      <w:tr w:rsidR="006271DD" w:rsidRPr="004A2D54" w14:paraId="5833ACAE"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A8473" w14:textId="10848DC5"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DUS</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0413" w14:textId="682D8A69"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 xml:space="preserve">“Pandion Rise”, </w:t>
            </w:r>
            <w:proofErr w:type="spellStart"/>
            <w:r>
              <w:rPr>
                <w:rFonts w:ascii="Source Sans Pro" w:hAnsi="Source Sans Pro"/>
                <w:bCs/>
                <w:sz w:val="16"/>
                <w:szCs w:val="16"/>
              </w:rPr>
              <w:t>Völklinger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2</w:t>
            </w:r>
          </w:p>
        </w:tc>
        <w:tc>
          <w:tcPr>
            <w:tcW w:w="2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10DA4" w14:textId="4D52652B"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Ernst &amp; Young</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52404" w14:textId="01F0C6CF" w:rsidR="006271DD" w:rsidRDefault="006271DD" w:rsidP="00AA5925">
            <w:pPr>
              <w:widowControl w:val="0"/>
              <w:jc w:val="center"/>
              <w:rPr>
                <w:rFonts w:ascii="Source Sans Pro" w:hAnsi="Source Sans Pro" w:cs="Arial"/>
                <w:bCs/>
                <w:sz w:val="16"/>
                <w:szCs w:val="16"/>
              </w:rPr>
            </w:pPr>
            <w:r>
              <w:rPr>
                <w:rFonts w:ascii="Source Sans Pro" w:hAnsi="Source Sans Pro"/>
                <w:bCs/>
                <w:sz w:val="16"/>
                <w:szCs w:val="16"/>
              </w:rPr>
              <w:t>14,740</w:t>
            </w:r>
          </w:p>
        </w:tc>
      </w:tr>
      <w:tr w:rsidR="004A2D54" w:rsidRPr="004A2D54" w14:paraId="026A2FAB" w14:textId="77777777" w:rsidTr="006271DD">
        <w:trPr>
          <w:trHeight w:val="22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DC0ADFC" w14:textId="7670D700"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53DF6F0B" w14:textId="0CB79C51" w:rsidR="004A2D54"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Elbbrückenquartier</w:t>
            </w:r>
            <w:proofErr w:type="spellEnd"/>
            <w:r>
              <w:rPr>
                <w:rFonts w:ascii="Source Sans Pro" w:hAnsi="Source Sans Pro"/>
                <w:bCs/>
                <w:sz w:val="16"/>
                <w:szCs w:val="16"/>
              </w:rPr>
              <w:t xml:space="preserve">”, </w:t>
            </w:r>
            <w:proofErr w:type="spellStart"/>
            <w:r>
              <w:rPr>
                <w:rFonts w:ascii="Source Sans Pro" w:hAnsi="Source Sans Pro"/>
                <w:bCs/>
                <w:sz w:val="16"/>
                <w:szCs w:val="16"/>
              </w:rPr>
              <w:t>Versmannstrasse</w:t>
            </w:r>
            <w:proofErr w:type="spellEnd"/>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B3D250" w14:textId="490B0048" w:rsidR="004A2D54" w:rsidRPr="004A2D54" w:rsidRDefault="00D60741" w:rsidP="00AA5925">
            <w:pPr>
              <w:widowControl w:val="0"/>
              <w:jc w:val="center"/>
              <w:rPr>
                <w:rFonts w:ascii="Source Sans Pro" w:hAnsi="Source Sans Pro" w:cs="Arial"/>
                <w:bCs/>
                <w:sz w:val="16"/>
                <w:szCs w:val="16"/>
              </w:rPr>
            </w:pPr>
            <w:r>
              <w:rPr>
                <w:rFonts w:ascii="Source Sans Pro" w:hAnsi="Source Sans Pro"/>
                <w:bCs/>
                <w:sz w:val="16"/>
                <w:szCs w:val="16"/>
              </w:rPr>
              <w:t>VTG</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6980E52" w14:textId="7BD3948A"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11,500</w:t>
            </w:r>
          </w:p>
        </w:tc>
      </w:tr>
    </w:tbl>
    <w:p w14:paraId="444FE02E" w14:textId="6024080C" w:rsidR="004A2D54" w:rsidRPr="004A2D54" w:rsidRDefault="00DE0A3B" w:rsidP="004A2D54">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75A1F579" w14:textId="1E6A206C" w:rsidR="00054FE9" w:rsidRDefault="00054FE9">
      <w:pPr>
        <w:overflowPunct/>
        <w:autoSpaceDE/>
        <w:autoSpaceDN/>
        <w:adjustRightInd/>
        <w:textAlignment w:val="auto"/>
        <w:rPr>
          <w:rFonts w:ascii="Source Sans Pro" w:hAnsi="Source Sans Pro" w:cs="Arial"/>
          <w:sz w:val="16"/>
          <w:szCs w:val="16"/>
        </w:rPr>
      </w:pPr>
    </w:p>
    <w:p w14:paraId="686A9A89" w14:textId="0D643B7B" w:rsidR="004001E7" w:rsidRDefault="004001E7">
      <w:pPr>
        <w:overflowPunct/>
        <w:autoSpaceDE/>
        <w:autoSpaceDN/>
        <w:adjustRightInd/>
        <w:textAlignment w:val="auto"/>
        <w:rPr>
          <w:rFonts w:ascii="Source Sans Pro" w:hAnsi="Source Sans Pro" w:cs="Arial"/>
          <w:sz w:val="16"/>
          <w:szCs w:val="16"/>
        </w:rPr>
      </w:pPr>
    </w:p>
    <w:p w14:paraId="594A9CC6" w14:textId="23A3128F" w:rsidR="004001E7" w:rsidRDefault="004001E7">
      <w:pPr>
        <w:overflowPunct/>
        <w:autoSpaceDE/>
        <w:autoSpaceDN/>
        <w:adjustRightInd/>
        <w:textAlignment w:val="auto"/>
        <w:rPr>
          <w:rFonts w:ascii="Source Sans Pro" w:hAnsi="Source Sans Pro" w:cs="Arial"/>
          <w:sz w:val="16"/>
          <w:szCs w:val="16"/>
        </w:rPr>
      </w:pPr>
    </w:p>
    <w:p w14:paraId="420BCDE4" w14:textId="77777777" w:rsidR="004001E7" w:rsidRDefault="004001E7">
      <w:pPr>
        <w:overflowPunct/>
        <w:autoSpaceDE/>
        <w:autoSpaceDN/>
        <w:adjustRightInd/>
        <w:textAlignment w:val="auto"/>
        <w:rPr>
          <w:rFonts w:ascii="Source Sans Pro" w:hAnsi="Source Sans Pro" w:cs="Arial"/>
          <w:sz w:val="16"/>
          <w:szCs w:val="16"/>
        </w:rPr>
      </w:pPr>
    </w:p>
    <w:p w14:paraId="1BF7891F" w14:textId="2EAD0E9C" w:rsidR="004A2D54" w:rsidRPr="004A2D54" w:rsidRDefault="004A2D54" w:rsidP="004A2D54">
      <w:pPr>
        <w:rPr>
          <w:rFonts w:ascii="Source Sans Pro" w:hAnsi="Source Sans Pro" w:cs="Arial"/>
          <w:sz w:val="16"/>
          <w:szCs w:val="16"/>
        </w:rPr>
      </w:pPr>
      <w:r>
        <w:rPr>
          <w:rFonts w:ascii="Source Sans Pro" w:hAnsi="Source Sans Pro"/>
          <w:b/>
          <w:sz w:val="20"/>
        </w:rPr>
        <w:t>Top 7 cities | 1st-2nd quarters of 2022</w:t>
      </w:r>
    </w:p>
    <w:tbl>
      <w:tblPr>
        <w:tblStyle w:val="Tabellenraster"/>
        <w:tblW w:w="5000" w:type="pct"/>
        <w:tblLook w:val="04A0" w:firstRow="1" w:lastRow="0" w:firstColumn="1" w:lastColumn="0" w:noHBand="0" w:noVBand="1"/>
      </w:tblPr>
      <w:tblGrid>
        <w:gridCol w:w="1828"/>
        <w:gridCol w:w="932"/>
        <w:gridCol w:w="932"/>
        <w:gridCol w:w="932"/>
        <w:gridCol w:w="932"/>
        <w:gridCol w:w="932"/>
        <w:gridCol w:w="932"/>
        <w:gridCol w:w="932"/>
        <w:gridCol w:w="930"/>
      </w:tblGrid>
      <w:tr w:rsidR="004A2D54" w:rsidRPr="004A2D54" w14:paraId="1F169502" w14:textId="77777777" w:rsidTr="00AA5925">
        <w:trPr>
          <w:trHeight w:val="283"/>
        </w:trPr>
        <w:tc>
          <w:tcPr>
            <w:tcW w:w="985" w:type="pct"/>
            <w:vAlign w:val="center"/>
          </w:tcPr>
          <w:p w14:paraId="0254193F" w14:textId="77777777" w:rsidR="004A2D54" w:rsidRPr="004A2D54" w:rsidRDefault="004A2D54" w:rsidP="00AA5925">
            <w:pPr>
              <w:widowControl w:val="0"/>
              <w:rPr>
                <w:rFonts w:ascii="Source Sans Pro" w:hAnsi="Source Sans Pro" w:cs="Arial"/>
                <w:b/>
                <w:sz w:val="16"/>
                <w:szCs w:val="16"/>
              </w:rPr>
            </w:pPr>
          </w:p>
        </w:tc>
        <w:tc>
          <w:tcPr>
            <w:tcW w:w="502" w:type="pct"/>
            <w:vAlign w:val="center"/>
          </w:tcPr>
          <w:p w14:paraId="6F593517"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HAM</w:t>
            </w:r>
          </w:p>
        </w:tc>
        <w:tc>
          <w:tcPr>
            <w:tcW w:w="502" w:type="pct"/>
            <w:vAlign w:val="center"/>
          </w:tcPr>
          <w:p w14:paraId="4C569DD5"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BER</w:t>
            </w:r>
          </w:p>
        </w:tc>
        <w:tc>
          <w:tcPr>
            <w:tcW w:w="502" w:type="pct"/>
            <w:vAlign w:val="center"/>
          </w:tcPr>
          <w:p w14:paraId="31F1C32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DUS</w:t>
            </w:r>
          </w:p>
        </w:tc>
        <w:tc>
          <w:tcPr>
            <w:tcW w:w="502" w:type="pct"/>
            <w:vAlign w:val="center"/>
          </w:tcPr>
          <w:p w14:paraId="22D79F2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CGN</w:t>
            </w:r>
          </w:p>
        </w:tc>
        <w:tc>
          <w:tcPr>
            <w:tcW w:w="502" w:type="pct"/>
            <w:vAlign w:val="center"/>
          </w:tcPr>
          <w:p w14:paraId="45019706"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FFM</w:t>
            </w:r>
          </w:p>
        </w:tc>
        <w:tc>
          <w:tcPr>
            <w:tcW w:w="502" w:type="pct"/>
            <w:vAlign w:val="center"/>
          </w:tcPr>
          <w:p w14:paraId="690BA4A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STU</w:t>
            </w:r>
          </w:p>
        </w:tc>
        <w:tc>
          <w:tcPr>
            <w:tcW w:w="502" w:type="pct"/>
            <w:vAlign w:val="center"/>
          </w:tcPr>
          <w:p w14:paraId="7EB9AFCD"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MUC</w:t>
            </w:r>
          </w:p>
        </w:tc>
        <w:tc>
          <w:tcPr>
            <w:tcW w:w="502" w:type="pct"/>
            <w:vAlign w:val="center"/>
          </w:tcPr>
          <w:p w14:paraId="349A50B2"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Top 7</w:t>
            </w:r>
          </w:p>
        </w:tc>
      </w:tr>
      <w:tr w:rsidR="004A2D54" w:rsidRPr="004A2D54" w14:paraId="0A45CD03" w14:textId="77777777" w:rsidTr="00AA5925">
        <w:trPr>
          <w:trHeight w:val="283"/>
        </w:trPr>
        <w:tc>
          <w:tcPr>
            <w:tcW w:w="985" w:type="pct"/>
            <w:vAlign w:val="center"/>
          </w:tcPr>
          <w:p w14:paraId="405F271F"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Take-up of space</w:t>
            </w:r>
          </w:p>
          <w:p w14:paraId="1D6CAF59"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w:t>
            </w:r>
          </w:p>
        </w:tc>
        <w:tc>
          <w:tcPr>
            <w:tcW w:w="502" w:type="pct"/>
            <w:vAlign w:val="center"/>
          </w:tcPr>
          <w:p w14:paraId="6D8FB010" w14:textId="5B8AA59D" w:rsidR="004A2D54" w:rsidRPr="004A2D54" w:rsidRDefault="00D145A9" w:rsidP="00AA5925">
            <w:pPr>
              <w:jc w:val="center"/>
              <w:rPr>
                <w:rFonts w:ascii="Source Sans Pro" w:hAnsi="Source Sans Pro" w:cs="Arial"/>
                <w:sz w:val="16"/>
                <w:szCs w:val="16"/>
              </w:rPr>
            </w:pPr>
            <w:r>
              <w:rPr>
                <w:rFonts w:ascii="Source Sans Pro" w:hAnsi="Source Sans Pro"/>
                <w:sz w:val="16"/>
                <w:szCs w:val="16"/>
              </w:rPr>
              <w:t>305,000</w:t>
            </w:r>
          </w:p>
        </w:tc>
        <w:tc>
          <w:tcPr>
            <w:tcW w:w="502" w:type="pct"/>
            <w:vAlign w:val="center"/>
          </w:tcPr>
          <w:p w14:paraId="3C6241A3" w14:textId="7113139B" w:rsidR="004A2D54" w:rsidRPr="001E73A9" w:rsidRDefault="008D1D28" w:rsidP="00AA5925">
            <w:pPr>
              <w:jc w:val="center"/>
              <w:rPr>
                <w:rFonts w:ascii="Source Sans Pro" w:hAnsi="Source Sans Pro" w:cs="Arial"/>
                <w:sz w:val="16"/>
                <w:szCs w:val="16"/>
              </w:rPr>
            </w:pPr>
            <w:r>
              <w:rPr>
                <w:rFonts w:ascii="Source Sans Pro" w:hAnsi="Source Sans Pro"/>
                <w:sz w:val="16"/>
                <w:szCs w:val="16"/>
              </w:rPr>
              <w:t>323,000</w:t>
            </w:r>
          </w:p>
        </w:tc>
        <w:tc>
          <w:tcPr>
            <w:tcW w:w="502" w:type="pct"/>
            <w:vAlign w:val="center"/>
          </w:tcPr>
          <w:p w14:paraId="207CCC61" w14:textId="680DC0F0"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164,600</w:t>
            </w:r>
          </w:p>
        </w:tc>
        <w:tc>
          <w:tcPr>
            <w:tcW w:w="502" w:type="pct"/>
            <w:vAlign w:val="center"/>
          </w:tcPr>
          <w:p w14:paraId="6EB9679F" w14:textId="61E49677"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220,000</w:t>
            </w:r>
          </w:p>
        </w:tc>
        <w:tc>
          <w:tcPr>
            <w:tcW w:w="502" w:type="pct"/>
            <w:vAlign w:val="center"/>
          </w:tcPr>
          <w:p w14:paraId="59C93C6A" w14:textId="4246B598"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216,200</w:t>
            </w:r>
          </w:p>
        </w:tc>
        <w:tc>
          <w:tcPr>
            <w:tcW w:w="502" w:type="pct"/>
            <w:vAlign w:val="center"/>
          </w:tcPr>
          <w:p w14:paraId="181F9FE1" w14:textId="4D4105FF"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213,000</w:t>
            </w:r>
          </w:p>
        </w:tc>
        <w:tc>
          <w:tcPr>
            <w:tcW w:w="502" w:type="pct"/>
            <w:vAlign w:val="center"/>
          </w:tcPr>
          <w:p w14:paraId="10452766" w14:textId="23781AD0" w:rsidR="004A2D54" w:rsidRPr="001E73A9" w:rsidRDefault="008D1D28" w:rsidP="00AA5925">
            <w:pPr>
              <w:jc w:val="center"/>
              <w:rPr>
                <w:rFonts w:ascii="Source Sans Pro" w:hAnsi="Source Sans Pro" w:cs="Arial"/>
                <w:sz w:val="16"/>
                <w:szCs w:val="16"/>
                <w:u w:val="single"/>
              </w:rPr>
            </w:pPr>
            <w:r>
              <w:rPr>
                <w:rFonts w:ascii="Source Sans Pro" w:hAnsi="Source Sans Pro"/>
                <w:sz w:val="16"/>
                <w:szCs w:val="16"/>
                <w:u w:val="single"/>
              </w:rPr>
              <w:t>378,000</w:t>
            </w:r>
          </w:p>
        </w:tc>
        <w:tc>
          <w:tcPr>
            <w:tcW w:w="502" w:type="pct"/>
            <w:vAlign w:val="center"/>
          </w:tcPr>
          <w:p w14:paraId="4805316C" w14:textId="782C2F24" w:rsidR="004A2D54" w:rsidRPr="004A2D54" w:rsidRDefault="00D145A9" w:rsidP="00AA5925">
            <w:pPr>
              <w:jc w:val="center"/>
              <w:rPr>
                <w:rFonts w:ascii="Source Sans Pro" w:hAnsi="Source Sans Pro" w:cs="Arial"/>
                <w:b/>
                <w:sz w:val="16"/>
                <w:szCs w:val="16"/>
              </w:rPr>
            </w:pPr>
            <w:r>
              <w:rPr>
                <w:rFonts w:ascii="Source Sans Pro" w:hAnsi="Source Sans Pro"/>
                <w:b/>
                <w:sz w:val="16"/>
                <w:szCs w:val="16"/>
              </w:rPr>
              <w:t>1,819,800</w:t>
            </w:r>
          </w:p>
        </w:tc>
      </w:tr>
      <w:tr w:rsidR="004A2D54" w:rsidRPr="004A2D54" w14:paraId="1EA0FAB5" w14:textId="77777777" w:rsidTr="00AA5925">
        <w:trPr>
          <w:trHeight w:val="283"/>
        </w:trPr>
        <w:tc>
          <w:tcPr>
            <w:tcW w:w="985" w:type="pct"/>
            <w:vAlign w:val="center"/>
          </w:tcPr>
          <w:p w14:paraId="32D6983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Change</w:t>
            </w:r>
          </w:p>
          <w:p w14:paraId="6D9A9C05"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502" w:type="pct"/>
            <w:vAlign w:val="center"/>
          </w:tcPr>
          <w:p w14:paraId="5F60596F" w14:textId="08B50B0F" w:rsidR="004A2D54" w:rsidRPr="001E73A9" w:rsidRDefault="008D1D28" w:rsidP="00AA5925">
            <w:pPr>
              <w:jc w:val="center"/>
              <w:rPr>
                <w:rFonts w:ascii="Source Sans Pro" w:hAnsi="Source Sans Pro" w:cs="Arial"/>
                <w:sz w:val="16"/>
                <w:szCs w:val="16"/>
              </w:rPr>
            </w:pPr>
            <w:r>
              <w:rPr>
                <w:rFonts w:ascii="Source Sans Pro" w:hAnsi="Source Sans Pro"/>
                <w:sz w:val="16"/>
                <w:szCs w:val="16"/>
              </w:rPr>
              <w:t>+36</w:t>
            </w:r>
          </w:p>
        </w:tc>
        <w:tc>
          <w:tcPr>
            <w:tcW w:w="502" w:type="pct"/>
            <w:vAlign w:val="center"/>
          </w:tcPr>
          <w:p w14:paraId="0E53EDA4" w14:textId="01A08808"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+6</w:t>
            </w:r>
          </w:p>
        </w:tc>
        <w:tc>
          <w:tcPr>
            <w:tcW w:w="502" w:type="pct"/>
            <w:vAlign w:val="center"/>
          </w:tcPr>
          <w:p w14:paraId="44D058C9" w14:textId="22D4EDDA"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+68</w:t>
            </w:r>
          </w:p>
        </w:tc>
        <w:tc>
          <w:tcPr>
            <w:tcW w:w="502" w:type="pct"/>
            <w:vAlign w:val="center"/>
          </w:tcPr>
          <w:p w14:paraId="07EAF74E" w14:textId="5E8E589C" w:rsidR="004A2D54" w:rsidRPr="002371FE" w:rsidRDefault="008D1D28" w:rsidP="00AA5925">
            <w:pPr>
              <w:jc w:val="center"/>
              <w:rPr>
                <w:rFonts w:ascii="Source Sans Pro" w:hAnsi="Source Sans Pro" w:cs="Arial"/>
                <w:sz w:val="16"/>
                <w:szCs w:val="16"/>
              </w:rPr>
            </w:pPr>
            <w:r>
              <w:rPr>
                <w:rFonts w:ascii="Source Sans Pro" w:hAnsi="Source Sans Pro"/>
                <w:sz w:val="16"/>
                <w:szCs w:val="16"/>
              </w:rPr>
              <w:t>+57</w:t>
            </w:r>
          </w:p>
        </w:tc>
        <w:tc>
          <w:tcPr>
            <w:tcW w:w="502" w:type="pct"/>
            <w:vAlign w:val="center"/>
          </w:tcPr>
          <w:p w14:paraId="5C1E2E78" w14:textId="5168676A"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+13</w:t>
            </w:r>
          </w:p>
        </w:tc>
        <w:tc>
          <w:tcPr>
            <w:tcW w:w="502" w:type="pct"/>
            <w:vAlign w:val="center"/>
          </w:tcPr>
          <w:p w14:paraId="0CE9A835" w14:textId="3F261030" w:rsidR="004A2D54" w:rsidRPr="001E73A9" w:rsidRDefault="008D1D28" w:rsidP="00AA5925">
            <w:pPr>
              <w:jc w:val="center"/>
              <w:rPr>
                <w:rFonts w:ascii="Source Sans Pro" w:hAnsi="Source Sans Pro" w:cs="Arial"/>
                <w:sz w:val="16"/>
                <w:szCs w:val="16"/>
                <w:u w:val="single"/>
              </w:rPr>
            </w:pPr>
            <w:r>
              <w:rPr>
                <w:rFonts w:ascii="Source Sans Pro" w:hAnsi="Source Sans Pro"/>
                <w:sz w:val="16"/>
                <w:szCs w:val="16"/>
                <w:u w:val="single"/>
              </w:rPr>
              <w:t>+314</w:t>
            </w:r>
          </w:p>
        </w:tc>
        <w:tc>
          <w:tcPr>
            <w:tcW w:w="502" w:type="pct"/>
            <w:vAlign w:val="center"/>
          </w:tcPr>
          <w:p w14:paraId="7AE6C155" w14:textId="65568D4B"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+76</w:t>
            </w:r>
          </w:p>
        </w:tc>
        <w:tc>
          <w:tcPr>
            <w:tcW w:w="502" w:type="pct"/>
            <w:vAlign w:val="center"/>
          </w:tcPr>
          <w:p w14:paraId="0193D00C" w14:textId="077AC3D5" w:rsidR="004A2D54" w:rsidRPr="004A2D54" w:rsidRDefault="008D1D28" w:rsidP="00AA5925">
            <w:pPr>
              <w:jc w:val="center"/>
              <w:rPr>
                <w:rFonts w:ascii="Source Sans Pro" w:hAnsi="Source Sans Pro" w:cs="Arial"/>
                <w:b/>
                <w:sz w:val="16"/>
                <w:szCs w:val="16"/>
              </w:rPr>
            </w:pPr>
            <w:r>
              <w:rPr>
                <w:rFonts w:ascii="Source Sans Pro" w:hAnsi="Source Sans Pro"/>
                <w:b/>
                <w:sz w:val="16"/>
                <w:szCs w:val="16"/>
              </w:rPr>
              <w:t>+49</w:t>
            </w:r>
          </w:p>
        </w:tc>
      </w:tr>
      <w:tr w:rsidR="004A2D54" w:rsidRPr="004A2D54" w14:paraId="28C0E045" w14:textId="77777777" w:rsidTr="00AA5925">
        <w:trPr>
          <w:trHeight w:val="283"/>
        </w:trPr>
        <w:tc>
          <w:tcPr>
            <w:tcW w:w="985" w:type="pct"/>
            <w:vAlign w:val="center"/>
          </w:tcPr>
          <w:p w14:paraId="20BEBAE3"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Premium rent</w:t>
            </w:r>
          </w:p>
          <w:p w14:paraId="5014603B"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38BC9DC0" w14:textId="25173DA6"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32.50</w:t>
            </w:r>
          </w:p>
        </w:tc>
        <w:tc>
          <w:tcPr>
            <w:tcW w:w="502" w:type="pct"/>
            <w:vAlign w:val="center"/>
          </w:tcPr>
          <w:p w14:paraId="36FC9688" w14:textId="2378548C"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41.80</w:t>
            </w:r>
          </w:p>
        </w:tc>
        <w:tc>
          <w:tcPr>
            <w:tcW w:w="502" w:type="pct"/>
            <w:vAlign w:val="center"/>
          </w:tcPr>
          <w:p w14:paraId="1327B9B3" w14:textId="5E3F4244"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29.00</w:t>
            </w:r>
          </w:p>
        </w:tc>
        <w:tc>
          <w:tcPr>
            <w:tcW w:w="502" w:type="pct"/>
            <w:vAlign w:val="center"/>
          </w:tcPr>
          <w:p w14:paraId="760BB6C8" w14:textId="1BCB1DFD"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27.00</w:t>
            </w:r>
          </w:p>
        </w:tc>
        <w:tc>
          <w:tcPr>
            <w:tcW w:w="502" w:type="pct"/>
            <w:vAlign w:val="center"/>
          </w:tcPr>
          <w:p w14:paraId="3A6FFDAF" w14:textId="1E80ADBA" w:rsidR="004A2D54" w:rsidRPr="004A2D54" w:rsidRDefault="007F4D32" w:rsidP="00AA5925">
            <w:pPr>
              <w:jc w:val="center"/>
              <w:rPr>
                <w:rFonts w:ascii="Source Sans Pro" w:hAnsi="Source Sans Pro" w:cs="Arial"/>
                <w:sz w:val="16"/>
                <w:szCs w:val="16"/>
                <w:u w:val="single"/>
              </w:rPr>
            </w:pPr>
            <w:r>
              <w:rPr>
                <w:rFonts w:ascii="Source Sans Pro" w:hAnsi="Source Sans Pro"/>
                <w:sz w:val="16"/>
                <w:szCs w:val="16"/>
                <w:u w:val="single"/>
              </w:rPr>
              <w:t>46.20</w:t>
            </w:r>
          </w:p>
        </w:tc>
        <w:tc>
          <w:tcPr>
            <w:tcW w:w="502" w:type="pct"/>
            <w:vAlign w:val="center"/>
          </w:tcPr>
          <w:p w14:paraId="7563F31F" w14:textId="17878EBB"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29.40</w:t>
            </w:r>
          </w:p>
        </w:tc>
        <w:tc>
          <w:tcPr>
            <w:tcW w:w="502" w:type="pct"/>
            <w:vAlign w:val="center"/>
          </w:tcPr>
          <w:p w14:paraId="1672D038" w14:textId="2624F8A9"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41.00</w:t>
            </w:r>
          </w:p>
        </w:tc>
        <w:tc>
          <w:tcPr>
            <w:tcW w:w="502" w:type="pct"/>
            <w:vAlign w:val="center"/>
          </w:tcPr>
          <w:p w14:paraId="4DAAB3CF" w14:textId="111B0E6C" w:rsidR="004A2D54" w:rsidRPr="004A2D54" w:rsidRDefault="008D1D28"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1F9B5D78" w14:textId="77777777" w:rsidTr="00AA5925">
        <w:trPr>
          <w:trHeight w:val="283"/>
        </w:trPr>
        <w:tc>
          <w:tcPr>
            <w:tcW w:w="985" w:type="pct"/>
            <w:vAlign w:val="center"/>
          </w:tcPr>
          <w:p w14:paraId="7624939D"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Average rent</w:t>
            </w:r>
          </w:p>
          <w:p w14:paraId="0A688944" w14:textId="3E203F2E"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6766B324" w14:textId="2067DC87" w:rsidR="004A2D54" w:rsidRPr="004A2D54" w:rsidRDefault="00D145A9" w:rsidP="00AA5925">
            <w:pPr>
              <w:jc w:val="center"/>
              <w:rPr>
                <w:rFonts w:ascii="Source Sans Pro" w:hAnsi="Source Sans Pro" w:cs="Arial"/>
                <w:sz w:val="16"/>
                <w:szCs w:val="16"/>
              </w:rPr>
            </w:pPr>
            <w:r>
              <w:rPr>
                <w:rFonts w:ascii="Source Sans Pro" w:hAnsi="Source Sans Pro"/>
                <w:sz w:val="16"/>
                <w:szCs w:val="16"/>
              </w:rPr>
              <w:t>20.60</w:t>
            </w:r>
          </w:p>
        </w:tc>
        <w:tc>
          <w:tcPr>
            <w:tcW w:w="502" w:type="pct"/>
            <w:vAlign w:val="center"/>
          </w:tcPr>
          <w:p w14:paraId="69F36A2E" w14:textId="03B7C718" w:rsidR="004A2D54" w:rsidRPr="004A2D54" w:rsidRDefault="008D1D28" w:rsidP="00AA5925">
            <w:pPr>
              <w:jc w:val="center"/>
              <w:rPr>
                <w:rFonts w:ascii="Source Sans Pro" w:hAnsi="Source Sans Pro" w:cs="Arial"/>
                <w:sz w:val="16"/>
                <w:szCs w:val="16"/>
                <w:u w:val="single"/>
              </w:rPr>
            </w:pPr>
            <w:r>
              <w:rPr>
                <w:rFonts w:ascii="Source Sans Pro" w:hAnsi="Source Sans Pro"/>
                <w:sz w:val="16"/>
                <w:szCs w:val="16"/>
                <w:u w:val="single"/>
              </w:rPr>
              <w:t>30.00</w:t>
            </w:r>
          </w:p>
        </w:tc>
        <w:tc>
          <w:tcPr>
            <w:tcW w:w="502" w:type="pct"/>
            <w:vAlign w:val="center"/>
          </w:tcPr>
          <w:p w14:paraId="3A3D5B73" w14:textId="09C678CF"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17.10</w:t>
            </w:r>
          </w:p>
        </w:tc>
        <w:tc>
          <w:tcPr>
            <w:tcW w:w="502" w:type="pct"/>
            <w:vAlign w:val="center"/>
          </w:tcPr>
          <w:p w14:paraId="5EEA2477" w14:textId="24A7ACC5"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17.80</w:t>
            </w:r>
          </w:p>
        </w:tc>
        <w:tc>
          <w:tcPr>
            <w:tcW w:w="502" w:type="pct"/>
            <w:vAlign w:val="center"/>
          </w:tcPr>
          <w:p w14:paraId="5785D354" w14:textId="3E412494" w:rsidR="004A2D54" w:rsidRPr="004A2D54" w:rsidRDefault="00C852DE" w:rsidP="00AA5925">
            <w:pPr>
              <w:jc w:val="center"/>
              <w:rPr>
                <w:rFonts w:ascii="Source Sans Pro" w:hAnsi="Source Sans Pro" w:cs="Arial"/>
                <w:sz w:val="16"/>
                <w:szCs w:val="16"/>
              </w:rPr>
            </w:pPr>
            <w:r>
              <w:rPr>
                <w:rFonts w:ascii="Source Sans Pro" w:hAnsi="Source Sans Pro"/>
                <w:sz w:val="16"/>
                <w:szCs w:val="16"/>
              </w:rPr>
              <w:t>22.60</w:t>
            </w:r>
          </w:p>
        </w:tc>
        <w:tc>
          <w:tcPr>
            <w:tcW w:w="502" w:type="pct"/>
            <w:vAlign w:val="center"/>
          </w:tcPr>
          <w:p w14:paraId="44091F26" w14:textId="2A718B05"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16.40</w:t>
            </w:r>
          </w:p>
        </w:tc>
        <w:tc>
          <w:tcPr>
            <w:tcW w:w="502" w:type="pct"/>
            <w:vAlign w:val="center"/>
          </w:tcPr>
          <w:p w14:paraId="2CFCC248" w14:textId="27BA737A"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22.50</w:t>
            </w:r>
          </w:p>
        </w:tc>
        <w:tc>
          <w:tcPr>
            <w:tcW w:w="502" w:type="pct"/>
            <w:vAlign w:val="center"/>
          </w:tcPr>
          <w:p w14:paraId="77B616F3" w14:textId="4664F7AF" w:rsidR="004A2D54" w:rsidRPr="004A2D54" w:rsidRDefault="008D1D28"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497ADABD" w14:textId="77777777" w:rsidTr="00AA5925">
        <w:trPr>
          <w:trHeight w:val="283"/>
        </w:trPr>
        <w:tc>
          <w:tcPr>
            <w:tcW w:w="985" w:type="pct"/>
            <w:vAlign w:val="center"/>
          </w:tcPr>
          <w:p w14:paraId="7DB90D4B"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Total stock of office space</w:t>
            </w:r>
          </w:p>
          <w:p w14:paraId="265D7B5E" w14:textId="595DC771" w:rsidR="004A2D54" w:rsidRPr="004A2D54" w:rsidRDefault="004A2D54" w:rsidP="00AA5925">
            <w:pPr>
              <w:widowControl w:val="0"/>
              <w:rPr>
                <w:rFonts w:ascii="Source Sans Pro" w:hAnsi="Source Sans Pro" w:cs="Arial"/>
                <w:sz w:val="16"/>
                <w:szCs w:val="16"/>
              </w:rPr>
            </w:pPr>
            <w:r>
              <w:rPr>
                <w:rFonts w:ascii="Source Sans Pro" w:hAnsi="Source Sans Pro"/>
                <w:sz w:val="16"/>
                <w:szCs w:val="16"/>
              </w:rPr>
              <w:t>in millions m²</w:t>
            </w:r>
          </w:p>
        </w:tc>
        <w:tc>
          <w:tcPr>
            <w:tcW w:w="502" w:type="pct"/>
            <w:vAlign w:val="center"/>
          </w:tcPr>
          <w:p w14:paraId="6B529685" w14:textId="5A8E3B7F" w:rsidR="004A2D54" w:rsidRPr="004A2D54" w:rsidRDefault="008D1D28" w:rsidP="001E73A9">
            <w:pPr>
              <w:jc w:val="center"/>
              <w:rPr>
                <w:rFonts w:ascii="Source Sans Pro" w:hAnsi="Source Sans Pro" w:cs="Arial"/>
                <w:sz w:val="16"/>
                <w:szCs w:val="16"/>
              </w:rPr>
            </w:pPr>
            <w:r>
              <w:rPr>
                <w:rFonts w:ascii="Source Sans Pro" w:hAnsi="Source Sans Pro"/>
                <w:sz w:val="16"/>
                <w:szCs w:val="16"/>
              </w:rPr>
              <w:t>13.96</w:t>
            </w:r>
          </w:p>
        </w:tc>
        <w:tc>
          <w:tcPr>
            <w:tcW w:w="502" w:type="pct"/>
            <w:vAlign w:val="center"/>
          </w:tcPr>
          <w:p w14:paraId="5A655032" w14:textId="5509C62E" w:rsidR="004A2D54" w:rsidRPr="004A2D54" w:rsidRDefault="008D1D28" w:rsidP="008E5C25">
            <w:pPr>
              <w:jc w:val="center"/>
              <w:rPr>
                <w:rFonts w:ascii="Source Sans Pro" w:hAnsi="Source Sans Pro" w:cs="Arial"/>
                <w:sz w:val="16"/>
                <w:szCs w:val="16"/>
              </w:rPr>
            </w:pPr>
            <w:r>
              <w:rPr>
                <w:rFonts w:ascii="Source Sans Pro" w:hAnsi="Source Sans Pro"/>
                <w:sz w:val="16"/>
                <w:szCs w:val="16"/>
              </w:rPr>
              <w:t>20.90</w:t>
            </w:r>
          </w:p>
        </w:tc>
        <w:tc>
          <w:tcPr>
            <w:tcW w:w="502" w:type="pct"/>
            <w:vAlign w:val="center"/>
          </w:tcPr>
          <w:p w14:paraId="7BC26CF2" w14:textId="03DB6E15"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7.41</w:t>
            </w:r>
          </w:p>
        </w:tc>
        <w:tc>
          <w:tcPr>
            <w:tcW w:w="502" w:type="pct"/>
            <w:vAlign w:val="center"/>
          </w:tcPr>
          <w:p w14:paraId="6CDA777F" w14:textId="4BDF847F"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8.10</w:t>
            </w:r>
          </w:p>
        </w:tc>
        <w:tc>
          <w:tcPr>
            <w:tcW w:w="502" w:type="pct"/>
            <w:vAlign w:val="center"/>
          </w:tcPr>
          <w:p w14:paraId="14273F72" w14:textId="5ACB4270" w:rsidR="004A2D54" w:rsidRPr="004A2D54" w:rsidRDefault="008D1D28" w:rsidP="008E5C25">
            <w:pPr>
              <w:jc w:val="center"/>
              <w:rPr>
                <w:rFonts w:ascii="Source Sans Pro" w:hAnsi="Source Sans Pro" w:cs="Arial"/>
                <w:sz w:val="16"/>
                <w:szCs w:val="16"/>
              </w:rPr>
            </w:pPr>
            <w:r>
              <w:rPr>
                <w:rFonts w:ascii="Source Sans Pro" w:hAnsi="Source Sans Pro"/>
                <w:sz w:val="16"/>
                <w:szCs w:val="16"/>
              </w:rPr>
              <w:t>11.73</w:t>
            </w:r>
          </w:p>
        </w:tc>
        <w:tc>
          <w:tcPr>
            <w:tcW w:w="502" w:type="pct"/>
            <w:vAlign w:val="center"/>
          </w:tcPr>
          <w:p w14:paraId="40B9B914" w14:textId="2DA54548" w:rsidR="004A2D54" w:rsidRPr="004A2D54" w:rsidRDefault="008D1D28" w:rsidP="00D60741">
            <w:pPr>
              <w:jc w:val="center"/>
              <w:rPr>
                <w:rFonts w:ascii="Source Sans Pro" w:hAnsi="Source Sans Pro" w:cs="Arial"/>
                <w:sz w:val="16"/>
                <w:szCs w:val="16"/>
              </w:rPr>
            </w:pPr>
            <w:r>
              <w:rPr>
                <w:rFonts w:ascii="Source Sans Pro" w:hAnsi="Source Sans Pro"/>
                <w:sz w:val="16"/>
                <w:szCs w:val="16"/>
              </w:rPr>
              <w:t>8.38</w:t>
            </w:r>
          </w:p>
        </w:tc>
        <w:tc>
          <w:tcPr>
            <w:tcW w:w="502" w:type="pct"/>
            <w:vAlign w:val="center"/>
          </w:tcPr>
          <w:p w14:paraId="2FFE04BD" w14:textId="6DD9FEE6" w:rsidR="004A2D54" w:rsidRPr="004A2D54" w:rsidRDefault="008D1D28" w:rsidP="008E5C25">
            <w:pPr>
              <w:jc w:val="center"/>
              <w:rPr>
                <w:rFonts w:ascii="Source Sans Pro" w:hAnsi="Source Sans Pro" w:cs="Arial"/>
                <w:sz w:val="16"/>
                <w:szCs w:val="16"/>
                <w:u w:val="single"/>
              </w:rPr>
            </w:pPr>
            <w:r>
              <w:rPr>
                <w:rFonts w:ascii="Source Sans Pro" w:hAnsi="Source Sans Pro"/>
                <w:sz w:val="16"/>
                <w:szCs w:val="16"/>
                <w:u w:val="single"/>
              </w:rPr>
              <w:t>23.40</w:t>
            </w:r>
          </w:p>
        </w:tc>
        <w:tc>
          <w:tcPr>
            <w:tcW w:w="502" w:type="pct"/>
            <w:vAlign w:val="center"/>
          </w:tcPr>
          <w:p w14:paraId="3F08A3A6" w14:textId="09CDF7A0" w:rsidR="004A2D54" w:rsidRPr="004A2D54" w:rsidRDefault="008D1D28" w:rsidP="002A41A8">
            <w:pPr>
              <w:jc w:val="center"/>
              <w:rPr>
                <w:rFonts w:ascii="Source Sans Pro" w:hAnsi="Source Sans Pro" w:cs="Arial"/>
                <w:b/>
                <w:sz w:val="16"/>
                <w:szCs w:val="16"/>
              </w:rPr>
            </w:pPr>
            <w:r>
              <w:rPr>
                <w:rFonts w:ascii="Source Sans Pro" w:hAnsi="Source Sans Pro"/>
                <w:b/>
                <w:sz w:val="16"/>
                <w:szCs w:val="16"/>
              </w:rPr>
              <w:t>93.88</w:t>
            </w:r>
          </w:p>
        </w:tc>
      </w:tr>
      <w:tr w:rsidR="004A2D54" w:rsidRPr="004A2D54" w14:paraId="0AF55D2E" w14:textId="77777777" w:rsidTr="00AA5925">
        <w:trPr>
          <w:trHeight w:val="283"/>
        </w:trPr>
        <w:tc>
          <w:tcPr>
            <w:tcW w:w="985" w:type="pct"/>
            <w:vAlign w:val="center"/>
          </w:tcPr>
          <w:p w14:paraId="092670C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Vacant space</w:t>
            </w:r>
            <w:r>
              <w:rPr>
                <w:rFonts w:ascii="Source Sans Pro" w:hAnsi="Source Sans Pro"/>
                <w:sz w:val="16"/>
                <w:szCs w:val="16"/>
              </w:rPr>
              <w:t xml:space="preserve"> incl. sub-let space [m²]</w:t>
            </w:r>
          </w:p>
        </w:tc>
        <w:tc>
          <w:tcPr>
            <w:tcW w:w="502" w:type="pct"/>
            <w:vAlign w:val="center"/>
          </w:tcPr>
          <w:p w14:paraId="22C1869E" w14:textId="56E2A808"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525,500</w:t>
            </w:r>
          </w:p>
        </w:tc>
        <w:tc>
          <w:tcPr>
            <w:tcW w:w="502" w:type="pct"/>
            <w:vAlign w:val="center"/>
          </w:tcPr>
          <w:p w14:paraId="75562CB1" w14:textId="586AC4EA" w:rsidR="004A2D54" w:rsidRPr="004A2D54" w:rsidRDefault="008D1D28" w:rsidP="002A41A8">
            <w:pPr>
              <w:jc w:val="center"/>
              <w:rPr>
                <w:rFonts w:ascii="Source Sans Pro" w:hAnsi="Source Sans Pro" w:cs="Arial"/>
                <w:sz w:val="16"/>
                <w:szCs w:val="16"/>
              </w:rPr>
            </w:pPr>
            <w:r>
              <w:rPr>
                <w:rFonts w:ascii="Source Sans Pro" w:hAnsi="Source Sans Pro"/>
                <w:sz w:val="16"/>
                <w:szCs w:val="16"/>
              </w:rPr>
              <w:t>870,000</w:t>
            </w:r>
          </w:p>
        </w:tc>
        <w:tc>
          <w:tcPr>
            <w:tcW w:w="502" w:type="pct"/>
            <w:vAlign w:val="center"/>
          </w:tcPr>
          <w:p w14:paraId="05FD8594" w14:textId="0B02E453"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549,000</w:t>
            </w:r>
          </w:p>
        </w:tc>
        <w:tc>
          <w:tcPr>
            <w:tcW w:w="502" w:type="pct"/>
            <w:vAlign w:val="center"/>
          </w:tcPr>
          <w:p w14:paraId="69FA3B3B" w14:textId="1116FD83"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215,000</w:t>
            </w:r>
          </w:p>
        </w:tc>
        <w:tc>
          <w:tcPr>
            <w:tcW w:w="502" w:type="pct"/>
            <w:vAlign w:val="center"/>
          </w:tcPr>
          <w:p w14:paraId="3FBF36AD" w14:textId="300FEA45" w:rsidR="004A2D54" w:rsidRPr="0076666B" w:rsidRDefault="008D1D28" w:rsidP="00AA5925">
            <w:pPr>
              <w:jc w:val="center"/>
              <w:rPr>
                <w:rFonts w:ascii="Source Sans Pro" w:hAnsi="Source Sans Pro" w:cs="Arial"/>
                <w:sz w:val="16"/>
                <w:szCs w:val="16"/>
              </w:rPr>
            </w:pPr>
            <w:r>
              <w:rPr>
                <w:rFonts w:ascii="Source Sans Pro" w:hAnsi="Source Sans Pro"/>
                <w:sz w:val="16"/>
                <w:szCs w:val="16"/>
              </w:rPr>
              <w:t>939,600</w:t>
            </w:r>
          </w:p>
        </w:tc>
        <w:tc>
          <w:tcPr>
            <w:tcW w:w="502" w:type="pct"/>
            <w:vAlign w:val="center"/>
          </w:tcPr>
          <w:p w14:paraId="25A1686F" w14:textId="10A3CFC3" w:rsidR="004A2D54" w:rsidRPr="004A2D54" w:rsidRDefault="008D1D28" w:rsidP="00AA5925">
            <w:pPr>
              <w:jc w:val="center"/>
              <w:rPr>
                <w:rFonts w:ascii="Source Sans Pro" w:hAnsi="Source Sans Pro" w:cs="Arial"/>
                <w:sz w:val="16"/>
                <w:szCs w:val="16"/>
              </w:rPr>
            </w:pPr>
            <w:r>
              <w:rPr>
                <w:rFonts w:ascii="Source Sans Pro" w:hAnsi="Source Sans Pro"/>
                <w:sz w:val="16"/>
                <w:szCs w:val="16"/>
              </w:rPr>
              <w:t>322,000</w:t>
            </w:r>
          </w:p>
        </w:tc>
        <w:tc>
          <w:tcPr>
            <w:tcW w:w="502" w:type="pct"/>
            <w:vAlign w:val="center"/>
          </w:tcPr>
          <w:p w14:paraId="3C303F25" w14:textId="7DA94C33" w:rsidR="004A2D54" w:rsidRPr="0076666B" w:rsidRDefault="008D1D28" w:rsidP="00AA5925">
            <w:pPr>
              <w:jc w:val="center"/>
              <w:rPr>
                <w:rFonts w:ascii="Source Sans Pro" w:hAnsi="Source Sans Pro" w:cs="Arial"/>
                <w:sz w:val="16"/>
                <w:szCs w:val="16"/>
                <w:u w:val="single"/>
              </w:rPr>
            </w:pPr>
            <w:r>
              <w:rPr>
                <w:rFonts w:ascii="Source Sans Pro" w:hAnsi="Source Sans Pro"/>
                <w:sz w:val="16"/>
                <w:szCs w:val="16"/>
                <w:u w:val="single"/>
              </w:rPr>
              <w:t>1,125,000</w:t>
            </w:r>
          </w:p>
        </w:tc>
        <w:tc>
          <w:tcPr>
            <w:tcW w:w="502" w:type="pct"/>
            <w:vAlign w:val="center"/>
          </w:tcPr>
          <w:p w14:paraId="21F33999" w14:textId="03A27C65" w:rsidR="004A2D54" w:rsidRPr="004A2D54" w:rsidRDefault="008D1D28" w:rsidP="002A41A8">
            <w:pPr>
              <w:jc w:val="center"/>
              <w:rPr>
                <w:rFonts w:ascii="Source Sans Pro" w:hAnsi="Source Sans Pro" w:cs="Arial"/>
                <w:b/>
                <w:sz w:val="16"/>
                <w:szCs w:val="16"/>
              </w:rPr>
            </w:pPr>
            <w:r>
              <w:rPr>
                <w:rFonts w:ascii="Source Sans Pro" w:hAnsi="Source Sans Pro"/>
                <w:b/>
                <w:sz w:val="16"/>
                <w:szCs w:val="16"/>
              </w:rPr>
              <w:t>4,546,100</w:t>
            </w:r>
          </w:p>
        </w:tc>
      </w:tr>
      <w:tr w:rsidR="004A2D54" w:rsidRPr="004A2D54" w14:paraId="33CC4AFE" w14:textId="77777777" w:rsidTr="00AA5925">
        <w:trPr>
          <w:trHeight w:val="283"/>
        </w:trPr>
        <w:tc>
          <w:tcPr>
            <w:tcW w:w="985" w:type="pct"/>
            <w:vAlign w:val="center"/>
          </w:tcPr>
          <w:p w14:paraId="020462D7"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Vacancy rate</w:t>
            </w:r>
            <w:r>
              <w:rPr>
                <w:rFonts w:ascii="Source Sans Pro" w:hAnsi="Source Sans Pro"/>
                <w:sz w:val="16"/>
                <w:szCs w:val="16"/>
              </w:rPr>
              <w:t xml:space="preserve"> incl. sub-let space [%]</w:t>
            </w:r>
          </w:p>
        </w:tc>
        <w:tc>
          <w:tcPr>
            <w:tcW w:w="502" w:type="pct"/>
            <w:vAlign w:val="center"/>
          </w:tcPr>
          <w:p w14:paraId="7D507D43" w14:textId="418D8D91"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3.8</w:t>
            </w:r>
          </w:p>
        </w:tc>
        <w:tc>
          <w:tcPr>
            <w:tcW w:w="502" w:type="pct"/>
            <w:vAlign w:val="center"/>
          </w:tcPr>
          <w:p w14:paraId="13E26529" w14:textId="67D02BBB"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4.2</w:t>
            </w:r>
          </w:p>
        </w:tc>
        <w:tc>
          <w:tcPr>
            <w:tcW w:w="502" w:type="pct"/>
            <w:vAlign w:val="center"/>
          </w:tcPr>
          <w:p w14:paraId="6F4F9D00" w14:textId="63D0DB70"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7.4</w:t>
            </w:r>
          </w:p>
        </w:tc>
        <w:tc>
          <w:tcPr>
            <w:tcW w:w="502" w:type="pct"/>
            <w:vAlign w:val="center"/>
          </w:tcPr>
          <w:p w14:paraId="5C46F14C" w14:textId="7579E03C"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2.7</w:t>
            </w:r>
          </w:p>
        </w:tc>
        <w:tc>
          <w:tcPr>
            <w:tcW w:w="502" w:type="pct"/>
            <w:vAlign w:val="center"/>
          </w:tcPr>
          <w:p w14:paraId="28A3EAD2" w14:textId="4B57CFC7" w:rsidR="004A2D54" w:rsidRPr="004A2D54" w:rsidRDefault="002779E9" w:rsidP="00AA5925">
            <w:pPr>
              <w:jc w:val="center"/>
              <w:rPr>
                <w:rFonts w:ascii="Source Sans Pro" w:hAnsi="Source Sans Pro" w:cs="Arial"/>
                <w:sz w:val="16"/>
                <w:szCs w:val="16"/>
                <w:u w:val="single"/>
              </w:rPr>
            </w:pPr>
            <w:r>
              <w:rPr>
                <w:rFonts w:ascii="Source Sans Pro" w:hAnsi="Source Sans Pro"/>
                <w:sz w:val="16"/>
                <w:szCs w:val="16"/>
                <w:u w:val="single"/>
              </w:rPr>
              <w:t>8.0</w:t>
            </w:r>
          </w:p>
        </w:tc>
        <w:tc>
          <w:tcPr>
            <w:tcW w:w="502" w:type="pct"/>
            <w:vAlign w:val="center"/>
          </w:tcPr>
          <w:p w14:paraId="33743795" w14:textId="5B985CE1"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3.8</w:t>
            </w:r>
          </w:p>
        </w:tc>
        <w:tc>
          <w:tcPr>
            <w:tcW w:w="502" w:type="pct"/>
            <w:vAlign w:val="center"/>
          </w:tcPr>
          <w:p w14:paraId="0C8518F0" w14:textId="12FE1522" w:rsidR="004A2D54" w:rsidRPr="004A2D54" w:rsidRDefault="002779E9" w:rsidP="00AA5925">
            <w:pPr>
              <w:jc w:val="center"/>
              <w:rPr>
                <w:rFonts w:ascii="Source Sans Pro" w:hAnsi="Source Sans Pro" w:cs="Arial"/>
                <w:sz w:val="16"/>
                <w:szCs w:val="16"/>
              </w:rPr>
            </w:pPr>
            <w:r>
              <w:rPr>
                <w:rFonts w:ascii="Source Sans Pro" w:hAnsi="Source Sans Pro"/>
                <w:sz w:val="16"/>
                <w:szCs w:val="16"/>
              </w:rPr>
              <w:t>4.8</w:t>
            </w:r>
          </w:p>
        </w:tc>
        <w:tc>
          <w:tcPr>
            <w:tcW w:w="502" w:type="pct"/>
            <w:vAlign w:val="center"/>
          </w:tcPr>
          <w:p w14:paraId="691A5F70" w14:textId="016BC9B0" w:rsidR="004A2D54" w:rsidRPr="004A2D54" w:rsidRDefault="002779E9" w:rsidP="00AA5925">
            <w:pPr>
              <w:jc w:val="center"/>
              <w:rPr>
                <w:rFonts w:ascii="Source Sans Pro" w:hAnsi="Source Sans Pro" w:cs="Arial"/>
                <w:b/>
                <w:sz w:val="16"/>
                <w:szCs w:val="16"/>
              </w:rPr>
            </w:pPr>
            <w:r>
              <w:rPr>
                <w:rFonts w:ascii="Source Sans Pro" w:hAnsi="Source Sans Pro"/>
                <w:b/>
                <w:sz w:val="16"/>
                <w:szCs w:val="16"/>
              </w:rPr>
              <w:t>4.8</w:t>
            </w:r>
          </w:p>
        </w:tc>
      </w:tr>
      <w:tr w:rsidR="004A2D54" w:rsidRPr="004A2D54" w14:paraId="29AB7F04" w14:textId="77777777" w:rsidTr="00AA5925">
        <w:trPr>
          <w:trHeight w:val="283"/>
        </w:trPr>
        <w:tc>
          <w:tcPr>
            <w:tcW w:w="985" w:type="pct"/>
            <w:vAlign w:val="center"/>
          </w:tcPr>
          <w:p w14:paraId="3F65BD0D"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Completions</w:t>
            </w:r>
          </w:p>
          <w:p w14:paraId="3D128034" w14:textId="08BF3C70" w:rsidR="004A2D54" w:rsidRPr="004A2D54" w:rsidRDefault="008E5C25" w:rsidP="00AA5925">
            <w:pPr>
              <w:widowControl w:val="0"/>
              <w:rPr>
                <w:rFonts w:ascii="Source Sans Pro" w:hAnsi="Source Sans Pro" w:cs="Arial"/>
                <w:b/>
                <w:sz w:val="16"/>
                <w:szCs w:val="16"/>
              </w:rPr>
            </w:pPr>
            <w:r>
              <w:rPr>
                <w:rFonts w:ascii="Source Sans Pro" w:hAnsi="Source Sans Pro"/>
                <w:b/>
                <w:bCs/>
                <w:sz w:val="16"/>
                <w:szCs w:val="16"/>
              </w:rPr>
              <w:t>2022 + 2023</w:t>
            </w:r>
            <w:r>
              <w:rPr>
                <w:rFonts w:ascii="Source Sans Pro" w:hAnsi="Source Sans Pro"/>
                <w:bCs/>
                <w:sz w:val="16"/>
                <w:szCs w:val="16"/>
              </w:rPr>
              <w:t xml:space="preserve"> </w:t>
            </w:r>
            <w:r>
              <w:rPr>
                <w:rFonts w:ascii="Source Sans Pro" w:hAnsi="Source Sans Pro"/>
                <w:sz w:val="16"/>
                <w:szCs w:val="16"/>
              </w:rPr>
              <w:t>in m²</w:t>
            </w:r>
          </w:p>
        </w:tc>
        <w:tc>
          <w:tcPr>
            <w:tcW w:w="502" w:type="pct"/>
            <w:vAlign w:val="center"/>
          </w:tcPr>
          <w:p w14:paraId="09CD14A0" w14:textId="5F916670"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549,000</w:t>
            </w:r>
          </w:p>
        </w:tc>
        <w:tc>
          <w:tcPr>
            <w:tcW w:w="502" w:type="pct"/>
            <w:vAlign w:val="center"/>
          </w:tcPr>
          <w:p w14:paraId="1B9CE76A" w14:textId="33D9AFBE" w:rsidR="004A2D54" w:rsidRPr="004A2D54" w:rsidRDefault="00524925" w:rsidP="00AA5925">
            <w:pPr>
              <w:jc w:val="center"/>
              <w:rPr>
                <w:rFonts w:ascii="Source Sans Pro" w:hAnsi="Source Sans Pro" w:cs="Arial"/>
                <w:sz w:val="16"/>
                <w:szCs w:val="16"/>
                <w:u w:val="single"/>
              </w:rPr>
            </w:pPr>
            <w:r>
              <w:rPr>
                <w:rFonts w:ascii="Source Sans Pro" w:hAnsi="Source Sans Pro"/>
                <w:sz w:val="16"/>
                <w:szCs w:val="16"/>
                <w:u w:val="single"/>
              </w:rPr>
              <w:t>1,009,000</w:t>
            </w:r>
          </w:p>
        </w:tc>
        <w:tc>
          <w:tcPr>
            <w:tcW w:w="502" w:type="pct"/>
            <w:vAlign w:val="center"/>
          </w:tcPr>
          <w:p w14:paraId="6D668434" w14:textId="26529345"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257,100</w:t>
            </w:r>
          </w:p>
        </w:tc>
        <w:tc>
          <w:tcPr>
            <w:tcW w:w="502" w:type="pct"/>
            <w:vAlign w:val="center"/>
          </w:tcPr>
          <w:p w14:paraId="10EAAFA9" w14:textId="188EFC7A"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220,000</w:t>
            </w:r>
          </w:p>
        </w:tc>
        <w:tc>
          <w:tcPr>
            <w:tcW w:w="502" w:type="pct"/>
            <w:vAlign w:val="center"/>
          </w:tcPr>
          <w:p w14:paraId="1661A81C" w14:textId="3776F3A8"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404,800</w:t>
            </w:r>
          </w:p>
        </w:tc>
        <w:tc>
          <w:tcPr>
            <w:tcW w:w="502" w:type="pct"/>
            <w:vAlign w:val="center"/>
          </w:tcPr>
          <w:p w14:paraId="3B7AF91D" w14:textId="74580070"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276,400</w:t>
            </w:r>
          </w:p>
        </w:tc>
        <w:tc>
          <w:tcPr>
            <w:tcW w:w="502" w:type="pct"/>
            <w:vAlign w:val="center"/>
          </w:tcPr>
          <w:p w14:paraId="77B39730" w14:textId="33AB6CBB"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850,000</w:t>
            </w:r>
          </w:p>
        </w:tc>
        <w:tc>
          <w:tcPr>
            <w:tcW w:w="502" w:type="pct"/>
            <w:vAlign w:val="center"/>
          </w:tcPr>
          <w:p w14:paraId="3FBBFB7B" w14:textId="1133CF2F" w:rsidR="004A2D54" w:rsidRPr="004A2D54" w:rsidRDefault="00524925" w:rsidP="00C616A4">
            <w:pPr>
              <w:jc w:val="center"/>
              <w:rPr>
                <w:rFonts w:ascii="Source Sans Pro" w:hAnsi="Source Sans Pro" w:cs="Arial"/>
                <w:b/>
                <w:sz w:val="16"/>
                <w:szCs w:val="16"/>
              </w:rPr>
            </w:pPr>
            <w:r>
              <w:rPr>
                <w:rFonts w:ascii="Source Sans Pro" w:hAnsi="Source Sans Pro"/>
                <w:b/>
                <w:sz w:val="16"/>
                <w:szCs w:val="16"/>
              </w:rPr>
              <w:t>3,566,000</w:t>
            </w:r>
          </w:p>
        </w:tc>
      </w:tr>
      <w:tr w:rsidR="004A2D54" w:rsidRPr="004A2D54" w14:paraId="21503B01" w14:textId="77777777" w:rsidTr="00AA5925">
        <w:trPr>
          <w:trHeight w:val="283"/>
        </w:trPr>
        <w:tc>
          <w:tcPr>
            <w:tcW w:w="985" w:type="pct"/>
            <w:vAlign w:val="center"/>
          </w:tcPr>
          <w:p w14:paraId="3334946C" w14:textId="01A4169E" w:rsidR="004A2D54" w:rsidRPr="004A2D54" w:rsidRDefault="008E5C25" w:rsidP="00AA5925">
            <w:pPr>
              <w:widowControl w:val="0"/>
              <w:rPr>
                <w:rFonts w:ascii="Source Sans Pro" w:hAnsi="Source Sans Pro" w:cs="Arial"/>
                <w:b/>
                <w:sz w:val="16"/>
                <w:szCs w:val="16"/>
              </w:rPr>
            </w:pPr>
            <w:r>
              <w:rPr>
                <w:rFonts w:ascii="Source Sans Pro" w:hAnsi="Source Sans Pro"/>
                <w:b/>
                <w:sz w:val="16"/>
                <w:szCs w:val="16"/>
              </w:rPr>
              <w:t>Pre-let ratios 2022 + 2023 in %</w:t>
            </w:r>
          </w:p>
        </w:tc>
        <w:tc>
          <w:tcPr>
            <w:tcW w:w="502" w:type="pct"/>
            <w:vAlign w:val="center"/>
          </w:tcPr>
          <w:p w14:paraId="032EB028" w14:textId="49443A52" w:rsidR="004A2D54" w:rsidRPr="00F076C1" w:rsidRDefault="00524925" w:rsidP="00AA5925">
            <w:pPr>
              <w:jc w:val="center"/>
              <w:rPr>
                <w:rFonts w:ascii="Source Sans Pro" w:hAnsi="Source Sans Pro" w:cs="Arial"/>
                <w:sz w:val="16"/>
                <w:szCs w:val="16"/>
                <w:u w:val="single"/>
              </w:rPr>
            </w:pPr>
            <w:r>
              <w:rPr>
                <w:rFonts w:ascii="Source Sans Pro" w:hAnsi="Source Sans Pro"/>
                <w:sz w:val="16"/>
                <w:szCs w:val="16"/>
                <w:u w:val="single"/>
              </w:rPr>
              <w:t>76</w:t>
            </w:r>
          </w:p>
        </w:tc>
        <w:tc>
          <w:tcPr>
            <w:tcW w:w="502" w:type="pct"/>
            <w:vAlign w:val="center"/>
          </w:tcPr>
          <w:p w14:paraId="3128957F" w14:textId="23170875" w:rsidR="004A2D54" w:rsidRPr="00524925" w:rsidRDefault="00524925" w:rsidP="00AA5925">
            <w:pPr>
              <w:jc w:val="center"/>
              <w:rPr>
                <w:rFonts w:ascii="Source Sans Pro" w:hAnsi="Source Sans Pro" w:cs="Arial"/>
                <w:sz w:val="16"/>
                <w:szCs w:val="16"/>
              </w:rPr>
            </w:pPr>
            <w:r>
              <w:rPr>
                <w:rFonts w:ascii="Source Sans Pro" w:hAnsi="Source Sans Pro"/>
                <w:sz w:val="16"/>
                <w:szCs w:val="16"/>
              </w:rPr>
              <w:t>61</w:t>
            </w:r>
          </w:p>
        </w:tc>
        <w:tc>
          <w:tcPr>
            <w:tcW w:w="502" w:type="pct"/>
            <w:vAlign w:val="center"/>
          </w:tcPr>
          <w:p w14:paraId="7CFBEDFF" w14:textId="6E680B8D" w:rsidR="004A2D54" w:rsidRPr="00F076C1" w:rsidRDefault="00524925" w:rsidP="00AA5925">
            <w:pPr>
              <w:jc w:val="center"/>
              <w:rPr>
                <w:rFonts w:ascii="Source Sans Pro" w:hAnsi="Source Sans Pro" w:cs="Arial"/>
                <w:sz w:val="16"/>
                <w:szCs w:val="16"/>
              </w:rPr>
            </w:pPr>
            <w:r>
              <w:rPr>
                <w:rFonts w:ascii="Source Sans Pro" w:hAnsi="Source Sans Pro"/>
                <w:sz w:val="16"/>
                <w:szCs w:val="16"/>
              </w:rPr>
              <w:t>66</w:t>
            </w:r>
          </w:p>
        </w:tc>
        <w:tc>
          <w:tcPr>
            <w:tcW w:w="502" w:type="pct"/>
            <w:vAlign w:val="center"/>
          </w:tcPr>
          <w:p w14:paraId="67E63DB4" w14:textId="159F429F" w:rsidR="004A2D54" w:rsidRPr="00524925" w:rsidRDefault="00524925" w:rsidP="00AA5925">
            <w:pPr>
              <w:jc w:val="center"/>
              <w:rPr>
                <w:rFonts w:ascii="Source Sans Pro" w:hAnsi="Source Sans Pro" w:cs="Arial"/>
                <w:sz w:val="16"/>
                <w:szCs w:val="16"/>
              </w:rPr>
            </w:pPr>
            <w:r>
              <w:rPr>
                <w:rFonts w:ascii="Source Sans Pro" w:hAnsi="Source Sans Pro"/>
                <w:sz w:val="16"/>
                <w:szCs w:val="16"/>
              </w:rPr>
              <w:t>70</w:t>
            </w:r>
          </w:p>
        </w:tc>
        <w:tc>
          <w:tcPr>
            <w:tcW w:w="502" w:type="pct"/>
            <w:vAlign w:val="center"/>
          </w:tcPr>
          <w:p w14:paraId="06DA1C27" w14:textId="44189905"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37</w:t>
            </w:r>
          </w:p>
        </w:tc>
        <w:tc>
          <w:tcPr>
            <w:tcW w:w="502" w:type="pct"/>
            <w:vAlign w:val="center"/>
          </w:tcPr>
          <w:p w14:paraId="7876BE02" w14:textId="65468264" w:rsidR="004A2D54" w:rsidRPr="008E5C25" w:rsidRDefault="00524925" w:rsidP="00AA5925">
            <w:pPr>
              <w:jc w:val="center"/>
              <w:rPr>
                <w:rFonts w:ascii="Source Sans Pro" w:hAnsi="Source Sans Pro" w:cs="Arial"/>
                <w:sz w:val="16"/>
                <w:szCs w:val="16"/>
              </w:rPr>
            </w:pPr>
            <w:r>
              <w:rPr>
                <w:rFonts w:ascii="Source Sans Pro" w:hAnsi="Source Sans Pro"/>
                <w:sz w:val="16"/>
                <w:szCs w:val="16"/>
              </w:rPr>
              <w:t>47</w:t>
            </w:r>
          </w:p>
        </w:tc>
        <w:tc>
          <w:tcPr>
            <w:tcW w:w="502" w:type="pct"/>
            <w:vAlign w:val="center"/>
          </w:tcPr>
          <w:p w14:paraId="7E645B9E" w14:textId="4E53DFA5" w:rsidR="004A2D54" w:rsidRPr="004A2D54" w:rsidRDefault="00524925" w:rsidP="00AA5925">
            <w:pPr>
              <w:jc w:val="center"/>
              <w:rPr>
                <w:rFonts w:ascii="Source Sans Pro" w:hAnsi="Source Sans Pro" w:cs="Arial"/>
                <w:sz w:val="16"/>
                <w:szCs w:val="16"/>
              </w:rPr>
            </w:pPr>
            <w:r>
              <w:rPr>
                <w:rFonts w:ascii="Source Sans Pro" w:hAnsi="Source Sans Pro"/>
                <w:sz w:val="16"/>
                <w:szCs w:val="16"/>
              </w:rPr>
              <w:t>56</w:t>
            </w:r>
          </w:p>
        </w:tc>
        <w:tc>
          <w:tcPr>
            <w:tcW w:w="502" w:type="pct"/>
            <w:vAlign w:val="center"/>
          </w:tcPr>
          <w:p w14:paraId="6B1BB734" w14:textId="0498E31F" w:rsidR="004A2D54" w:rsidRPr="004A2D54" w:rsidRDefault="00524925" w:rsidP="00AA5925">
            <w:pPr>
              <w:jc w:val="center"/>
              <w:rPr>
                <w:rFonts w:ascii="Source Sans Pro" w:hAnsi="Source Sans Pro" w:cs="Arial"/>
                <w:b/>
                <w:sz w:val="16"/>
                <w:szCs w:val="16"/>
              </w:rPr>
            </w:pPr>
            <w:r>
              <w:rPr>
                <w:rFonts w:ascii="Source Sans Pro" w:hAnsi="Source Sans Pro"/>
                <w:b/>
                <w:sz w:val="16"/>
                <w:szCs w:val="16"/>
              </w:rPr>
              <w:t>59</w:t>
            </w:r>
          </w:p>
        </w:tc>
      </w:tr>
    </w:tbl>
    <w:p w14:paraId="1DF46B9C" w14:textId="77777777"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 Source: German Property Partners (GPP)</w:t>
      </w:r>
    </w:p>
    <w:p w14:paraId="38A06C97" w14:textId="00889BC6" w:rsidR="004001E7" w:rsidRDefault="004001E7">
      <w:pPr>
        <w:overflowPunct/>
        <w:autoSpaceDE/>
        <w:autoSpaceDN/>
        <w:adjustRightInd/>
        <w:textAlignment w:val="auto"/>
        <w:rPr>
          <w:rFonts w:ascii="Source Sans Pro SemiBold" w:hAnsi="Source Sans Pro SemiBold" w:cs="Source Sans Pro SemiBold"/>
          <w:b/>
          <w:bCs/>
          <w:caps/>
          <w:color w:val="0087A8"/>
          <w:sz w:val="18"/>
          <w:szCs w:val="18"/>
        </w:rPr>
      </w:pPr>
    </w:p>
    <w:p w14:paraId="0FC30111" w14:textId="77777777" w:rsidR="004001E7" w:rsidRDefault="004001E7">
      <w:pPr>
        <w:overflowPunct/>
        <w:autoSpaceDE/>
        <w:autoSpaceDN/>
        <w:adjustRightInd/>
        <w:textAlignment w:val="auto"/>
        <w:rPr>
          <w:rFonts w:ascii="Source Sans Pro SemiBold" w:hAnsi="Source Sans Pro SemiBold" w:cs="Source Sans Pro SemiBold"/>
          <w:b/>
          <w:bCs/>
          <w:caps/>
          <w:color w:val="0087A8"/>
          <w:sz w:val="18"/>
          <w:szCs w:val="18"/>
        </w:rPr>
      </w:pPr>
    </w:p>
    <w:p w14:paraId="50B0AF24" w14:textId="0C28B730"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t xml:space="preserve">ABOUT GERMAN PROPERTY PARTNERS </w:t>
      </w:r>
    </w:p>
    <w:p w14:paraId="47B60849" w14:textId="77777777" w:rsidR="00E1280F" w:rsidRPr="00E1280F" w:rsidRDefault="00176891"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A36855">
          <w:rPr>
            <w:rFonts w:ascii="Source Sans Pro SemiBold" w:hAnsi="Source Sans Pro SemiBold"/>
            <w:bCs/>
            <w:caps/>
            <w:color w:val="0087A8"/>
            <w:sz w:val="18"/>
            <w:szCs w:val="18"/>
          </w:rPr>
          <w:t>German Property Partners</w:t>
        </w:r>
      </w:hyperlink>
      <w:r w:rsidR="00A36855">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4B150B6D" w14:textId="77777777" w:rsidR="00613E6C" w:rsidRPr="00E1280F" w:rsidRDefault="00613E6C" w:rsidP="00613E6C">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53C8D03A" w14:textId="071F86FA"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62C4FFC2" w14:textId="6BD4C7A6" w:rsidR="00DA733A" w:rsidRPr="00917410" w:rsidRDefault="004000A8" w:rsidP="006609C2">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w:t>
      </w:r>
      <w:r>
        <w:rPr>
          <w:rFonts w:ascii="Source Sans Pro" w:hAnsi="Source Sans Pro"/>
          <w:sz w:val="14"/>
          <w:szCs w:val="14"/>
        </w:rPr>
        <w:t xml:space="preserve"> </w:t>
      </w:r>
      <w:hyperlink r:id="rId8" w:history="1">
        <w:r>
          <w:rPr>
            <w:rStyle w:val="Hyperlink"/>
            <w:rFonts w:ascii="Source Sans Pro" w:hAnsi="Source Sans Pro"/>
            <w:sz w:val="14"/>
            <w:szCs w:val="14"/>
          </w:rPr>
          <w:t>www.germanpropertypartners.de/datenschutz</w:t>
        </w:r>
      </w:hyperlink>
      <w:r>
        <w:rPr>
          <w:rFonts w:ascii="Source Sans Pro" w:hAnsi="Source Sans Pro"/>
          <w:sz w:val="14"/>
          <w:szCs w:val="14"/>
        </w:rPr>
        <w:t>.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468FAFF6" w14:textId="77777777" w:rsidR="005C25D5" w:rsidRPr="007D5A52" w:rsidRDefault="005C25D5" w:rsidP="007D5A52">
      <w:pPr>
        <w:snapToGrid w:val="0"/>
        <w:spacing w:line="280" w:lineRule="exact"/>
        <w:jc w:val="both"/>
      </w:pPr>
    </w:p>
    <w:sectPr w:rsidR="005C25D5" w:rsidRPr="007D5A52"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D6FE" w14:textId="77777777" w:rsidR="006F61B1" w:rsidRDefault="006F61B1">
      <w:r>
        <w:separator/>
      </w:r>
    </w:p>
  </w:endnote>
  <w:endnote w:type="continuationSeparator" w:id="0">
    <w:p w14:paraId="67C4CCA5" w14:textId="77777777" w:rsidR="006F61B1" w:rsidRDefault="006F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6D3480C1"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176891">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176891">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5D199B7F" w14:textId="785E271B"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69CA7FEC"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6C25DFE9"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176891">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176891">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664ECE5C" w14:textId="789336F9"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345F229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09BE" w14:textId="77777777" w:rsidR="006F61B1" w:rsidRDefault="006F61B1">
      <w:r>
        <w:separator/>
      </w:r>
    </w:p>
  </w:footnote>
  <w:footnote w:type="continuationSeparator" w:id="0">
    <w:p w14:paraId="6DA137C2" w14:textId="77777777" w:rsidR="006F61B1" w:rsidRDefault="006F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8F5C"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3819"/>
    <w:rsid w:val="00004E93"/>
    <w:rsid w:val="00007A82"/>
    <w:rsid w:val="00012426"/>
    <w:rsid w:val="000136D7"/>
    <w:rsid w:val="00013D73"/>
    <w:rsid w:val="00013FE8"/>
    <w:rsid w:val="00020AC9"/>
    <w:rsid w:val="0002187D"/>
    <w:rsid w:val="00022CE1"/>
    <w:rsid w:val="00022F25"/>
    <w:rsid w:val="00024032"/>
    <w:rsid w:val="000243CC"/>
    <w:rsid w:val="00027EA3"/>
    <w:rsid w:val="00032028"/>
    <w:rsid w:val="00033F7F"/>
    <w:rsid w:val="0003409F"/>
    <w:rsid w:val="00034991"/>
    <w:rsid w:val="00035322"/>
    <w:rsid w:val="00041A34"/>
    <w:rsid w:val="000440EB"/>
    <w:rsid w:val="0005029E"/>
    <w:rsid w:val="00050787"/>
    <w:rsid w:val="000513B0"/>
    <w:rsid w:val="000513D0"/>
    <w:rsid w:val="00052C73"/>
    <w:rsid w:val="000548AC"/>
    <w:rsid w:val="00054FE9"/>
    <w:rsid w:val="000663B5"/>
    <w:rsid w:val="00066A8A"/>
    <w:rsid w:val="00071BAF"/>
    <w:rsid w:val="00077E8A"/>
    <w:rsid w:val="00082C59"/>
    <w:rsid w:val="00091562"/>
    <w:rsid w:val="0009382E"/>
    <w:rsid w:val="000A4F68"/>
    <w:rsid w:val="000A4FBB"/>
    <w:rsid w:val="000A6A78"/>
    <w:rsid w:val="000B310B"/>
    <w:rsid w:val="000B4143"/>
    <w:rsid w:val="000C36A5"/>
    <w:rsid w:val="000C3A22"/>
    <w:rsid w:val="000C5B2A"/>
    <w:rsid w:val="000D6F2E"/>
    <w:rsid w:val="000D7FD3"/>
    <w:rsid w:val="000E1357"/>
    <w:rsid w:val="000E194E"/>
    <w:rsid w:val="000E641E"/>
    <w:rsid w:val="000E6577"/>
    <w:rsid w:val="000E7EA5"/>
    <w:rsid w:val="000F57F1"/>
    <w:rsid w:val="000F79F5"/>
    <w:rsid w:val="00101220"/>
    <w:rsid w:val="00103C4E"/>
    <w:rsid w:val="001116D7"/>
    <w:rsid w:val="00113D8C"/>
    <w:rsid w:val="00120624"/>
    <w:rsid w:val="0012156C"/>
    <w:rsid w:val="00127A45"/>
    <w:rsid w:val="001416A0"/>
    <w:rsid w:val="001421F7"/>
    <w:rsid w:val="00143D80"/>
    <w:rsid w:val="0014498B"/>
    <w:rsid w:val="0014598D"/>
    <w:rsid w:val="00146881"/>
    <w:rsid w:val="001504EA"/>
    <w:rsid w:val="001550FE"/>
    <w:rsid w:val="00155828"/>
    <w:rsid w:val="00157F0D"/>
    <w:rsid w:val="001647B3"/>
    <w:rsid w:val="001668E1"/>
    <w:rsid w:val="00166ED2"/>
    <w:rsid w:val="00173AA4"/>
    <w:rsid w:val="0017641E"/>
    <w:rsid w:val="00176891"/>
    <w:rsid w:val="0018306F"/>
    <w:rsid w:val="00184BB0"/>
    <w:rsid w:val="00187963"/>
    <w:rsid w:val="0019039E"/>
    <w:rsid w:val="001963BB"/>
    <w:rsid w:val="00197E98"/>
    <w:rsid w:val="001A22F5"/>
    <w:rsid w:val="001A6FA9"/>
    <w:rsid w:val="001B786B"/>
    <w:rsid w:val="001C518B"/>
    <w:rsid w:val="001C5D5B"/>
    <w:rsid w:val="001C6C29"/>
    <w:rsid w:val="001D3808"/>
    <w:rsid w:val="001D6D41"/>
    <w:rsid w:val="001E1829"/>
    <w:rsid w:val="001E5503"/>
    <w:rsid w:val="001E5CBD"/>
    <w:rsid w:val="001E6935"/>
    <w:rsid w:val="001E73A9"/>
    <w:rsid w:val="001F218D"/>
    <w:rsid w:val="001F35E1"/>
    <w:rsid w:val="00200C83"/>
    <w:rsid w:val="002014F7"/>
    <w:rsid w:val="00202DD3"/>
    <w:rsid w:val="002076E6"/>
    <w:rsid w:val="00223AD5"/>
    <w:rsid w:val="00226210"/>
    <w:rsid w:val="0022694F"/>
    <w:rsid w:val="002303B6"/>
    <w:rsid w:val="002343E6"/>
    <w:rsid w:val="00235393"/>
    <w:rsid w:val="002371FE"/>
    <w:rsid w:val="00242A36"/>
    <w:rsid w:val="00245D99"/>
    <w:rsid w:val="002468C0"/>
    <w:rsid w:val="002475A1"/>
    <w:rsid w:val="0025553E"/>
    <w:rsid w:val="00261761"/>
    <w:rsid w:val="00264A0A"/>
    <w:rsid w:val="00266EAB"/>
    <w:rsid w:val="00270180"/>
    <w:rsid w:val="002779E9"/>
    <w:rsid w:val="0028070D"/>
    <w:rsid w:val="00281464"/>
    <w:rsid w:val="00282ED8"/>
    <w:rsid w:val="002A09C2"/>
    <w:rsid w:val="002A255F"/>
    <w:rsid w:val="002A3A37"/>
    <w:rsid w:val="002A41A8"/>
    <w:rsid w:val="002A480D"/>
    <w:rsid w:val="002A59DD"/>
    <w:rsid w:val="002A7D58"/>
    <w:rsid w:val="002B4422"/>
    <w:rsid w:val="002B537B"/>
    <w:rsid w:val="002B6F50"/>
    <w:rsid w:val="002C52C5"/>
    <w:rsid w:val="002D59CF"/>
    <w:rsid w:val="002D5B8F"/>
    <w:rsid w:val="002E0FB5"/>
    <w:rsid w:val="002E1470"/>
    <w:rsid w:val="002F461A"/>
    <w:rsid w:val="002F746F"/>
    <w:rsid w:val="003054EB"/>
    <w:rsid w:val="003152C9"/>
    <w:rsid w:val="00316196"/>
    <w:rsid w:val="003250ED"/>
    <w:rsid w:val="003278F6"/>
    <w:rsid w:val="0033523C"/>
    <w:rsid w:val="00337E28"/>
    <w:rsid w:val="00341D84"/>
    <w:rsid w:val="003424EC"/>
    <w:rsid w:val="00343846"/>
    <w:rsid w:val="0034454C"/>
    <w:rsid w:val="0035249E"/>
    <w:rsid w:val="00355438"/>
    <w:rsid w:val="00355ED1"/>
    <w:rsid w:val="00357E06"/>
    <w:rsid w:val="00363075"/>
    <w:rsid w:val="00364BAF"/>
    <w:rsid w:val="00366AF3"/>
    <w:rsid w:val="00370BFB"/>
    <w:rsid w:val="003713C9"/>
    <w:rsid w:val="00371640"/>
    <w:rsid w:val="00371F87"/>
    <w:rsid w:val="00374F87"/>
    <w:rsid w:val="00381D14"/>
    <w:rsid w:val="00392C51"/>
    <w:rsid w:val="003948FA"/>
    <w:rsid w:val="003A0C65"/>
    <w:rsid w:val="003A463F"/>
    <w:rsid w:val="003B3E23"/>
    <w:rsid w:val="003B7A7E"/>
    <w:rsid w:val="003D36F0"/>
    <w:rsid w:val="003D40B2"/>
    <w:rsid w:val="003D5215"/>
    <w:rsid w:val="003E4A45"/>
    <w:rsid w:val="003E772C"/>
    <w:rsid w:val="003F293B"/>
    <w:rsid w:val="003F4EE7"/>
    <w:rsid w:val="003F5E07"/>
    <w:rsid w:val="004000A8"/>
    <w:rsid w:val="004001E7"/>
    <w:rsid w:val="0040331F"/>
    <w:rsid w:val="00403C95"/>
    <w:rsid w:val="0041251D"/>
    <w:rsid w:val="00414726"/>
    <w:rsid w:val="00422B53"/>
    <w:rsid w:val="00423DAC"/>
    <w:rsid w:val="00425DBF"/>
    <w:rsid w:val="004329C6"/>
    <w:rsid w:val="004343B1"/>
    <w:rsid w:val="00434EB9"/>
    <w:rsid w:val="00445495"/>
    <w:rsid w:val="004501A9"/>
    <w:rsid w:val="004530E4"/>
    <w:rsid w:val="00453BB0"/>
    <w:rsid w:val="00453F14"/>
    <w:rsid w:val="004563C8"/>
    <w:rsid w:val="00456442"/>
    <w:rsid w:val="00462567"/>
    <w:rsid w:val="00466B99"/>
    <w:rsid w:val="0047027D"/>
    <w:rsid w:val="00474003"/>
    <w:rsid w:val="00474099"/>
    <w:rsid w:val="00483578"/>
    <w:rsid w:val="00491CBC"/>
    <w:rsid w:val="004A2A30"/>
    <w:rsid w:val="004A2D54"/>
    <w:rsid w:val="004A5F84"/>
    <w:rsid w:val="004A6E04"/>
    <w:rsid w:val="004B5CB6"/>
    <w:rsid w:val="004C616B"/>
    <w:rsid w:val="004D21F1"/>
    <w:rsid w:val="004D2CD0"/>
    <w:rsid w:val="004D5D1F"/>
    <w:rsid w:val="004E6B98"/>
    <w:rsid w:val="004F1EDD"/>
    <w:rsid w:val="004F5684"/>
    <w:rsid w:val="004F77D4"/>
    <w:rsid w:val="00500981"/>
    <w:rsid w:val="00500AD6"/>
    <w:rsid w:val="0050304A"/>
    <w:rsid w:val="005045E7"/>
    <w:rsid w:val="00510C33"/>
    <w:rsid w:val="005122A0"/>
    <w:rsid w:val="00520B8C"/>
    <w:rsid w:val="00524925"/>
    <w:rsid w:val="00527911"/>
    <w:rsid w:val="005306BF"/>
    <w:rsid w:val="005319DF"/>
    <w:rsid w:val="0054038E"/>
    <w:rsid w:val="0054593A"/>
    <w:rsid w:val="00546364"/>
    <w:rsid w:val="005476AA"/>
    <w:rsid w:val="00554C9F"/>
    <w:rsid w:val="00557B57"/>
    <w:rsid w:val="005644BE"/>
    <w:rsid w:val="00567755"/>
    <w:rsid w:val="0057524E"/>
    <w:rsid w:val="00575A55"/>
    <w:rsid w:val="00580A44"/>
    <w:rsid w:val="005810F0"/>
    <w:rsid w:val="00583BFE"/>
    <w:rsid w:val="00593ABF"/>
    <w:rsid w:val="00596092"/>
    <w:rsid w:val="005A2517"/>
    <w:rsid w:val="005A5999"/>
    <w:rsid w:val="005A7DA9"/>
    <w:rsid w:val="005C25D5"/>
    <w:rsid w:val="005C2998"/>
    <w:rsid w:val="005D0D0E"/>
    <w:rsid w:val="005D1D6F"/>
    <w:rsid w:val="005D449F"/>
    <w:rsid w:val="005D73BE"/>
    <w:rsid w:val="005E21DE"/>
    <w:rsid w:val="005E6515"/>
    <w:rsid w:val="005F27EF"/>
    <w:rsid w:val="005F3B7B"/>
    <w:rsid w:val="0060257F"/>
    <w:rsid w:val="00605989"/>
    <w:rsid w:val="006079F0"/>
    <w:rsid w:val="006110D3"/>
    <w:rsid w:val="00613713"/>
    <w:rsid w:val="00613E6C"/>
    <w:rsid w:val="0062180F"/>
    <w:rsid w:val="006224FB"/>
    <w:rsid w:val="006251C0"/>
    <w:rsid w:val="00626723"/>
    <w:rsid w:val="006271DD"/>
    <w:rsid w:val="0063115F"/>
    <w:rsid w:val="006363DA"/>
    <w:rsid w:val="00640E69"/>
    <w:rsid w:val="006432C0"/>
    <w:rsid w:val="006456EA"/>
    <w:rsid w:val="00650F25"/>
    <w:rsid w:val="00653983"/>
    <w:rsid w:val="00653C12"/>
    <w:rsid w:val="00655943"/>
    <w:rsid w:val="006609C2"/>
    <w:rsid w:val="00664262"/>
    <w:rsid w:val="0067133D"/>
    <w:rsid w:val="00675BA1"/>
    <w:rsid w:val="00675E89"/>
    <w:rsid w:val="006775B5"/>
    <w:rsid w:val="00681EC4"/>
    <w:rsid w:val="00684F14"/>
    <w:rsid w:val="006853DC"/>
    <w:rsid w:val="00685E14"/>
    <w:rsid w:val="00695F46"/>
    <w:rsid w:val="006A3C35"/>
    <w:rsid w:val="006A49B1"/>
    <w:rsid w:val="006A6D11"/>
    <w:rsid w:val="006B2259"/>
    <w:rsid w:val="006B2684"/>
    <w:rsid w:val="006B5252"/>
    <w:rsid w:val="006C1FF3"/>
    <w:rsid w:val="006C47D0"/>
    <w:rsid w:val="006C4890"/>
    <w:rsid w:val="006C5754"/>
    <w:rsid w:val="006C5831"/>
    <w:rsid w:val="006D2948"/>
    <w:rsid w:val="006D6526"/>
    <w:rsid w:val="006D7431"/>
    <w:rsid w:val="006D7E9F"/>
    <w:rsid w:val="006E03E0"/>
    <w:rsid w:val="006E3B37"/>
    <w:rsid w:val="006E60AE"/>
    <w:rsid w:val="006E674D"/>
    <w:rsid w:val="006E6770"/>
    <w:rsid w:val="006F12A8"/>
    <w:rsid w:val="006F154A"/>
    <w:rsid w:val="006F36FE"/>
    <w:rsid w:val="006F3F00"/>
    <w:rsid w:val="006F61B1"/>
    <w:rsid w:val="00700A62"/>
    <w:rsid w:val="0070136B"/>
    <w:rsid w:val="0070363C"/>
    <w:rsid w:val="00712023"/>
    <w:rsid w:val="007144E9"/>
    <w:rsid w:val="00714A1F"/>
    <w:rsid w:val="00717328"/>
    <w:rsid w:val="00717E97"/>
    <w:rsid w:val="0072073D"/>
    <w:rsid w:val="00720F0F"/>
    <w:rsid w:val="007366B7"/>
    <w:rsid w:val="00742C04"/>
    <w:rsid w:val="0074571D"/>
    <w:rsid w:val="007627C8"/>
    <w:rsid w:val="0076566A"/>
    <w:rsid w:val="0076666B"/>
    <w:rsid w:val="00766717"/>
    <w:rsid w:val="00771C92"/>
    <w:rsid w:val="007832C8"/>
    <w:rsid w:val="00797DA3"/>
    <w:rsid w:val="007A4844"/>
    <w:rsid w:val="007B3142"/>
    <w:rsid w:val="007B33CE"/>
    <w:rsid w:val="007B7B81"/>
    <w:rsid w:val="007D1495"/>
    <w:rsid w:val="007D5A52"/>
    <w:rsid w:val="007D6D1D"/>
    <w:rsid w:val="007D75C8"/>
    <w:rsid w:val="007E2C66"/>
    <w:rsid w:val="007E6244"/>
    <w:rsid w:val="007F02A1"/>
    <w:rsid w:val="007F1021"/>
    <w:rsid w:val="007F2DBB"/>
    <w:rsid w:val="007F4D32"/>
    <w:rsid w:val="007F7E7C"/>
    <w:rsid w:val="008010F4"/>
    <w:rsid w:val="008113A7"/>
    <w:rsid w:val="0081554E"/>
    <w:rsid w:val="00821A81"/>
    <w:rsid w:val="00826C30"/>
    <w:rsid w:val="0082758F"/>
    <w:rsid w:val="00833779"/>
    <w:rsid w:val="008373FC"/>
    <w:rsid w:val="00846E84"/>
    <w:rsid w:val="00856A7C"/>
    <w:rsid w:val="00866CE1"/>
    <w:rsid w:val="008739E7"/>
    <w:rsid w:val="00874645"/>
    <w:rsid w:val="00881685"/>
    <w:rsid w:val="00882014"/>
    <w:rsid w:val="008844D9"/>
    <w:rsid w:val="00891C3A"/>
    <w:rsid w:val="008931F2"/>
    <w:rsid w:val="00895BBC"/>
    <w:rsid w:val="008A3A3B"/>
    <w:rsid w:val="008A5E54"/>
    <w:rsid w:val="008A7188"/>
    <w:rsid w:val="008C1EBB"/>
    <w:rsid w:val="008D1D28"/>
    <w:rsid w:val="008D24F1"/>
    <w:rsid w:val="008D6864"/>
    <w:rsid w:val="008D6B2E"/>
    <w:rsid w:val="008E5C25"/>
    <w:rsid w:val="008F2058"/>
    <w:rsid w:val="008F5B37"/>
    <w:rsid w:val="009044A3"/>
    <w:rsid w:val="009064CE"/>
    <w:rsid w:val="00912233"/>
    <w:rsid w:val="009122D1"/>
    <w:rsid w:val="00917410"/>
    <w:rsid w:val="009264D0"/>
    <w:rsid w:val="009312C4"/>
    <w:rsid w:val="0093360A"/>
    <w:rsid w:val="009358D3"/>
    <w:rsid w:val="00955433"/>
    <w:rsid w:val="00955764"/>
    <w:rsid w:val="00957A6F"/>
    <w:rsid w:val="0096223F"/>
    <w:rsid w:val="009649C2"/>
    <w:rsid w:val="00965DEB"/>
    <w:rsid w:val="00971DF5"/>
    <w:rsid w:val="00973056"/>
    <w:rsid w:val="009738DE"/>
    <w:rsid w:val="009758E9"/>
    <w:rsid w:val="00977A0F"/>
    <w:rsid w:val="00980BEB"/>
    <w:rsid w:val="00980D94"/>
    <w:rsid w:val="00982F7B"/>
    <w:rsid w:val="009843D4"/>
    <w:rsid w:val="00984642"/>
    <w:rsid w:val="00986E5B"/>
    <w:rsid w:val="0099076D"/>
    <w:rsid w:val="0099690F"/>
    <w:rsid w:val="00996D38"/>
    <w:rsid w:val="00997675"/>
    <w:rsid w:val="009A3211"/>
    <w:rsid w:val="009A53E2"/>
    <w:rsid w:val="009B008F"/>
    <w:rsid w:val="009C11F2"/>
    <w:rsid w:val="009C3FDE"/>
    <w:rsid w:val="009C51BD"/>
    <w:rsid w:val="009C7CAD"/>
    <w:rsid w:val="009D686B"/>
    <w:rsid w:val="009E6FDF"/>
    <w:rsid w:val="009F2742"/>
    <w:rsid w:val="009F28F5"/>
    <w:rsid w:val="009F2DA7"/>
    <w:rsid w:val="009F540E"/>
    <w:rsid w:val="00A00ACE"/>
    <w:rsid w:val="00A0582F"/>
    <w:rsid w:val="00A0717D"/>
    <w:rsid w:val="00A07846"/>
    <w:rsid w:val="00A159F8"/>
    <w:rsid w:val="00A17CA6"/>
    <w:rsid w:val="00A2086A"/>
    <w:rsid w:val="00A20DD4"/>
    <w:rsid w:val="00A217D6"/>
    <w:rsid w:val="00A2291B"/>
    <w:rsid w:val="00A22C2C"/>
    <w:rsid w:val="00A346EF"/>
    <w:rsid w:val="00A36855"/>
    <w:rsid w:val="00A54087"/>
    <w:rsid w:val="00A549F3"/>
    <w:rsid w:val="00A65690"/>
    <w:rsid w:val="00A65FB0"/>
    <w:rsid w:val="00A66A23"/>
    <w:rsid w:val="00A67512"/>
    <w:rsid w:val="00A743C6"/>
    <w:rsid w:val="00A908C3"/>
    <w:rsid w:val="00A9412B"/>
    <w:rsid w:val="00A95739"/>
    <w:rsid w:val="00A96A38"/>
    <w:rsid w:val="00AB2F7B"/>
    <w:rsid w:val="00AB300C"/>
    <w:rsid w:val="00AB449B"/>
    <w:rsid w:val="00AB69AD"/>
    <w:rsid w:val="00AC00F8"/>
    <w:rsid w:val="00AC6B15"/>
    <w:rsid w:val="00AC7376"/>
    <w:rsid w:val="00AD2569"/>
    <w:rsid w:val="00AD3799"/>
    <w:rsid w:val="00AD4124"/>
    <w:rsid w:val="00AE027C"/>
    <w:rsid w:val="00AE0761"/>
    <w:rsid w:val="00AE07A3"/>
    <w:rsid w:val="00AE0E7B"/>
    <w:rsid w:val="00AE2412"/>
    <w:rsid w:val="00AE318F"/>
    <w:rsid w:val="00AE4AB8"/>
    <w:rsid w:val="00AE6F47"/>
    <w:rsid w:val="00AE7264"/>
    <w:rsid w:val="00AF13F6"/>
    <w:rsid w:val="00AF202A"/>
    <w:rsid w:val="00AF237D"/>
    <w:rsid w:val="00AF2F5E"/>
    <w:rsid w:val="00AF76E5"/>
    <w:rsid w:val="00B005BD"/>
    <w:rsid w:val="00B03444"/>
    <w:rsid w:val="00B03542"/>
    <w:rsid w:val="00B04F23"/>
    <w:rsid w:val="00B14E68"/>
    <w:rsid w:val="00B226FB"/>
    <w:rsid w:val="00B23669"/>
    <w:rsid w:val="00B24860"/>
    <w:rsid w:val="00B30599"/>
    <w:rsid w:val="00B340CD"/>
    <w:rsid w:val="00B352CB"/>
    <w:rsid w:val="00B36CFA"/>
    <w:rsid w:val="00B41CC3"/>
    <w:rsid w:val="00B4714C"/>
    <w:rsid w:val="00B47620"/>
    <w:rsid w:val="00B47AA6"/>
    <w:rsid w:val="00B50A63"/>
    <w:rsid w:val="00B56AFB"/>
    <w:rsid w:val="00B576A5"/>
    <w:rsid w:val="00B62EDB"/>
    <w:rsid w:val="00B64450"/>
    <w:rsid w:val="00B71718"/>
    <w:rsid w:val="00B717E3"/>
    <w:rsid w:val="00B71BBD"/>
    <w:rsid w:val="00B72F21"/>
    <w:rsid w:val="00B776EA"/>
    <w:rsid w:val="00B83DA7"/>
    <w:rsid w:val="00B862DB"/>
    <w:rsid w:val="00B922EE"/>
    <w:rsid w:val="00B9596E"/>
    <w:rsid w:val="00BA6227"/>
    <w:rsid w:val="00BB0F85"/>
    <w:rsid w:val="00BB21C3"/>
    <w:rsid w:val="00BB3A1A"/>
    <w:rsid w:val="00BC0132"/>
    <w:rsid w:val="00BC0598"/>
    <w:rsid w:val="00BC410C"/>
    <w:rsid w:val="00BC72A5"/>
    <w:rsid w:val="00BD0426"/>
    <w:rsid w:val="00BD10B3"/>
    <w:rsid w:val="00BD1FB9"/>
    <w:rsid w:val="00BD2784"/>
    <w:rsid w:val="00BE0C9E"/>
    <w:rsid w:val="00BE4F61"/>
    <w:rsid w:val="00BF11C6"/>
    <w:rsid w:val="00BF5F7B"/>
    <w:rsid w:val="00BF69F6"/>
    <w:rsid w:val="00BF702E"/>
    <w:rsid w:val="00C045F4"/>
    <w:rsid w:val="00C11004"/>
    <w:rsid w:val="00C111FE"/>
    <w:rsid w:val="00C1497F"/>
    <w:rsid w:val="00C15B1E"/>
    <w:rsid w:val="00C20B9C"/>
    <w:rsid w:val="00C2509E"/>
    <w:rsid w:val="00C2778C"/>
    <w:rsid w:val="00C27F6A"/>
    <w:rsid w:val="00C35841"/>
    <w:rsid w:val="00C41C74"/>
    <w:rsid w:val="00C43C76"/>
    <w:rsid w:val="00C47F8B"/>
    <w:rsid w:val="00C52723"/>
    <w:rsid w:val="00C53318"/>
    <w:rsid w:val="00C616A4"/>
    <w:rsid w:val="00C64096"/>
    <w:rsid w:val="00C654E1"/>
    <w:rsid w:val="00C846F6"/>
    <w:rsid w:val="00C852DE"/>
    <w:rsid w:val="00C85B10"/>
    <w:rsid w:val="00C86ED7"/>
    <w:rsid w:val="00C93CE8"/>
    <w:rsid w:val="00C96048"/>
    <w:rsid w:val="00C96214"/>
    <w:rsid w:val="00C9797F"/>
    <w:rsid w:val="00CA1FB9"/>
    <w:rsid w:val="00CA2523"/>
    <w:rsid w:val="00CA73C1"/>
    <w:rsid w:val="00CA79D7"/>
    <w:rsid w:val="00CC40B9"/>
    <w:rsid w:val="00CC646D"/>
    <w:rsid w:val="00CC7CBA"/>
    <w:rsid w:val="00CD463B"/>
    <w:rsid w:val="00CD687A"/>
    <w:rsid w:val="00CD77DD"/>
    <w:rsid w:val="00CD7E39"/>
    <w:rsid w:val="00CE28CA"/>
    <w:rsid w:val="00CE2EFB"/>
    <w:rsid w:val="00CE5A10"/>
    <w:rsid w:val="00CF6D99"/>
    <w:rsid w:val="00D002D6"/>
    <w:rsid w:val="00D005AD"/>
    <w:rsid w:val="00D02FD8"/>
    <w:rsid w:val="00D10832"/>
    <w:rsid w:val="00D145A9"/>
    <w:rsid w:val="00D24EAF"/>
    <w:rsid w:val="00D30707"/>
    <w:rsid w:val="00D3104C"/>
    <w:rsid w:val="00D41ABC"/>
    <w:rsid w:val="00D478CC"/>
    <w:rsid w:val="00D50FDD"/>
    <w:rsid w:val="00D51669"/>
    <w:rsid w:val="00D602AC"/>
    <w:rsid w:val="00D60741"/>
    <w:rsid w:val="00D70824"/>
    <w:rsid w:val="00D70F9E"/>
    <w:rsid w:val="00D760A9"/>
    <w:rsid w:val="00D925B8"/>
    <w:rsid w:val="00D92C1C"/>
    <w:rsid w:val="00D92E46"/>
    <w:rsid w:val="00D95197"/>
    <w:rsid w:val="00DA0D62"/>
    <w:rsid w:val="00DA3B66"/>
    <w:rsid w:val="00DA6836"/>
    <w:rsid w:val="00DA733A"/>
    <w:rsid w:val="00DB2417"/>
    <w:rsid w:val="00DC05A3"/>
    <w:rsid w:val="00DC0951"/>
    <w:rsid w:val="00DC4504"/>
    <w:rsid w:val="00DC6A0C"/>
    <w:rsid w:val="00DC7EB8"/>
    <w:rsid w:val="00DD2947"/>
    <w:rsid w:val="00DD3BDB"/>
    <w:rsid w:val="00DE0A3B"/>
    <w:rsid w:val="00DF1EEF"/>
    <w:rsid w:val="00DF226F"/>
    <w:rsid w:val="00DF25FA"/>
    <w:rsid w:val="00DF2B8B"/>
    <w:rsid w:val="00E03DB3"/>
    <w:rsid w:val="00E05ECE"/>
    <w:rsid w:val="00E1280F"/>
    <w:rsid w:val="00E17B2C"/>
    <w:rsid w:val="00E20271"/>
    <w:rsid w:val="00E27DEF"/>
    <w:rsid w:val="00E32743"/>
    <w:rsid w:val="00E342C7"/>
    <w:rsid w:val="00E354F6"/>
    <w:rsid w:val="00E358CA"/>
    <w:rsid w:val="00E404DC"/>
    <w:rsid w:val="00E40B33"/>
    <w:rsid w:val="00E41A83"/>
    <w:rsid w:val="00E4317C"/>
    <w:rsid w:val="00E459FD"/>
    <w:rsid w:val="00E503CC"/>
    <w:rsid w:val="00E51A3A"/>
    <w:rsid w:val="00E5286F"/>
    <w:rsid w:val="00E606F4"/>
    <w:rsid w:val="00E63703"/>
    <w:rsid w:val="00E66C4A"/>
    <w:rsid w:val="00E704C6"/>
    <w:rsid w:val="00E75185"/>
    <w:rsid w:val="00E75E5A"/>
    <w:rsid w:val="00E761C9"/>
    <w:rsid w:val="00E775AC"/>
    <w:rsid w:val="00E77B98"/>
    <w:rsid w:val="00E80907"/>
    <w:rsid w:val="00E8471E"/>
    <w:rsid w:val="00E9085A"/>
    <w:rsid w:val="00E942DA"/>
    <w:rsid w:val="00E94EF3"/>
    <w:rsid w:val="00E959E9"/>
    <w:rsid w:val="00E95E00"/>
    <w:rsid w:val="00E9704C"/>
    <w:rsid w:val="00E97167"/>
    <w:rsid w:val="00EB19E5"/>
    <w:rsid w:val="00EB249C"/>
    <w:rsid w:val="00EB4564"/>
    <w:rsid w:val="00EB468A"/>
    <w:rsid w:val="00EB5647"/>
    <w:rsid w:val="00EC1FDA"/>
    <w:rsid w:val="00EC3DC1"/>
    <w:rsid w:val="00EC6CC2"/>
    <w:rsid w:val="00EC76D2"/>
    <w:rsid w:val="00ED0970"/>
    <w:rsid w:val="00ED6DCA"/>
    <w:rsid w:val="00EF20B1"/>
    <w:rsid w:val="00EF7BE7"/>
    <w:rsid w:val="00F00604"/>
    <w:rsid w:val="00F00CF2"/>
    <w:rsid w:val="00F011B6"/>
    <w:rsid w:val="00F05141"/>
    <w:rsid w:val="00F076C1"/>
    <w:rsid w:val="00F119A6"/>
    <w:rsid w:val="00F167CB"/>
    <w:rsid w:val="00F2164E"/>
    <w:rsid w:val="00F218D7"/>
    <w:rsid w:val="00F240EB"/>
    <w:rsid w:val="00F315FE"/>
    <w:rsid w:val="00F31FE6"/>
    <w:rsid w:val="00F36BED"/>
    <w:rsid w:val="00F41264"/>
    <w:rsid w:val="00F41FFE"/>
    <w:rsid w:val="00F45BB8"/>
    <w:rsid w:val="00F53E0E"/>
    <w:rsid w:val="00F53F80"/>
    <w:rsid w:val="00F5697E"/>
    <w:rsid w:val="00F63BFA"/>
    <w:rsid w:val="00F64376"/>
    <w:rsid w:val="00F6556A"/>
    <w:rsid w:val="00F65709"/>
    <w:rsid w:val="00F673A2"/>
    <w:rsid w:val="00F72A3E"/>
    <w:rsid w:val="00F7577B"/>
    <w:rsid w:val="00F774B4"/>
    <w:rsid w:val="00F77715"/>
    <w:rsid w:val="00F8287E"/>
    <w:rsid w:val="00F84A25"/>
    <w:rsid w:val="00F84C57"/>
    <w:rsid w:val="00F937F1"/>
    <w:rsid w:val="00F93A0D"/>
    <w:rsid w:val="00FA4024"/>
    <w:rsid w:val="00FA76AB"/>
    <w:rsid w:val="00FB28C0"/>
    <w:rsid w:val="00FB3B53"/>
    <w:rsid w:val="00FC137E"/>
    <w:rsid w:val="00FC69D9"/>
    <w:rsid w:val="00FD17E6"/>
    <w:rsid w:val="00FD6D0F"/>
    <w:rsid w:val="00FD7412"/>
    <w:rsid w:val="00FE1374"/>
    <w:rsid w:val="00FE2133"/>
    <w:rsid w:val="00FE6C3C"/>
    <w:rsid w:val="00FF01B7"/>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08184351-6932-4329-BFB9-C69C333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16A0"/>
    <w:rPr>
      <w:sz w:val="16"/>
      <w:szCs w:val="16"/>
    </w:rPr>
  </w:style>
  <w:style w:type="paragraph" w:styleId="Kommentartext">
    <w:name w:val="annotation text"/>
    <w:basedOn w:val="Standard"/>
    <w:link w:val="KommentartextZchn"/>
    <w:uiPriority w:val="99"/>
    <w:semiHidden/>
    <w:unhideWhenUsed/>
    <w:rsid w:val="001416A0"/>
    <w:rPr>
      <w:sz w:val="20"/>
    </w:rPr>
  </w:style>
  <w:style w:type="character" w:customStyle="1" w:styleId="KommentartextZchn">
    <w:name w:val="Kommentartext Zchn"/>
    <w:basedOn w:val="Absatz-Standardschriftart"/>
    <w:link w:val="Kommentartext"/>
    <w:uiPriority w:val="99"/>
    <w:semiHidden/>
    <w:rsid w:val="001416A0"/>
  </w:style>
  <w:style w:type="paragraph" w:styleId="Kommentarthema">
    <w:name w:val="annotation subject"/>
    <w:basedOn w:val="Kommentartext"/>
    <w:next w:val="Kommentartext"/>
    <w:link w:val="KommentarthemaZchn"/>
    <w:uiPriority w:val="99"/>
    <w:semiHidden/>
    <w:unhideWhenUsed/>
    <w:rsid w:val="001416A0"/>
    <w:rPr>
      <w:b/>
      <w:bCs/>
    </w:rPr>
  </w:style>
  <w:style w:type="character" w:customStyle="1" w:styleId="KommentarthemaZchn">
    <w:name w:val="Kommentarthema Zchn"/>
    <w:basedOn w:val="KommentartextZchn"/>
    <w:link w:val="Kommentarthema"/>
    <w:uiPriority w:val="99"/>
    <w:semiHidden/>
    <w:rsid w:val="0014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atenschut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Corinna Fühner</dc:creator>
  <cp:keywords/>
  <cp:lastModifiedBy>Corinna Fühner</cp:lastModifiedBy>
  <cp:revision>4</cp:revision>
  <cp:lastPrinted>2022-07-04T08:29:00Z</cp:lastPrinted>
  <dcterms:created xsi:type="dcterms:W3CDTF">2022-07-04T08:55:00Z</dcterms:created>
  <dcterms:modified xsi:type="dcterms:W3CDTF">2022-07-07T09:03:00Z</dcterms:modified>
</cp:coreProperties>
</file>