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E728" w14:textId="4D56FFCF" w:rsidR="00CA79D7" w:rsidRPr="006456EA" w:rsidRDefault="00CF558D" w:rsidP="00CA79D7">
      <w:pPr>
        <w:pStyle w:val="EinfAbs"/>
        <w:tabs>
          <w:tab w:val="left" w:pos="200"/>
        </w:tabs>
        <w:rPr>
          <w:rFonts w:ascii="Source Sans Pro" w:hAnsi="Source Sans Pro" w:cs="Source Sans Pro"/>
          <w:caps/>
          <w:color w:val="0086A8"/>
          <w:sz w:val="22"/>
          <w:szCs w:val="22"/>
        </w:rPr>
      </w:pPr>
      <w:r>
        <w:rPr>
          <w:rFonts w:ascii="Source Sans Pro" w:hAnsi="Source Sans Pro"/>
          <w:caps/>
          <w:color w:val="0086A8"/>
          <w:sz w:val="22"/>
          <w:szCs w:val="22"/>
        </w:rPr>
        <w:t xml:space="preserve">TOP-7-INVESTMENT MARKETS Q1-4/2022 </w:t>
      </w:r>
    </w:p>
    <w:p w14:paraId="7C2D2599" w14:textId="0B74ACDE" w:rsidR="00CA79D7" w:rsidRDefault="001C5C9B" w:rsidP="003152C9">
      <w:pPr>
        <w:pStyle w:val="EinfAbs"/>
        <w:tabs>
          <w:tab w:val="left" w:pos="200"/>
        </w:tabs>
        <w:spacing w:line="440" w:lineRule="exact"/>
        <w:rPr>
          <w:rFonts w:ascii="Source Sans Pro" w:hAnsi="Source Sans Pro" w:cs="Source Sans Pro"/>
          <w:sz w:val="36"/>
          <w:szCs w:val="36"/>
        </w:rPr>
      </w:pPr>
      <w:r>
        <w:rPr>
          <w:rFonts w:ascii="Source Sans Pro" w:hAnsi="Source Sans Pro"/>
          <w:sz w:val="36"/>
          <w:szCs w:val="36"/>
        </w:rPr>
        <w:t>Reticence instead of year-end rally</w:t>
      </w:r>
    </w:p>
    <w:p w14:paraId="743073FD" w14:textId="77777777" w:rsidR="003152C9" w:rsidRDefault="003152C9" w:rsidP="003152C9">
      <w:pPr>
        <w:pStyle w:val="EinfAbs"/>
        <w:tabs>
          <w:tab w:val="left" w:pos="200"/>
        </w:tabs>
        <w:spacing w:line="440" w:lineRule="exact"/>
        <w:rPr>
          <w:rFonts w:ascii="Source Sans Pro" w:hAnsi="Source Sans Pro" w:cs="Source Sans Pro"/>
          <w:sz w:val="36"/>
          <w:szCs w:val="36"/>
        </w:rPr>
      </w:pPr>
    </w:p>
    <w:p w14:paraId="1DE5BFC8" w14:textId="661AF023" w:rsidR="00904B69" w:rsidRDefault="00A57479" w:rsidP="00673477">
      <w:pPr>
        <w:pStyle w:val="EinfAbs"/>
        <w:tabs>
          <w:tab w:val="left" w:pos="200"/>
        </w:tabs>
        <w:rPr>
          <w:rFonts w:ascii="Source Sans Pro" w:hAnsi="Source Sans Pro" w:cs="Source Sans Pro"/>
          <w:color w:val="0086A8"/>
          <w:sz w:val="22"/>
          <w:szCs w:val="22"/>
        </w:rPr>
      </w:pPr>
      <w:r>
        <w:rPr>
          <w:rFonts w:ascii="Source Sans Pro" w:hAnsi="Source Sans Pro"/>
          <w:noProof/>
          <w:color w:val="0086A8"/>
          <w:sz w:val="22"/>
          <w:szCs w:val="22"/>
          <w:lang w:val="de-DE"/>
        </w:rPr>
        <w:drawing>
          <wp:inline distT="0" distB="0" distL="0" distR="0" wp14:anchorId="327B4928" wp14:editId="4BE6F36A">
            <wp:extent cx="4513479" cy="2564211"/>
            <wp:effectExtent l="19050" t="19050" r="20955" b="266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benannt.jpg"/>
                    <pic:cNvPicPr/>
                  </pic:nvPicPr>
                  <pic:blipFill>
                    <a:blip r:embed="rId7">
                      <a:extLst>
                        <a:ext uri="{28A0092B-C50C-407E-A947-70E740481C1C}">
                          <a14:useLocalDpi xmlns:a14="http://schemas.microsoft.com/office/drawing/2010/main" val="0"/>
                        </a:ext>
                      </a:extLst>
                    </a:blip>
                    <a:stretch>
                      <a:fillRect/>
                    </a:stretch>
                  </pic:blipFill>
                  <pic:spPr>
                    <a:xfrm>
                      <a:off x="0" y="0"/>
                      <a:ext cx="4568745" cy="2595609"/>
                    </a:xfrm>
                    <a:prstGeom prst="rect">
                      <a:avLst/>
                    </a:prstGeom>
                    <a:ln w="3175">
                      <a:solidFill>
                        <a:schemeClr val="tx1"/>
                      </a:solidFill>
                    </a:ln>
                  </pic:spPr>
                </pic:pic>
              </a:graphicData>
            </a:graphic>
          </wp:inline>
        </w:drawing>
      </w:r>
    </w:p>
    <w:p w14:paraId="113B4C90" w14:textId="63AD0F47" w:rsidR="00B15CB9" w:rsidRDefault="00673477" w:rsidP="00EE60C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olor w:val="0086A8"/>
          <w:sz w:val="22"/>
          <w:szCs w:val="22"/>
        </w:rPr>
        <w:br/>
        <w:t>03</w:t>
      </w:r>
      <w:r>
        <w:rPr>
          <w:rFonts w:ascii="Source Sans Pro" w:hAnsi="Source Sans Pro"/>
          <w:color w:val="0087A8"/>
          <w:sz w:val="22"/>
          <w:szCs w:val="22"/>
        </w:rPr>
        <w:t xml:space="preserve"> January 2023, Hamburg</w:t>
      </w:r>
      <w:r w:rsidR="00420BA3">
        <w:rPr>
          <w:rFonts w:ascii="Source Sans Pro" w:hAnsi="Source Sans Pro"/>
          <w:color w:val="0087A8"/>
          <w:sz w:val="22"/>
          <w:szCs w:val="22"/>
        </w:rPr>
        <w:t>.</w:t>
      </w:r>
      <w:r>
        <w:rPr>
          <w:rFonts w:ascii="Source Sans Pro" w:hAnsi="Source Sans Pro"/>
          <w:color w:val="0086A8"/>
          <w:sz w:val="22"/>
          <w:szCs w:val="22"/>
        </w:rPr>
        <w:t xml:space="preserve"> </w:t>
      </w:r>
      <w:r>
        <w:rPr>
          <w:rFonts w:ascii="Source Sans Pro" w:hAnsi="Source Sans Pro"/>
          <w:sz w:val="22"/>
          <w:szCs w:val="22"/>
        </w:rPr>
        <w:t xml:space="preserve">At the close of 2022 the volume of investments in commercial properties located in Germany’s top 7 cities totalled some €24.9bn. Year on year this result represents a 26 % drop and is well below the ten-year average of €29.4bn. </w:t>
      </w:r>
      <w:r w:rsidR="00420BA3">
        <w:rPr>
          <w:rFonts w:ascii="Source Sans Pro" w:hAnsi="Source Sans Pro"/>
          <w:sz w:val="22"/>
          <w:szCs w:val="22"/>
        </w:rPr>
        <w:t>It</w:t>
      </w:r>
      <w:r>
        <w:rPr>
          <w:rFonts w:ascii="Source Sans Pro" w:hAnsi="Source Sans Pro"/>
          <w:sz w:val="22"/>
          <w:szCs w:val="22"/>
        </w:rPr>
        <w:t xml:space="preserve"> is the lowest figure seen since 2014 (€21.8bn) Merely one sixth (€4.4bn) of the total volume was generated in the 4th quarter, when trading levels are usually high. These findings are contained in a survey compiled by German Property Partners (GPP), the commercial real estate network formed by Grossmann &amp; Berger, Anteon Immobilien, GREIF &amp; CONTZEN Immobilien, blackolive and E &amp; G Real Estate.  </w:t>
      </w:r>
    </w:p>
    <w:p w14:paraId="36A6C608" w14:textId="315CA56E" w:rsidR="00B15CB9" w:rsidRDefault="00B15CB9" w:rsidP="00EE60C7">
      <w:pPr>
        <w:pStyle w:val="EinfAbs"/>
        <w:tabs>
          <w:tab w:val="left" w:pos="200"/>
        </w:tabs>
        <w:snapToGrid w:val="0"/>
        <w:spacing w:line="280" w:lineRule="exact"/>
        <w:jc w:val="both"/>
        <w:rPr>
          <w:rFonts w:ascii="Source Sans Pro" w:hAnsi="Source Sans Pro" w:cs="Source Sans Pro"/>
          <w:sz w:val="22"/>
          <w:szCs w:val="22"/>
        </w:rPr>
      </w:pPr>
    </w:p>
    <w:p w14:paraId="02272AFE" w14:textId="3BDAF685" w:rsidR="00C26D67" w:rsidRPr="00DD249D" w:rsidRDefault="001C5C9B" w:rsidP="00EE60C7">
      <w:pPr>
        <w:pStyle w:val="EinfAbs"/>
        <w:tabs>
          <w:tab w:val="left" w:pos="200"/>
        </w:tabs>
        <w:snapToGrid w:val="0"/>
        <w:spacing w:line="280" w:lineRule="exact"/>
        <w:jc w:val="both"/>
        <w:rPr>
          <w:rFonts w:ascii="Source Sans Pro" w:hAnsi="Source Sans Pro" w:cs="Source Sans Pro"/>
          <w:i/>
          <w:sz w:val="22"/>
          <w:szCs w:val="22"/>
        </w:rPr>
      </w:pPr>
      <w:r>
        <w:rPr>
          <w:rFonts w:ascii="Source Sans Pro" w:hAnsi="Source Sans Pro"/>
          <w:b/>
          <w:sz w:val="22"/>
          <w:szCs w:val="22"/>
        </w:rPr>
        <w:t>Andreas Rehberg</w:t>
      </w:r>
      <w:r>
        <w:rPr>
          <w:rFonts w:ascii="Source Sans Pro" w:hAnsi="Source Sans Pro"/>
          <w:sz w:val="22"/>
          <w:szCs w:val="22"/>
        </w:rPr>
        <w:t>, GPP spokesman, says that,</w:t>
      </w:r>
      <w:r>
        <w:rPr>
          <w:rFonts w:ascii="Source Sans Pro" w:hAnsi="Source Sans Pro"/>
          <w:i/>
          <w:sz w:val="22"/>
          <w:szCs w:val="22"/>
        </w:rPr>
        <w:t xml:space="preserve"> “Up to the end of the third quarter the volume of transactions in the top 7 cities was slightly higher year on year owing to some outlier trades. In particular, due to Brookfield’s take-over of the huge alstria portfolio, the year got off to a flying start that buoyed transaction volumes during the course of the year. In fact, from the second quarter onwards the market slowed appreciably due to the deteriorating business environment. Now, at the close of the year, the decline can no longer be hidden.” </w:t>
      </w:r>
    </w:p>
    <w:p w14:paraId="0423D186" w14:textId="38389D6E" w:rsidR="00895E64" w:rsidRDefault="00895E64" w:rsidP="000136D7">
      <w:pPr>
        <w:pStyle w:val="EinfAbs"/>
        <w:tabs>
          <w:tab w:val="left" w:pos="200"/>
        </w:tabs>
        <w:snapToGrid w:val="0"/>
        <w:spacing w:line="280" w:lineRule="exact"/>
        <w:jc w:val="both"/>
        <w:rPr>
          <w:rFonts w:ascii="Source Sans Pro" w:hAnsi="Source Sans Pro" w:cs="Arial"/>
          <w:bCs/>
          <w:sz w:val="22"/>
          <w:szCs w:val="22"/>
        </w:rPr>
      </w:pPr>
    </w:p>
    <w:p w14:paraId="0E4CB111" w14:textId="01300BE9" w:rsidR="00A85640" w:rsidRPr="00895E64" w:rsidRDefault="003527F5" w:rsidP="000136D7">
      <w:pPr>
        <w:pStyle w:val="EinfAbs"/>
        <w:tabs>
          <w:tab w:val="left" w:pos="200"/>
        </w:tabs>
        <w:snapToGrid w:val="0"/>
        <w:spacing w:line="280" w:lineRule="exact"/>
        <w:jc w:val="both"/>
        <w:rPr>
          <w:rFonts w:ascii="Source Sans Pro" w:hAnsi="Source Sans Pro" w:cs="Arial"/>
          <w:bCs/>
          <w:sz w:val="22"/>
          <w:szCs w:val="22"/>
        </w:rPr>
      </w:pPr>
      <w:r>
        <w:rPr>
          <w:rFonts w:ascii="Source Sans Pro" w:hAnsi="Source Sans Pro"/>
          <w:caps/>
          <w:color w:val="0086A8"/>
          <w:sz w:val="22"/>
          <w:szCs w:val="22"/>
        </w:rPr>
        <w:t>VOLUME OF TRANSACTIONS</w:t>
      </w:r>
      <w:r w:rsidR="00420BA3">
        <w:rPr>
          <w:rFonts w:ascii="Source Sans Pro" w:hAnsi="Source Sans Pro"/>
          <w:caps/>
          <w:color w:val="0086A8"/>
          <w:sz w:val="22"/>
          <w:szCs w:val="22"/>
        </w:rPr>
        <w:t>:</w:t>
      </w:r>
      <w:r>
        <w:rPr>
          <w:rFonts w:ascii="Source Sans Pro" w:hAnsi="Source Sans Pro"/>
          <w:caps/>
          <w:color w:val="0086A8"/>
          <w:sz w:val="22"/>
          <w:szCs w:val="22"/>
        </w:rPr>
        <w:t xml:space="preserve"> IN HAMBURG and Düsseldorf outlier trades predominate</w:t>
      </w:r>
    </w:p>
    <w:p w14:paraId="4C184596" w14:textId="6E239412" w:rsidR="00CC74BD" w:rsidRPr="003527F5" w:rsidRDefault="00050524" w:rsidP="00CC74BD">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When interest rates leapt up, many investors paused active trading and adopted a wait-and-see attitude. </w:t>
      </w:r>
      <w:r w:rsidR="00420BA3">
        <w:rPr>
          <w:rFonts w:ascii="Source Sans Pro" w:hAnsi="Source Sans Pro"/>
          <w:sz w:val="22"/>
          <w:szCs w:val="22"/>
        </w:rPr>
        <w:t>“</w:t>
      </w:r>
      <w:r>
        <w:rPr>
          <w:rFonts w:ascii="Source Sans Pro" w:hAnsi="Source Sans Pro"/>
          <w:i/>
          <w:sz w:val="22"/>
          <w:szCs w:val="22"/>
        </w:rPr>
        <w:t>Above all when it comes to big-ticket investments, we observe considerable caution.</w:t>
      </w:r>
      <w:r>
        <w:rPr>
          <w:rFonts w:ascii="Source Sans Pro" w:hAnsi="Source Sans Pro"/>
          <w:sz w:val="22"/>
          <w:szCs w:val="22"/>
        </w:rPr>
        <w:t xml:space="preserve"> </w:t>
      </w:r>
      <w:r>
        <w:rPr>
          <w:rFonts w:ascii="Source Sans Pro" w:hAnsi="Source Sans Pro"/>
          <w:i/>
          <w:sz w:val="22"/>
          <w:szCs w:val="22"/>
        </w:rPr>
        <w:t xml:space="preserve"> Even though more sellers are now prepared to lower the asking price, many potential sales still founder when the parties fail to agree on price”,</w:t>
      </w:r>
      <w:r>
        <w:rPr>
          <w:rFonts w:ascii="Source Sans Pro" w:hAnsi="Source Sans Pro"/>
          <w:sz w:val="22"/>
          <w:szCs w:val="22"/>
        </w:rPr>
        <w:t xml:space="preserve"> says </w:t>
      </w:r>
      <w:r>
        <w:rPr>
          <w:rFonts w:ascii="Source Sans Pro" w:hAnsi="Source Sans Pro"/>
          <w:b/>
          <w:sz w:val="22"/>
          <w:szCs w:val="22"/>
        </w:rPr>
        <w:t>Rehberg</w:t>
      </w:r>
      <w:r>
        <w:rPr>
          <w:rFonts w:ascii="Source Sans Pro" w:hAnsi="Source Sans Pro"/>
          <w:sz w:val="22"/>
          <w:szCs w:val="22"/>
        </w:rPr>
        <w:t>.</w:t>
      </w:r>
      <w:r>
        <w:rPr>
          <w:rFonts w:ascii="Source Sans Pro" w:hAnsi="Source Sans Pro"/>
          <w:i/>
          <w:sz w:val="22"/>
          <w:szCs w:val="22"/>
        </w:rPr>
        <w:t xml:space="preserve"> </w:t>
      </w:r>
      <w:r>
        <w:rPr>
          <w:rFonts w:ascii="Source Sans Pro" w:hAnsi="Source Sans Pro"/>
          <w:sz w:val="22"/>
          <w:szCs w:val="22"/>
        </w:rPr>
        <w:t xml:space="preserve">Some properties were withdrawn from the market because there was so little competition. </w:t>
      </w:r>
    </w:p>
    <w:p w14:paraId="5152C68C" w14:textId="7E565643" w:rsidR="00CC74BD" w:rsidRDefault="00CC74BD" w:rsidP="00821281">
      <w:pPr>
        <w:pStyle w:val="EinfAbs"/>
        <w:tabs>
          <w:tab w:val="left" w:pos="200"/>
        </w:tabs>
        <w:snapToGrid w:val="0"/>
        <w:spacing w:line="280" w:lineRule="exact"/>
        <w:jc w:val="both"/>
        <w:rPr>
          <w:rFonts w:ascii="Source Sans Pro" w:hAnsi="Source Sans Pro" w:cs="Source Sans Pro"/>
          <w:color w:val="auto"/>
          <w:sz w:val="22"/>
          <w:szCs w:val="22"/>
        </w:rPr>
      </w:pPr>
    </w:p>
    <w:p w14:paraId="0A553386" w14:textId="38E61F29" w:rsidR="001C44E5" w:rsidRPr="00740FC6" w:rsidRDefault="00A8249A" w:rsidP="00821281">
      <w:pPr>
        <w:pStyle w:val="EinfAbs"/>
        <w:tabs>
          <w:tab w:val="left" w:pos="200"/>
        </w:tabs>
        <w:snapToGrid w:val="0"/>
        <w:spacing w:line="280" w:lineRule="exact"/>
        <w:jc w:val="both"/>
        <w:rPr>
          <w:rFonts w:ascii="Source Sans Pro" w:hAnsi="Source Sans Pro" w:cs="Arial"/>
          <w:bCs/>
          <w:sz w:val="22"/>
          <w:szCs w:val="22"/>
        </w:rPr>
      </w:pPr>
      <w:r>
        <w:rPr>
          <w:rFonts w:ascii="Source Sans Pro" w:hAnsi="Source Sans Pro"/>
          <w:color w:val="auto"/>
          <w:sz w:val="22"/>
          <w:szCs w:val="22"/>
        </w:rPr>
        <w:t xml:space="preserve">Only two of the top 7 cities posted higher results than the prior year </w:t>
      </w:r>
      <w:r w:rsidR="00420BA3">
        <w:rPr>
          <w:rFonts w:ascii="Source Sans Pro" w:hAnsi="Source Sans Pro"/>
          <w:color w:val="auto"/>
          <w:sz w:val="22"/>
          <w:szCs w:val="22"/>
        </w:rPr>
        <w:t>–</w:t>
      </w:r>
      <w:r>
        <w:rPr>
          <w:rFonts w:ascii="Source Sans Pro" w:hAnsi="Source Sans Pro"/>
          <w:color w:val="auto"/>
          <w:sz w:val="22"/>
          <w:szCs w:val="22"/>
        </w:rPr>
        <w:t xml:space="preserve"> Hamburg, up by 41 % to €4.5bn</w:t>
      </w:r>
      <w:r w:rsidR="00420BA3">
        <w:rPr>
          <w:rFonts w:ascii="Source Sans Pro" w:hAnsi="Source Sans Pro"/>
          <w:color w:val="auto"/>
          <w:sz w:val="22"/>
          <w:szCs w:val="22"/>
        </w:rPr>
        <w:t>,</w:t>
      </w:r>
      <w:r>
        <w:rPr>
          <w:rFonts w:ascii="Source Sans Pro" w:hAnsi="Source Sans Pro"/>
          <w:color w:val="auto"/>
          <w:sz w:val="22"/>
          <w:szCs w:val="22"/>
        </w:rPr>
        <w:t xml:space="preserve"> and Düsseldorf, growth of 4 % to €2.8bn. </w:t>
      </w:r>
      <w:r>
        <w:rPr>
          <w:rFonts w:ascii="Source Sans Pro" w:hAnsi="Source Sans Pro"/>
          <w:sz w:val="22"/>
          <w:szCs w:val="22"/>
        </w:rPr>
        <w:t xml:space="preserve">Both in Hamburg and Düsseldorf, the capital of North Rhine-Westphalia, this result is essentially due to the 1st-quarter alstria take-over and to other take-overs </w:t>
      </w:r>
      <w:r>
        <w:rPr>
          <w:rFonts w:ascii="Source Sans Pro" w:hAnsi="Source Sans Pro"/>
          <w:sz w:val="22"/>
          <w:szCs w:val="22"/>
        </w:rPr>
        <w:lastRenderedPageBreak/>
        <w:t>and investments in development projects.</w:t>
      </w:r>
      <w:r>
        <w:rPr>
          <w:rFonts w:ascii="Source Sans Pro" w:hAnsi="Source Sans Pro"/>
          <w:bCs/>
          <w:sz w:val="22"/>
          <w:szCs w:val="22"/>
        </w:rPr>
        <w:t xml:space="preserve"> The other cities fell well below their totals for 2021:</w:t>
      </w:r>
      <w:r w:rsidR="00420BA3">
        <w:rPr>
          <w:rFonts w:ascii="Source Sans Pro" w:hAnsi="Source Sans Pro"/>
          <w:bCs/>
          <w:sz w:val="22"/>
          <w:szCs w:val="22"/>
        </w:rPr>
        <w:t xml:space="preserve"> </w:t>
      </w:r>
      <w:r>
        <w:rPr>
          <w:rFonts w:ascii="Source Sans Pro" w:hAnsi="Source Sans Pro"/>
          <w:bCs/>
          <w:sz w:val="22"/>
          <w:szCs w:val="22"/>
        </w:rPr>
        <w:t>Cologne (-68 % to €1.2bn), Stuttgart (-46 % to €1.0bn), Munich (-43 % to €3.4bn), Berlin (-26 % to €7.8bn) and Frankfurt (-26 % to €4.2bn). As expected, no city experienced a year-end rally, quite the opposite: looking at the 4th quarter alone, the volume of transactions was 68 % below the figure for 2021. Between October and December the trading result in Cologne dropped by 87 %</w:t>
      </w:r>
      <w:r w:rsidR="00420BA3">
        <w:rPr>
          <w:rFonts w:ascii="Source Sans Pro" w:hAnsi="Source Sans Pro"/>
          <w:bCs/>
          <w:sz w:val="22"/>
          <w:szCs w:val="22"/>
        </w:rPr>
        <w:t xml:space="preserve"> </w:t>
      </w:r>
      <w:r>
        <w:rPr>
          <w:rFonts w:ascii="Source Sans Pro" w:hAnsi="Source Sans Pro"/>
          <w:bCs/>
          <w:sz w:val="22"/>
          <w:szCs w:val="22"/>
        </w:rPr>
        <w:t>and in Stuttgart by a similarly massive 85 %. Even Düsseldorf, with a higher overall year on year result, posted a very weak 4th quarter (-71 %).</w:t>
      </w:r>
    </w:p>
    <w:p w14:paraId="7DCA8A5E" w14:textId="77777777" w:rsidR="001C44E5" w:rsidRDefault="001C44E5" w:rsidP="00821281">
      <w:pPr>
        <w:pStyle w:val="EinfAbs"/>
        <w:tabs>
          <w:tab w:val="left" w:pos="200"/>
        </w:tabs>
        <w:snapToGrid w:val="0"/>
        <w:spacing w:line="280" w:lineRule="exact"/>
        <w:jc w:val="both"/>
        <w:rPr>
          <w:rFonts w:ascii="Source Sans Pro" w:hAnsi="Source Sans Pro" w:cs="Source Sans Pro"/>
          <w:color w:val="auto"/>
          <w:sz w:val="22"/>
          <w:szCs w:val="22"/>
        </w:rPr>
      </w:pPr>
    </w:p>
    <w:p w14:paraId="237750B6" w14:textId="48266C70" w:rsidR="00F30798" w:rsidRPr="00895E64" w:rsidRDefault="002A26CB" w:rsidP="00F30798">
      <w:pPr>
        <w:pStyle w:val="EinfAbs"/>
        <w:tabs>
          <w:tab w:val="left" w:pos="200"/>
        </w:tabs>
        <w:snapToGrid w:val="0"/>
        <w:spacing w:line="280" w:lineRule="exact"/>
        <w:jc w:val="both"/>
        <w:rPr>
          <w:rFonts w:ascii="Source Sans Pro" w:hAnsi="Source Sans Pro" w:cs="Arial"/>
          <w:bCs/>
          <w:sz w:val="22"/>
          <w:szCs w:val="22"/>
        </w:rPr>
      </w:pPr>
      <w:r>
        <w:rPr>
          <w:rFonts w:ascii="Source Sans Pro" w:hAnsi="Source Sans Pro"/>
          <w:caps/>
          <w:color w:val="0086A8"/>
          <w:sz w:val="22"/>
          <w:szCs w:val="22"/>
        </w:rPr>
        <w:t>Prime yields: Higher on all classes of asset</w:t>
      </w:r>
    </w:p>
    <w:p w14:paraId="336025B1" w14:textId="745AB632" w:rsidR="00F30798" w:rsidRDefault="00C9731F" w:rsidP="00F30798">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Because the base rate was increased several times during the course of the year, prime yields on every type of asset rose too. Year on year prime yields on office properties in the top 7 averaged growth of 0.59 percentage points to 3.28 %. The sharpest rise was noted in Cologne and Stuttgart, where the prime yield on offices reached 3.50 % (in each case growth of 0.8 percentage points) </w:t>
      </w:r>
      <w:r w:rsidR="00420BA3">
        <w:rPr>
          <w:rFonts w:ascii="Source Sans Pro" w:hAnsi="Source Sans Pro"/>
          <w:sz w:val="22"/>
          <w:szCs w:val="22"/>
        </w:rPr>
        <w:t>thus climbing</w:t>
      </w:r>
      <w:r>
        <w:rPr>
          <w:rFonts w:ascii="Source Sans Pro" w:hAnsi="Source Sans Pro"/>
          <w:sz w:val="22"/>
          <w:szCs w:val="22"/>
        </w:rPr>
        <w:t xml:space="preserve"> to the highest le</w:t>
      </w:r>
      <w:r w:rsidR="00420BA3">
        <w:rPr>
          <w:rFonts w:ascii="Source Sans Pro" w:hAnsi="Source Sans Pro"/>
          <w:sz w:val="22"/>
          <w:szCs w:val="22"/>
        </w:rPr>
        <w:t xml:space="preserve">vel among cities in the top 7. </w:t>
      </w:r>
      <w:r>
        <w:rPr>
          <w:rFonts w:ascii="Source Sans Pro" w:hAnsi="Source Sans Pro"/>
          <w:sz w:val="22"/>
          <w:szCs w:val="22"/>
        </w:rPr>
        <w:t>Likewise</w:t>
      </w:r>
      <w:r w:rsidR="008C4901">
        <w:rPr>
          <w:rFonts w:ascii="Source Sans Pro" w:hAnsi="Source Sans Pro"/>
          <w:sz w:val="22"/>
          <w:szCs w:val="22"/>
        </w:rPr>
        <w:t>,</w:t>
      </w:r>
      <w:r>
        <w:rPr>
          <w:rFonts w:ascii="Source Sans Pro" w:hAnsi="Source Sans Pro"/>
          <w:sz w:val="22"/>
          <w:szCs w:val="22"/>
        </w:rPr>
        <w:t xml:space="preserve"> on industrial and logistics properties the average prime yield in the top 7 cities rose by 0.52 percentage points to 3.86 %. Frankfurt posted the steepest rise, gaining 0.7 percentage points to 3.90 %. Düsseldorf (+0.65 percentage points) and Stuttgart (+0.6 percentage points) posted an even higher yield at 4.10 %.</w:t>
      </w:r>
    </w:p>
    <w:p w14:paraId="03A3E4F4" w14:textId="77777777" w:rsidR="00146D3E" w:rsidRDefault="00146D3E" w:rsidP="00F30798">
      <w:pPr>
        <w:pStyle w:val="EinfAbs"/>
        <w:tabs>
          <w:tab w:val="left" w:pos="200"/>
        </w:tabs>
        <w:snapToGrid w:val="0"/>
        <w:spacing w:line="280" w:lineRule="exact"/>
        <w:jc w:val="both"/>
        <w:rPr>
          <w:rFonts w:ascii="Source Sans Pro" w:hAnsi="Source Sans Pro" w:cs="Source Sans Pro"/>
          <w:color w:val="auto"/>
          <w:sz w:val="22"/>
          <w:szCs w:val="22"/>
        </w:rPr>
      </w:pPr>
    </w:p>
    <w:p w14:paraId="48BCDF80" w14:textId="534493FE" w:rsidR="00146D3E" w:rsidRPr="003F2F99" w:rsidRDefault="00146D3E" w:rsidP="00F30798">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olor w:val="auto"/>
          <w:sz w:val="22"/>
          <w:szCs w:val="22"/>
        </w:rPr>
        <w:t xml:space="preserve">The proportion of international investors in the top 7 cities rose year on year by an average of 14 percentage points to 48 %. </w:t>
      </w:r>
      <w:r>
        <w:rPr>
          <w:rFonts w:ascii="Source Sans Pro" w:hAnsi="Source Sans Pro"/>
          <w:sz w:val="22"/>
          <w:szCs w:val="22"/>
        </w:rPr>
        <w:t xml:space="preserve">They were the biggest players in Berlin with 60 % of the market, and least in evidence in Cologne with 19 %. </w:t>
      </w:r>
      <w:r w:rsidR="008C4901">
        <w:rPr>
          <w:rFonts w:ascii="Source Sans Pro" w:hAnsi="Source Sans Pro"/>
          <w:sz w:val="22"/>
          <w:szCs w:val="22"/>
        </w:rPr>
        <w:t xml:space="preserve">Portfolio sales accounted for </w:t>
      </w:r>
      <w:r>
        <w:rPr>
          <w:rFonts w:ascii="Source Sans Pro" w:hAnsi="Source Sans Pro"/>
          <w:sz w:val="22"/>
          <w:szCs w:val="22"/>
        </w:rPr>
        <w:t>29 % of the volume tra</w:t>
      </w:r>
      <w:r w:rsidR="008C4901">
        <w:rPr>
          <w:rFonts w:ascii="Source Sans Pro" w:hAnsi="Source Sans Pro"/>
          <w:sz w:val="22"/>
          <w:szCs w:val="22"/>
        </w:rPr>
        <w:t>ded</w:t>
      </w:r>
      <w:r>
        <w:rPr>
          <w:rFonts w:ascii="Source Sans Pro" w:hAnsi="Source Sans Pro"/>
          <w:sz w:val="22"/>
          <w:szCs w:val="22"/>
        </w:rPr>
        <w:t xml:space="preserve">, far more than in the year before (Q1-4 2021: 17 %), likewise a result of the alstria trade. In 2022, as in previous years, office properties remained the top-ranking class of asset in all 7 cities. On average, offices accounted for some 73 % of the volume traded. Building land and mixed-use properties trailed far behind, with 8 % and 7 % of the market respectively. </w:t>
      </w:r>
    </w:p>
    <w:p w14:paraId="471331C2" w14:textId="4D31ECF8" w:rsidR="00A23994" w:rsidRDefault="00E01C7D" w:rsidP="00BF5E1D">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          </w:t>
      </w:r>
    </w:p>
    <w:p w14:paraId="1654B75A" w14:textId="68D5A399" w:rsidR="00F30798" w:rsidRPr="00895E64" w:rsidRDefault="00420B67" w:rsidP="00F30798">
      <w:pPr>
        <w:pStyle w:val="EinfAbs"/>
        <w:tabs>
          <w:tab w:val="left" w:pos="200"/>
        </w:tabs>
        <w:snapToGrid w:val="0"/>
        <w:spacing w:line="280" w:lineRule="exact"/>
        <w:jc w:val="both"/>
        <w:rPr>
          <w:rFonts w:ascii="Source Sans Pro" w:hAnsi="Source Sans Pro" w:cs="Arial"/>
          <w:bCs/>
          <w:sz w:val="22"/>
          <w:szCs w:val="22"/>
        </w:rPr>
      </w:pPr>
      <w:r>
        <w:rPr>
          <w:rFonts w:ascii="Source Sans Pro" w:hAnsi="Source Sans Pro"/>
          <w:caps/>
          <w:color w:val="0086A8"/>
          <w:sz w:val="22"/>
          <w:szCs w:val="22"/>
        </w:rPr>
        <w:t>FORECAST: Rally in the middle of the year</w:t>
      </w:r>
    </w:p>
    <w:p w14:paraId="4B0AA27B" w14:textId="55F7FB63" w:rsidR="00F30798" w:rsidRDefault="002D1004" w:rsidP="00F30798">
      <w:pPr>
        <w:pStyle w:val="EinfAbs"/>
        <w:tabs>
          <w:tab w:val="left" w:pos="200"/>
        </w:tabs>
        <w:snapToGrid w:val="0"/>
        <w:spacing w:line="280" w:lineRule="exact"/>
        <w:jc w:val="both"/>
        <w:rPr>
          <w:rFonts w:ascii="Source Sans Pro" w:hAnsi="Source Sans Pro" w:cs="Source Sans Pro"/>
          <w:color w:val="auto"/>
          <w:sz w:val="22"/>
          <w:szCs w:val="22"/>
        </w:rPr>
      </w:pPr>
      <w:r>
        <w:rPr>
          <w:rFonts w:ascii="Source Sans Pro" w:hAnsi="Source Sans Pro"/>
          <w:color w:val="auto"/>
          <w:sz w:val="22"/>
          <w:szCs w:val="22"/>
        </w:rPr>
        <w:t xml:space="preserve">GPP expects the year to start rather sluggishly. </w:t>
      </w:r>
      <w:r>
        <w:rPr>
          <w:rFonts w:ascii="Source Sans Pro" w:hAnsi="Source Sans Pro"/>
          <w:b/>
          <w:color w:val="auto"/>
          <w:sz w:val="22"/>
          <w:szCs w:val="22"/>
        </w:rPr>
        <w:t xml:space="preserve">Rehberg </w:t>
      </w:r>
      <w:r w:rsidRPr="00F51DAD">
        <w:rPr>
          <w:rFonts w:ascii="Source Sans Pro" w:hAnsi="Source Sans Pro"/>
          <w:color w:val="auto"/>
          <w:sz w:val="22"/>
          <w:szCs w:val="22"/>
        </w:rPr>
        <w:t>remarks that,</w:t>
      </w:r>
      <w:r>
        <w:rPr>
          <w:rFonts w:ascii="Source Sans Pro" w:hAnsi="Source Sans Pro"/>
          <w:color w:val="auto"/>
          <w:sz w:val="22"/>
          <w:szCs w:val="22"/>
        </w:rPr>
        <w:t xml:space="preserve"> </w:t>
      </w:r>
      <w:r w:rsidR="008C4901">
        <w:rPr>
          <w:rFonts w:ascii="Source Sans Pro" w:hAnsi="Source Sans Pro"/>
          <w:color w:val="auto"/>
          <w:sz w:val="22"/>
          <w:szCs w:val="22"/>
        </w:rPr>
        <w:t>“</w:t>
      </w:r>
      <w:r>
        <w:rPr>
          <w:rFonts w:ascii="Source Sans Pro" w:hAnsi="Source Sans Pro"/>
          <w:i/>
          <w:color w:val="auto"/>
          <w:sz w:val="22"/>
          <w:szCs w:val="22"/>
        </w:rPr>
        <w:t>If and when interest rates settle and investors have greater certainty about plans for the future, the market could rally and prices find a new level at some time in the middle of the year.”</w:t>
      </w:r>
      <w:r>
        <w:rPr>
          <w:rFonts w:ascii="Source Sans Pro" w:hAnsi="Source Sans Pro"/>
          <w:color w:val="auto"/>
          <w:sz w:val="22"/>
          <w:szCs w:val="22"/>
        </w:rPr>
        <w:t xml:space="preserve"> He adds that the challenging market environment does offer opportunities for some players, </w:t>
      </w:r>
      <w:r>
        <w:rPr>
          <w:rFonts w:ascii="Source Sans Pro" w:hAnsi="Source Sans Pro"/>
          <w:i/>
          <w:color w:val="auto"/>
          <w:sz w:val="22"/>
          <w:szCs w:val="22"/>
        </w:rPr>
        <w:t xml:space="preserve">“In Hamburg we started to see a growing number of smaller transactions in the fourth quarter driven by investors with deep pockets who benefit from the weak competition. This trend </w:t>
      </w:r>
      <w:r w:rsidR="008C4901">
        <w:rPr>
          <w:rFonts w:ascii="Source Sans Pro" w:hAnsi="Source Sans Pro"/>
          <w:i/>
          <w:color w:val="auto"/>
          <w:sz w:val="22"/>
          <w:szCs w:val="22"/>
        </w:rPr>
        <w:t>will probably</w:t>
      </w:r>
      <w:r>
        <w:rPr>
          <w:rFonts w:ascii="Source Sans Pro" w:hAnsi="Source Sans Pro"/>
          <w:i/>
          <w:color w:val="auto"/>
          <w:sz w:val="22"/>
          <w:szCs w:val="22"/>
        </w:rPr>
        <w:t xml:space="preserve"> continue in 2023.”</w:t>
      </w:r>
      <w:r>
        <w:rPr>
          <w:rFonts w:ascii="Source Sans Pro" w:hAnsi="Source Sans Pro"/>
          <w:color w:val="auto"/>
          <w:sz w:val="22"/>
          <w:szCs w:val="22"/>
        </w:rPr>
        <w:t xml:space="preserve"> Demand is likely to focus on core properties in central locations that will retain their value well.</w:t>
      </w:r>
    </w:p>
    <w:p w14:paraId="3127A7CE" w14:textId="77777777" w:rsidR="000A0816" w:rsidRDefault="000A0816" w:rsidP="00F30798">
      <w:pPr>
        <w:pStyle w:val="EinfAbs"/>
        <w:tabs>
          <w:tab w:val="left" w:pos="200"/>
        </w:tabs>
        <w:snapToGrid w:val="0"/>
        <w:spacing w:line="280" w:lineRule="exact"/>
        <w:jc w:val="both"/>
        <w:rPr>
          <w:rFonts w:ascii="Source Sans Pro" w:hAnsi="Source Sans Pro" w:cs="Source Sans Pro"/>
          <w:color w:val="auto"/>
          <w:sz w:val="22"/>
          <w:szCs w:val="22"/>
        </w:rPr>
      </w:pPr>
    </w:p>
    <w:p w14:paraId="5FD4CE09" w14:textId="77777777" w:rsidR="00F30798" w:rsidRDefault="00F30798" w:rsidP="00EF0944">
      <w:pPr>
        <w:overflowPunct/>
        <w:autoSpaceDE/>
        <w:autoSpaceDN/>
        <w:adjustRightInd/>
        <w:textAlignment w:val="auto"/>
        <w:rPr>
          <w:rFonts w:ascii="Source Sans Pro" w:hAnsi="Source Sans Pro" w:cs="Arial"/>
          <w:b/>
          <w:sz w:val="20"/>
        </w:rPr>
      </w:pPr>
    </w:p>
    <w:p w14:paraId="06839973" w14:textId="77777777" w:rsidR="008A0F6B" w:rsidRDefault="008A0F6B" w:rsidP="00EF0944">
      <w:pPr>
        <w:overflowPunct/>
        <w:autoSpaceDE/>
        <w:autoSpaceDN/>
        <w:adjustRightInd/>
        <w:textAlignment w:val="auto"/>
        <w:rPr>
          <w:rFonts w:ascii="Source Sans Pro" w:hAnsi="Source Sans Pro" w:cs="Arial"/>
          <w:b/>
          <w:sz w:val="20"/>
        </w:rPr>
      </w:pPr>
    </w:p>
    <w:p w14:paraId="4C2BE7E0" w14:textId="77777777" w:rsidR="008A0F6B" w:rsidRDefault="008A0F6B" w:rsidP="00EF0944">
      <w:pPr>
        <w:overflowPunct/>
        <w:autoSpaceDE/>
        <w:autoSpaceDN/>
        <w:adjustRightInd/>
        <w:textAlignment w:val="auto"/>
        <w:rPr>
          <w:rFonts w:ascii="Source Sans Pro" w:hAnsi="Source Sans Pro" w:cs="Arial"/>
          <w:b/>
          <w:sz w:val="20"/>
        </w:rPr>
      </w:pPr>
    </w:p>
    <w:p w14:paraId="566E71DE" w14:textId="77777777" w:rsidR="008A0F6B" w:rsidRDefault="008A0F6B" w:rsidP="00EF0944">
      <w:pPr>
        <w:overflowPunct/>
        <w:autoSpaceDE/>
        <w:autoSpaceDN/>
        <w:adjustRightInd/>
        <w:textAlignment w:val="auto"/>
        <w:rPr>
          <w:rFonts w:ascii="Source Sans Pro" w:hAnsi="Source Sans Pro" w:cs="Arial"/>
          <w:b/>
          <w:sz w:val="20"/>
        </w:rPr>
      </w:pPr>
    </w:p>
    <w:p w14:paraId="6206DB2B" w14:textId="77777777" w:rsidR="008A0F6B" w:rsidRDefault="008A0F6B" w:rsidP="00EF0944">
      <w:pPr>
        <w:overflowPunct/>
        <w:autoSpaceDE/>
        <w:autoSpaceDN/>
        <w:adjustRightInd/>
        <w:textAlignment w:val="auto"/>
        <w:rPr>
          <w:rFonts w:ascii="Source Sans Pro" w:hAnsi="Source Sans Pro" w:cs="Arial"/>
          <w:b/>
          <w:sz w:val="20"/>
        </w:rPr>
      </w:pPr>
    </w:p>
    <w:p w14:paraId="4B80E4C5" w14:textId="77777777" w:rsidR="008A0F6B" w:rsidRDefault="008A0F6B" w:rsidP="00EF0944">
      <w:pPr>
        <w:overflowPunct/>
        <w:autoSpaceDE/>
        <w:autoSpaceDN/>
        <w:adjustRightInd/>
        <w:textAlignment w:val="auto"/>
        <w:rPr>
          <w:rFonts w:ascii="Source Sans Pro" w:hAnsi="Source Sans Pro" w:cs="Arial"/>
          <w:b/>
          <w:sz w:val="20"/>
        </w:rPr>
      </w:pPr>
    </w:p>
    <w:p w14:paraId="016A24BB" w14:textId="77777777" w:rsidR="008A0F6B" w:rsidRDefault="008A0F6B" w:rsidP="00EF0944">
      <w:pPr>
        <w:overflowPunct/>
        <w:autoSpaceDE/>
        <w:autoSpaceDN/>
        <w:adjustRightInd/>
        <w:textAlignment w:val="auto"/>
        <w:rPr>
          <w:rFonts w:ascii="Source Sans Pro" w:hAnsi="Source Sans Pro" w:cs="Arial"/>
          <w:b/>
          <w:sz w:val="20"/>
        </w:rPr>
      </w:pPr>
    </w:p>
    <w:p w14:paraId="03857B25" w14:textId="77777777" w:rsidR="008A0F6B" w:rsidRDefault="008A0F6B" w:rsidP="00EF0944">
      <w:pPr>
        <w:overflowPunct/>
        <w:autoSpaceDE/>
        <w:autoSpaceDN/>
        <w:adjustRightInd/>
        <w:textAlignment w:val="auto"/>
        <w:rPr>
          <w:rFonts w:ascii="Source Sans Pro" w:hAnsi="Source Sans Pro" w:cs="Arial"/>
          <w:b/>
          <w:sz w:val="20"/>
        </w:rPr>
      </w:pPr>
    </w:p>
    <w:p w14:paraId="50988D0C" w14:textId="77777777" w:rsidR="008A0F6B" w:rsidRDefault="008A0F6B" w:rsidP="00EF0944">
      <w:pPr>
        <w:overflowPunct/>
        <w:autoSpaceDE/>
        <w:autoSpaceDN/>
        <w:adjustRightInd/>
        <w:textAlignment w:val="auto"/>
        <w:rPr>
          <w:rFonts w:ascii="Source Sans Pro" w:hAnsi="Source Sans Pro" w:cs="Arial"/>
          <w:b/>
          <w:sz w:val="20"/>
        </w:rPr>
      </w:pPr>
    </w:p>
    <w:p w14:paraId="61C13CA0" w14:textId="77777777" w:rsidR="00420BA3" w:rsidRDefault="00420BA3" w:rsidP="00EF0944">
      <w:pPr>
        <w:overflowPunct/>
        <w:autoSpaceDE/>
        <w:autoSpaceDN/>
        <w:adjustRightInd/>
        <w:textAlignment w:val="auto"/>
        <w:rPr>
          <w:rFonts w:ascii="Source Sans Pro" w:hAnsi="Source Sans Pro" w:cs="Arial"/>
          <w:b/>
          <w:sz w:val="20"/>
        </w:rPr>
      </w:pPr>
    </w:p>
    <w:p w14:paraId="4D3FBB16" w14:textId="77777777" w:rsidR="00420BA3" w:rsidRDefault="00420BA3" w:rsidP="00EF0944">
      <w:pPr>
        <w:overflowPunct/>
        <w:autoSpaceDE/>
        <w:autoSpaceDN/>
        <w:adjustRightInd/>
        <w:textAlignment w:val="auto"/>
        <w:rPr>
          <w:rFonts w:ascii="Source Sans Pro" w:hAnsi="Source Sans Pro" w:cs="Arial"/>
          <w:b/>
          <w:sz w:val="20"/>
        </w:rPr>
      </w:pPr>
    </w:p>
    <w:p w14:paraId="5CED34B8" w14:textId="158CEF98" w:rsidR="00161817" w:rsidRPr="00161817" w:rsidRDefault="001C0C8F" w:rsidP="00EF0944">
      <w:pPr>
        <w:overflowPunct/>
        <w:autoSpaceDE/>
        <w:autoSpaceDN/>
        <w:adjustRightInd/>
        <w:textAlignment w:val="auto"/>
        <w:rPr>
          <w:rFonts w:ascii="Source Sans Pro" w:hAnsi="Source Sans Pro" w:cs="Arial"/>
          <w:b/>
          <w:sz w:val="20"/>
        </w:rPr>
      </w:pPr>
      <w:r>
        <w:rPr>
          <w:rFonts w:ascii="Source Sans Pro" w:hAnsi="Source Sans Pro"/>
          <w:b/>
          <w:sz w:val="20"/>
        </w:rPr>
        <w:t xml:space="preserve">Top 10 known agreements | top 7 </w:t>
      </w:r>
      <w:r w:rsidR="008C4901">
        <w:rPr>
          <w:rFonts w:ascii="Source Sans Pro" w:hAnsi="Source Sans Pro"/>
          <w:b/>
          <w:sz w:val="20"/>
        </w:rPr>
        <w:t>citie</w:t>
      </w:r>
      <w:r>
        <w:rPr>
          <w:rFonts w:ascii="Source Sans Pro" w:hAnsi="Source Sans Pro"/>
          <w:b/>
          <w:sz w:val="20"/>
        </w:rPr>
        <w:t>s | 1st-4th quarters of 2022</w:t>
      </w:r>
    </w:p>
    <w:tbl>
      <w:tblPr>
        <w:tblStyle w:val="TableGrid1"/>
        <w:tblW w:w="9231" w:type="dxa"/>
        <w:tblLayout w:type="fixed"/>
        <w:tblLook w:val="04A0" w:firstRow="1" w:lastRow="0" w:firstColumn="1" w:lastColumn="0" w:noHBand="0" w:noVBand="1"/>
      </w:tblPr>
      <w:tblGrid>
        <w:gridCol w:w="687"/>
        <w:gridCol w:w="2682"/>
        <w:gridCol w:w="2658"/>
        <w:gridCol w:w="2190"/>
        <w:gridCol w:w="1014"/>
      </w:tblGrid>
      <w:tr w:rsidR="00161817" w:rsidRPr="00161817" w14:paraId="113FCC50" w14:textId="77777777" w:rsidTr="009E6C40">
        <w:trPr>
          <w:trHeight w:val="552"/>
        </w:trPr>
        <w:tc>
          <w:tcPr>
            <w:tcW w:w="687" w:type="dxa"/>
            <w:shd w:val="clear" w:color="auto" w:fill="auto"/>
            <w:vAlign w:val="center"/>
          </w:tcPr>
          <w:p w14:paraId="130C696A"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City</w:t>
            </w:r>
          </w:p>
        </w:tc>
        <w:tc>
          <w:tcPr>
            <w:tcW w:w="2682" w:type="dxa"/>
            <w:shd w:val="clear" w:color="auto" w:fill="auto"/>
            <w:vAlign w:val="center"/>
          </w:tcPr>
          <w:p w14:paraId="5E34B091"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Project/property</w:t>
            </w:r>
          </w:p>
        </w:tc>
        <w:tc>
          <w:tcPr>
            <w:tcW w:w="2658" w:type="dxa"/>
            <w:shd w:val="clear" w:color="auto" w:fill="auto"/>
            <w:vAlign w:val="center"/>
          </w:tcPr>
          <w:p w14:paraId="26669932"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Buyer/investor</w:t>
            </w:r>
          </w:p>
        </w:tc>
        <w:tc>
          <w:tcPr>
            <w:tcW w:w="2190" w:type="dxa"/>
            <w:shd w:val="clear" w:color="auto" w:fill="auto"/>
            <w:vAlign w:val="center"/>
          </w:tcPr>
          <w:p w14:paraId="490FE9EE"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Vendor</w:t>
            </w:r>
          </w:p>
        </w:tc>
        <w:tc>
          <w:tcPr>
            <w:tcW w:w="1014" w:type="dxa"/>
            <w:shd w:val="clear" w:color="auto" w:fill="auto"/>
            <w:vAlign w:val="center"/>
          </w:tcPr>
          <w:p w14:paraId="028E3657"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Pur. price*</w:t>
            </w:r>
          </w:p>
          <w:p w14:paraId="24C76A25"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sz w:val="16"/>
                <w:szCs w:val="16"/>
              </w:rPr>
              <w:t>(about €m)</w:t>
            </w:r>
          </w:p>
        </w:tc>
      </w:tr>
      <w:tr w:rsidR="008E0A69" w:rsidRPr="00161817" w14:paraId="27C03D98" w14:textId="77777777" w:rsidTr="00F40B12">
        <w:trPr>
          <w:trHeight w:val="552"/>
        </w:trPr>
        <w:tc>
          <w:tcPr>
            <w:tcW w:w="687" w:type="dxa"/>
            <w:shd w:val="clear" w:color="auto" w:fill="auto"/>
            <w:vAlign w:val="center"/>
          </w:tcPr>
          <w:p w14:paraId="70E96E9C" w14:textId="3E586529" w:rsidR="008E0A69" w:rsidRDefault="00462200" w:rsidP="009E6C40">
            <w:pPr>
              <w:widowControl w:val="0"/>
              <w:jc w:val="center"/>
              <w:rPr>
                <w:rFonts w:ascii="Source Sans Pro" w:hAnsi="Source Sans Pro" w:cs="Arial"/>
                <w:sz w:val="16"/>
                <w:szCs w:val="16"/>
              </w:rPr>
            </w:pPr>
            <w:r>
              <w:rPr>
                <w:rFonts w:ascii="Source Sans Pro" w:hAnsi="Source Sans Pro"/>
                <w:sz w:val="16"/>
                <w:szCs w:val="16"/>
              </w:rPr>
              <w:t>FFM</w:t>
            </w:r>
          </w:p>
        </w:tc>
        <w:tc>
          <w:tcPr>
            <w:tcW w:w="2682" w:type="dxa"/>
            <w:shd w:val="clear" w:color="auto" w:fill="auto"/>
            <w:vAlign w:val="center"/>
          </w:tcPr>
          <w:p w14:paraId="464553CD" w14:textId="0D42BA5C" w:rsidR="008E0A69" w:rsidRDefault="00462200" w:rsidP="009E6C40">
            <w:pPr>
              <w:widowControl w:val="0"/>
              <w:jc w:val="center"/>
              <w:rPr>
                <w:rFonts w:ascii="Source Sans Pro" w:hAnsi="Source Sans Pro" w:cs="Arial"/>
                <w:sz w:val="16"/>
                <w:szCs w:val="16"/>
              </w:rPr>
            </w:pPr>
            <w:r>
              <w:rPr>
                <w:rFonts w:ascii="Source Sans Pro" w:hAnsi="Source Sans Pro"/>
                <w:sz w:val="16"/>
                <w:szCs w:val="16"/>
              </w:rPr>
              <w:t>Marienturm, Taunusanlage 9+10</w:t>
            </w:r>
          </w:p>
        </w:tc>
        <w:tc>
          <w:tcPr>
            <w:tcW w:w="2658" w:type="dxa"/>
            <w:shd w:val="clear" w:color="auto" w:fill="auto"/>
            <w:vAlign w:val="center"/>
          </w:tcPr>
          <w:p w14:paraId="6CACC67F" w14:textId="530CD1E5" w:rsidR="008E0A69" w:rsidRDefault="00462200" w:rsidP="009E6C40">
            <w:pPr>
              <w:widowControl w:val="0"/>
              <w:jc w:val="center"/>
              <w:rPr>
                <w:rFonts w:ascii="Source Sans Pro" w:hAnsi="Source Sans Pro" w:cs="Arial"/>
                <w:sz w:val="16"/>
                <w:szCs w:val="16"/>
              </w:rPr>
            </w:pPr>
            <w:r>
              <w:rPr>
                <w:rFonts w:ascii="Source Sans Pro" w:hAnsi="Source Sans Pro"/>
                <w:sz w:val="16"/>
                <w:szCs w:val="16"/>
              </w:rPr>
              <w:t>DWS for the National Pension Service of Korea (NPS)</w:t>
            </w:r>
          </w:p>
        </w:tc>
        <w:tc>
          <w:tcPr>
            <w:tcW w:w="2190" w:type="dxa"/>
            <w:shd w:val="clear" w:color="auto" w:fill="auto"/>
            <w:vAlign w:val="center"/>
          </w:tcPr>
          <w:p w14:paraId="3B47ECF9" w14:textId="585902FF" w:rsidR="008E0A69" w:rsidRDefault="00462200" w:rsidP="009E6C40">
            <w:pPr>
              <w:widowControl w:val="0"/>
              <w:jc w:val="center"/>
              <w:rPr>
                <w:rFonts w:ascii="Source Sans Pro" w:hAnsi="Source Sans Pro" w:cs="Arial"/>
                <w:sz w:val="16"/>
                <w:szCs w:val="16"/>
              </w:rPr>
            </w:pPr>
            <w:r>
              <w:rPr>
                <w:rFonts w:ascii="Source Sans Pro" w:hAnsi="Source Sans Pro"/>
                <w:sz w:val="16"/>
                <w:szCs w:val="16"/>
              </w:rPr>
              <w:t>Aermont Capital /  PWREF II fund managed by Perella Weinberg</w:t>
            </w:r>
          </w:p>
        </w:tc>
        <w:tc>
          <w:tcPr>
            <w:tcW w:w="1014" w:type="dxa"/>
            <w:shd w:val="clear" w:color="auto" w:fill="auto"/>
            <w:vAlign w:val="center"/>
          </w:tcPr>
          <w:p w14:paraId="515AE998" w14:textId="2C408512" w:rsidR="008E0A69" w:rsidRDefault="00462200" w:rsidP="00462200">
            <w:pPr>
              <w:widowControl w:val="0"/>
              <w:jc w:val="center"/>
              <w:rPr>
                <w:rFonts w:ascii="Source Sans Pro" w:hAnsi="Source Sans Pro" w:cs="Arial"/>
                <w:sz w:val="16"/>
                <w:szCs w:val="16"/>
              </w:rPr>
            </w:pPr>
            <w:r>
              <w:rPr>
                <w:rFonts w:ascii="Source Sans Pro" w:hAnsi="Source Sans Pro"/>
                <w:sz w:val="16"/>
                <w:szCs w:val="16"/>
              </w:rPr>
              <w:t>±800</w:t>
            </w:r>
          </w:p>
        </w:tc>
      </w:tr>
      <w:tr w:rsidR="00FD0B89" w:rsidRPr="00161817" w14:paraId="62157268" w14:textId="77777777" w:rsidTr="00E10C5C">
        <w:trPr>
          <w:trHeight w:val="552"/>
        </w:trPr>
        <w:tc>
          <w:tcPr>
            <w:tcW w:w="687" w:type="dxa"/>
            <w:shd w:val="clear" w:color="auto" w:fill="auto"/>
            <w:vAlign w:val="center"/>
          </w:tcPr>
          <w:p w14:paraId="5341C31F" w14:textId="7C6596D4" w:rsidR="00FD0B89" w:rsidRDefault="00FD0B89" w:rsidP="009E6C40">
            <w:pPr>
              <w:widowControl w:val="0"/>
              <w:jc w:val="center"/>
              <w:rPr>
                <w:rFonts w:ascii="Source Sans Pro" w:hAnsi="Source Sans Pro" w:cs="Arial"/>
                <w:sz w:val="16"/>
                <w:szCs w:val="16"/>
              </w:rPr>
            </w:pPr>
            <w:r>
              <w:rPr>
                <w:rFonts w:ascii="Source Sans Pro" w:hAnsi="Source Sans Pro"/>
                <w:sz w:val="16"/>
                <w:szCs w:val="16"/>
              </w:rPr>
              <w:t>BER</w:t>
            </w:r>
          </w:p>
        </w:tc>
        <w:tc>
          <w:tcPr>
            <w:tcW w:w="2682" w:type="dxa"/>
            <w:shd w:val="clear" w:color="auto" w:fill="auto"/>
            <w:vAlign w:val="center"/>
          </w:tcPr>
          <w:p w14:paraId="1CE76131" w14:textId="7EEE1730" w:rsidR="00FD0B89" w:rsidRPr="00462200" w:rsidRDefault="00A15A25" w:rsidP="009E6C40">
            <w:pPr>
              <w:widowControl w:val="0"/>
              <w:jc w:val="center"/>
              <w:rPr>
                <w:rFonts w:ascii="Source Sans Pro" w:hAnsi="Source Sans Pro" w:cs="Arial"/>
                <w:sz w:val="16"/>
                <w:szCs w:val="16"/>
              </w:rPr>
            </w:pPr>
            <w:r>
              <w:rPr>
                <w:rFonts w:ascii="Source Sans Pro" w:hAnsi="Source Sans Pro"/>
                <w:sz w:val="16"/>
                <w:szCs w:val="16"/>
              </w:rPr>
              <w:t xml:space="preserve">Sony Center, </w:t>
            </w:r>
            <w:r>
              <w:rPr>
                <w:rFonts w:ascii="Source Sans Pro" w:hAnsi="Source Sans Pro"/>
                <w:sz w:val="16"/>
                <w:szCs w:val="16"/>
              </w:rPr>
              <w:br/>
              <w:t>Potsdamer Platz 2</w:t>
            </w:r>
          </w:p>
        </w:tc>
        <w:tc>
          <w:tcPr>
            <w:tcW w:w="2658" w:type="dxa"/>
            <w:shd w:val="clear" w:color="auto" w:fill="auto"/>
            <w:vAlign w:val="center"/>
          </w:tcPr>
          <w:p w14:paraId="738861F9" w14:textId="0225D86C" w:rsidR="00FD0B89" w:rsidRPr="00462200" w:rsidRDefault="00FD0B89" w:rsidP="009E6C40">
            <w:pPr>
              <w:widowControl w:val="0"/>
              <w:jc w:val="center"/>
              <w:rPr>
                <w:rFonts w:ascii="Source Sans Pro" w:hAnsi="Source Sans Pro" w:cs="Arial"/>
                <w:sz w:val="16"/>
                <w:szCs w:val="16"/>
              </w:rPr>
            </w:pPr>
            <w:r>
              <w:rPr>
                <w:rFonts w:ascii="Source Sans Pro" w:hAnsi="Source Sans Pro"/>
                <w:sz w:val="16"/>
                <w:szCs w:val="16"/>
              </w:rPr>
              <w:t>Norwegian Government Pension Fund Global</w:t>
            </w:r>
          </w:p>
        </w:tc>
        <w:tc>
          <w:tcPr>
            <w:tcW w:w="2190" w:type="dxa"/>
            <w:shd w:val="clear" w:color="auto" w:fill="auto"/>
            <w:vAlign w:val="center"/>
          </w:tcPr>
          <w:p w14:paraId="5223911B" w14:textId="5D3FC6D2" w:rsidR="00FD0B89" w:rsidRPr="00462200" w:rsidRDefault="00FD0B89" w:rsidP="009E6C40">
            <w:pPr>
              <w:widowControl w:val="0"/>
              <w:jc w:val="center"/>
              <w:rPr>
                <w:rFonts w:ascii="Source Sans Pro" w:hAnsi="Source Sans Pro" w:cs="Arial"/>
                <w:sz w:val="16"/>
                <w:szCs w:val="16"/>
              </w:rPr>
            </w:pPr>
            <w:r>
              <w:rPr>
                <w:rFonts w:ascii="Source Sans Pro" w:hAnsi="Source Sans Pro"/>
                <w:sz w:val="16"/>
                <w:szCs w:val="16"/>
              </w:rPr>
              <w:t>Oxford Properties/Madison International Realty for institutional investor</w:t>
            </w:r>
          </w:p>
        </w:tc>
        <w:tc>
          <w:tcPr>
            <w:tcW w:w="1014" w:type="dxa"/>
            <w:shd w:val="clear" w:color="auto" w:fill="auto"/>
            <w:vAlign w:val="center"/>
          </w:tcPr>
          <w:p w14:paraId="39829831" w14:textId="54D4D5D2" w:rsidR="00FD0B89" w:rsidRDefault="00FD0B89" w:rsidP="009E6C40">
            <w:pPr>
              <w:widowControl w:val="0"/>
              <w:jc w:val="center"/>
              <w:rPr>
                <w:rFonts w:ascii="Source Sans Pro" w:hAnsi="Source Sans Pro" w:cs="Arial"/>
                <w:sz w:val="16"/>
                <w:szCs w:val="16"/>
              </w:rPr>
            </w:pPr>
            <w:r>
              <w:rPr>
                <w:rFonts w:ascii="Source Sans Pro" w:hAnsi="Source Sans Pro"/>
                <w:sz w:val="16"/>
                <w:szCs w:val="16"/>
              </w:rPr>
              <w:t>677</w:t>
            </w:r>
          </w:p>
        </w:tc>
      </w:tr>
      <w:tr w:rsidR="00E10C5C" w:rsidRPr="00161817" w14:paraId="55D8309A" w14:textId="77777777" w:rsidTr="00F30798">
        <w:trPr>
          <w:trHeight w:val="552"/>
        </w:trPr>
        <w:tc>
          <w:tcPr>
            <w:tcW w:w="687" w:type="dxa"/>
            <w:shd w:val="clear" w:color="auto" w:fill="auto"/>
            <w:vAlign w:val="center"/>
          </w:tcPr>
          <w:p w14:paraId="1D787A5E" w14:textId="515F4A9A" w:rsidR="00E10C5C" w:rsidRDefault="00E10C5C" w:rsidP="009E6C40">
            <w:pPr>
              <w:widowControl w:val="0"/>
              <w:jc w:val="center"/>
              <w:rPr>
                <w:rFonts w:ascii="Source Sans Pro" w:hAnsi="Source Sans Pro" w:cs="Arial"/>
                <w:sz w:val="16"/>
                <w:szCs w:val="16"/>
              </w:rPr>
            </w:pPr>
            <w:r>
              <w:rPr>
                <w:rFonts w:ascii="Source Sans Pro" w:hAnsi="Source Sans Pro"/>
                <w:sz w:val="16"/>
                <w:szCs w:val="16"/>
              </w:rPr>
              <w:t>BER</w:t>
            </w:r>
          </w:p>
        </w:tc>
        <w:tc>
          <w:tcPr>
            <w:tcW w:w="2682" w:type="dxa"/>
            <w:shd w:val="clear" w:color="auto" w:fill="auto"/>
            <w:vAlign w:val="center"/>
          </w:tcPr>
          <w:p w14:paraId="31FB249E" w14:textId="2DB57783" w:rsidR="00E10C5C" w:rsidRPr="00462200" w:rsidRDefault="00E10C5C" w:rsidP="009E6C40">
            <w:pPr>
              <w:widowControl w:val="0"/>
              <w:jc w:val="center"/>
              <w:rPr>
                <w:rFonts w:ascii="Source Sans Pro" w:hAnsi="Source Sans Pro" w:cs="Arial"/>
                <w:sz w:val="16"/>
                <w:szCs w:val="16"/>
              </w:rPr>
            </w:pPr>
            <w:r>
              <w:rPr>
                <w:rFonts w:ascii="Source Sans Pro" w:hAnsi="Source Sans Pro"/>
                <w:sz w:val="16"/>
                <w:szCs w:val="16"/>
              </w:rPr>
              <w:t>Voltair</w:t>
            </w:r>
          </w:p>
        </w:tc>
        <w:tc>
          <w:tcPr>
            <w:tcW w:w="2658" w:type="dxa"/>
            <w:shd w:val="clear" w:color="auto" w:fill="auto"/>
            <w:vAlign w:val="center"/>
          </w:tcPr>
          <w:p w14:paraId="0AB88B48" w14:textId="47B6ED05" w:rsidR="00E10C5C" w:rsidRPr="00462200" w:rsidRDefault="00E10C5C" w:rsidP="00164FEC">
            <w:pPr>
              <w:widowControl w:val="0"/>
              <w:jc w:val="center"/>
              <w:rPr>
                <w:rFonts w:ascii="Source Sans Pro" w:hAnsi="Source Sans Pro" w:cs="Arial"/>
                <w:sz w:val="16"/>
                <w:szCs w:val="16"/>
              </w:rPr>
            </w:pPr>
            <w:r>
              <w:rPr>
                <w:rFonts w:ascii="Source Sans Pro" w:hAnsi="Source Sans Pro"/>
                <w:sz w:val="16"/>
                <w:szCs w:val="16"/>
              </w:rPr>
              <w:t>Norwegian Government Pension Fund Global / Swiss Life</w:t>
            </w:r>
          </w:p>
        </w:tc>
        <w:tc>
          <w:tcPr>
            <w:tcW w:w="2190" w:type="dxa"/>
            <w:shd w:val="clear" w:color="auto" w:fill="auto"/>
            <w:vAlign w:val="center"/>
          </w:tcPr>
          <w:p w14:paraId="64C40060" w14:textId="2B5D54A8" w:rsidR="00E10C5C" w:rsidRPr="00462200" w:rsidRDefault="00E10C5C" w:rsidP="009E6C40">
            <w:pPr>
              <w:widowControl w:val="0"/>
              <w:jc w:val="center"/>
              <w:rPr>
                <w:rFonts w:ascii="Source Sans Pro" w:hAnsi="Source Sans Pro" w:cs="Arial"/>
                <w:sz w:val="16"/>
                <w:szCs w:val="16"/>
              </w:rPr>
            </w:pPr>
            <w:r>
              <w:rPr>
                <w:rFonts w:ascii="Source Sans Pro" w:hAnsi="Source Sans Pro"/>
                <w:sz w:val="16"/>
                <w:szCs w:val="16"/>
              </w:rPr>
              <w:t>Gädeke &amp; Sons / ABG</w:t>
            </w:r>
          </w:p>
        </w:tc>
        <w:tc>
          <w:tcPr>
            <w:tcW w:w="1014" w:type="dxa"/>
            <w:shd w:val="clear" w:color="auto" w:fill="auto"/>
            <w:vAlign w:val="center"/>
          </w:tcPr>
          <w:p w14:paraId="4E4F5E0E" w14:textId="526EBBD3" w:rsidR="00E10C5C" w:rsidRDefault="00E10C5C" w:rsidP="009E6C40">
            <w:pPr>
              <w:widowControl w:val="0"/>
              <w:jc w:val="center"/>
              <w:rPr>
                <w:rFonts w:ascii="Source Sans Pro" w:hAnsi="Source Sans Pro" w:cs="Arial"/>
                <w:sz w:val="16"/>
                <w:szCs w:val="16"/>
              </w:rPr>
            </w:pPr>
            <w:r>
              <w:rPr>
                <w:rFonts w:ascii="Source Sans Pro" w:hAnsi="Source Sans Pro"/>
                <w:sz w:val="16"/>
                <w:szCs w:val="16"/>
              </w:rPr>
              <w:t>457</w:t>
            </w:r>
          </w:p>
        </w:tc>
      </w:tr>
      <w:tr w:rsidR="00E10C5C" w:rsidRPr="00161817" w14:paraId="63B677D5" w14:textId="77777777" w:rsidTr="00F30798">
        <w:trPr>
          <w:trHeight w:val="552"/>
        </w:trPr>
        <w:tc>
          <w:tcPr>
            <w:tcW w:w="687" w:type="dxa"/>
            <w:shd w:val="clear" w:color="auto" w:fill="auto"/>
            <w:vAlign w:val="center"/>
          </w:tcPr>
          <w:p w14:paraId="1A2659AD" w14:textId="1A2C72F0" w:rsidR="00E10C5C" w:rsidRDefault="00E10C5C" w:rsidP="009E6C40">
            <w:pPr>
              <w:widowControl w:val="0"/>
              <w:jc w:val="center"/>
              <w:rPr>
                <w:rFonts w:ascii="Source Sans Pro" w:hAnsi="Source Sans Pro" w:cs="Arial"/>
                <w:sz w:val="16"/>
                <w:szCs w:val="16"/>
              </w:rPr>
            </w:pPr>
            <w:r>
              <w:rPr>
                <w:rFonts w:ascii="Source Sans Pro" w:hAnsi="Source Sans Pro"/>
                <w:sz w:val="16"/>
                <w:szCs w:val="16"/>
              </w:rPr>
              <w:t>BER</w:t>
            </w:r>
          </w:p>
        </w:tc>
        <w:tc>
          <w:tcPr>
            <w:tcW w:w="2682" w:type="dxa"/>
            <w:shd w:val="clear" w:color="auto" w:fill="auto"/>
            <w:vAlign w:val="center"/>
          </w:tcPr>
          <w:p w14:paraId="4C4B116C" w14:textId="29F9EC3E" w:rsidR="00E10C5C" w:rsidRPr="00462200" w:rsidRDefault="00E10C5C" w:rsidP="00ED01EF">
            <w:pPr>
              <w:widowControl w:val="0"/>
              <w:jc w:val="center"/>
              <w:rPr>
                <w:rFonts w:ascii="Source Sans Pro" w:hAnsi="Source Sans Pro" w:cs="Arial"/>
                <w:sz w:val="16"/>
                <w:szCs w:val="16"/>
              </w:rPr>
            </w:pPr>
            <w:r>
              <w:rPr>
                <w:rFonts w:ascii="Source Sans Pro" w:hAnsi="Source Sans Pro"/>
                <w:sz w:val="16"/>
                <w:szCs w:val="16"/>
              </w:rPr>
              <w:t xml:space="preserve">QH Spring / QH </w:t>
            </w:r>
            <w:r w:rsidR="00ED01EF">
              <w:rPr>
                <w:rFonts w:ascii="Source Sans Pro" w:hAnsi="Source Sans Pro"/>
                <w:sz w:val="16"/>
                <w:szCs w:val="16"/>
              </w:rPr>
              <w:t>Core</w:t>
            </w:r>
            <w:bookmarkStart w:id="0" w:name="_GoBack"/>
            <w:bookmarkEnd w:id="0"/>
          </w:p>
        </w:tc>
        <w:tc>
          <w:tcPr>
            <w:tcW w:w="2658" w:type="dxa"/>
            <w:shd w:val="clear" w:color="auto" w:fill="auto"/>
            <w:vAlign w:val="center"/>
          </w:tcPr>
          <w:p w14:paraId="76E83253" w14:textId="214EFDAD" w:rsidR="00E10C5C" w:rsidRPr="00462200" w:rsidRDefault="00E10C5C" w:rsidP="009E6C40">
            <w:pPr>
              <w:widowControl w:val="0"/>
              <w:jc w:val="center"/>
              <w:rPr>
                <w:rFonts w:ascii="Source Sans Pro" w:hAnsi="Source Sans Pro" w:cs="Arial"/>
                <w:sz w:val="16"/>
                <w:szCs w:val="16"/>
              </w:rPr>
            </w:pPr>
            <w:r>
              <w:rPr>
                <w:rFonts w:ascii="Source Sans Pro" w:hAnsi="Source Sans Pro"/>
                <w:sz w:val="16"/>
                <w:szCs w:val="16"/>
              </w:rPr>
              <w:t>Vivion Group</w:t>
            </w:r>
          </w:p>
        </w:tc>
        <w:tc>
          <w:tcPr>
            <w:tcW w:w="2190" w:type="dxa"/>
            <w:shd w:val="clear" w:color="auto" w:fill="auto"/>
            <w:vAlign w:val="center"/>
          </w:tcPr>
          <w:p w14:paraId="44DF8F0A" w14:textId="60C0D72A" w:rsidR="00E10C5C" w:rsidRPr="00462200" w:rsidRDefault="00E10C5C" w:rsidP="009E6C40">
            <w:pPr>
              <w:widowControl w:val="0"/>
              <w:jc w:val="center"/>
              <w:rPr>
                <w:rFonts w:ascii="Source Sans Pro" w:hAnsi="Source Sans Pro" w:cs="Arial"/>
                <w:sz w:val="16"/>
                <w:szCs w:val="16"/>
              </w:rPr>
            </w:pPr>
            <w:r>
              <w:rPr>
                <w:rFonts w:ascii="Source Sans Pro" w:hAnsi="Source Sans Pro"/>
                <w:sz w:val="16"/>
                <w:szCs w:val="16"/>
              </w:rPr>
              <w:t>Aggregate Holdings</w:t>
            </w:r>
          </w:p>
        </w:tc>
        <w:tc>
          <w:tcPr>
            <w:tcW w:w="1014" w:type="dxa"/>
            <w:shd w:val="clear" w:color="auto" w:fill="auto"/>
            <w:vAlign w:val="center"/>
          </w:tcPr>
          <w:p w14:paraId="4F7F5A42" w14:textId="40F84E7E" w:rsidR="00E10C5C" w:rsidRDefault="00E10C5C" w:rsidP="009E6C40">
            <w:pPr>
              <w:widowControl w:val="0"/>
              <w:jc w:val="center"/>
              <w:rPr>
                <w:rFonts w:ascii="Source Sans Pro" w:hAnsi="Source Sans Pro" w:cs="Arial"/>
                <w:sz w:val="16"/>
                <w:szCs w:val="16"/>
              </w:rPr>
            </w:pPr>
            <w:r>
              <w:rPr>
                <w:rFonts w:ascii="Source Sans Pro" w:hAnsi="Source Sans Pro"/>
                <w:sz w:val="16"/>
                <w:szCs w:val="16"/>
              </w:rPr>
              <w:t>456</w:t>
            </w:r>
          </w:p>
        </w:tc>
      </w:tr>
      <w:tr w:rsidR="00E10C5C" w:rsidRPr="00161817" w14:paraId="16D7A264" w14:textId="77777777" w:rsidTr="00F30798">
        <w:trPr>
          <w:trHeight w:val="552"/>
        </w:trPr>
        <w:tc>
          <w:tcPr>
            <w:tcW w:w="687" w:type="dxa"/>
            <w:shd w:val="clear" w:color="auto" w:fill="auto"/>
            <w:vAlign w:val="center"/>
          </w:tcPr>
          <w:p w14:paraId="79A76E7B" w14:textId="260BEE8C" w:rsidR="00E10C5C" w:rsidRDefault="00E10C5C" w:rsidP="009E6C40">
            <w:pPr>
              <w:widowControl w:val="0"/>
              <w:jc w:val="center"/>
              <w:rPr>
                <w:rFonts w:ascii="Source Sans Pro" w:hAnsi="Source Sans Pro" w:cs="Arial"/>
                <w:sz w:val="16"/>
                <w:szCs w:val="16"/>
              </w:rPr>
            </w:pPr>
            <w:r>
              <w:rPr>
                <w:rFonts w:ascii="Source Sans Pro" w:hAnsi="Source Sans Pro"/>
                <w:sz w:val="16"/>
                <w:szCs w:val="16"/>
              </w:rPr>
              <w:t>HAM</w:t>
            </w:r>
          </w:p>
        </w:tc>
        <w:tc>
          <w:tcPr>
            <w:tcW w:w="2682" w:type="dxa"/>
            <w:shd w:val="clear" w:color="auto" w:fill="auto"/>
            <w:vAlign w:val="center"/>
          </w:tcPr>
          <w:p w14:paraId="27464CFC" w14:textId="6D82A892" w:rsidR="00E10C5C" w:rsidRPr="00462200" w:rsidRDefault="00E10C5C" w:rsidP="009E6C40">
            <w:pPr>
              <w:widowControl w:val="0"/>
              <w:jc w:val="center"/>
              <w:rPr>
                <w:rFonts w:ascii="Source Sans Pro" w:hAnsi="Source Sans Pro" w:cs="Arial"/>
                <w:sz w:val="16"/>
                <w:szCs w:val="16"/>
              </w:rPr>
            </w:pPr>
            <w:r>
              <w:rPr>
                <w:rFonts w:ascii="Source Sans Pro" w:hAnsi="Source Sans Pro"/>
                <w:sz w:val="16"/>
                <w:szCs w:val="16"/>
              </w:rPr>
              <w:t xml:space="preserve">Altes Fernmeldeamt, </w:t>
            </w:r>
            <w:r>
              <w:rPr>
                <w:rFonts w:ascii="Source Sans Pro" w:hAnsi="Source Sans Pro"/>
                <w:sz w:val="16"/>
                <w:szCs w:val="16"/>
              </w:rPr>
              <w:br/>
              <w:t>Schlüterstrasse 51-55</w:t>
            </w:r>
          </w:p>
        </w:tc>
        <w:tc>
          <w:tcPr>
            <w:tcW w:w="2658" w:type="dxa"/>
            <w:shd w:val="clear" w:color="auto" w:fill="auto"/>
            <w:vAlign w:val="center"/>
          </w:tcPr>
          <w:p w14:paraId="4F043364" w14:textId="6D89F2B2" w:rsidR="00E10C5C" w:rsidRPr="00462200" w:rsidRDefault="00E10C5C" w:rsidP="009E6C40">
            <w:pPr>
              <w:widowControl w:val="0"/>
              <w:jc w:val="center"/>
              <w:rPr>
                <w:rFonts w:ascii="Source Sans Pro" w:hAnsi="Source Sans Pro" w:cs="Arial"/>
                <w:sz w:val="16"/>
                <w:szCs w:val="16"/>
              </w:rPr>
            </w:pPr>
            <w:r>
              <w:rPr>
                <w:rFonts w:ascii="Source Sans Pro" w:hAnsi="Source Sans Pro"/>
                <w:sz w:val="16"/>
                <w:szCs w:val="16"/>
              </w:rPr>
              <w:t>Values Real Estate</w:t>
            </w:r>
          </w:p>
        </w:tc>
        <w:tc>
          <w:tcPr>
            <w:tcW w:w="2190" w:type="dxa"/>
            <w:shd w:val="clear" w:color="auto" w:fill="auto"/>
            <w:vAlign w:val="center"/>
          </w:tcPr>
          <w:p w14:paraId="6F3466FB" w14:textId="11D92E4C" w:rsidR="00E10C5C" w:rsidRPr="00462200" w:rsidRDefault="00E10C5C" w:rsidP="009E6C40">
            <w:pPr>
              <w:widowControl w:val="0"/>
              <w:jc w:val="center"/>
              <w:rPr>
                <w:rFonts w:ascii="Source Sans Pro" w:hAnsi="Source Sans Pro" w:cs="Arial"/>
                <w:sz w:val="16"/>
                <w:szCs w:val="16"/>
              </w:rPr>
            </w:pPr>
            <w:r>
              <w:rPr>
                <w:rFonts w:ascii="Source Sans Pro" w:hAnsi="Source Sans Pro"/>
                <w:sz w:val="16"/>
                <w:szCs w:val="16"/>
              </w:rPr>
              <w:t>Peakside Capital</w:t>
            </w:r>
          </w:p>
        </w:tc>
        <w:tc>
          <w:tcPr>
            <w:tcW w:w="1014" w:type="dxa"/>
            <w:shd w:val="clear" w:color="auto" w:fill="auto"/>
            <w:vAlign w:val="center"/>
          </w:tcPr>
          <w:p w14:paraId="485F9B5A" w14:textId="428B352E" w:rsidR="00E10C5C" w:rsidRDefault="00E10C5C" w:rsidP="009E6C40">
            <w:pPr>
              <w:widowControl w:val="0"/>
              <w:jc w:val="center"/>
              <w:rPr>
                <w:rFonts w:ascii="Source Sans Pro" w:hAnsi="Source Sans Pro" w:cs="Arial"/>
                <w:sz w:val="16"/>
                <w:szCs w:val="16"/>
              </w:rPr>
            </w:pPr>
            <w:r>
              <w:rPr>
                <w:rFonts w:ascii="Source Sans Pro" w:hAnsi="Source Sans Pro"/>
                <w:sz w:val="16"/>
                <w:szCs w:val="16"/>
              </w:rPr>
              <w:t>400</w:t>
            </w:r>
          </w:p>
        </w:tc>
      </w:tr>
      <w:tr w:rsidR="00E10C5C" w:rsidRPr="00161817" w14:paraId="2C38F723" w14:textId="77777777" w:rsidTr="00F30798">
        <w:trPr>
          <w:trHeight w:val="552"/>
        </w:trPr>
        <w:tc>
          <w:tcPr>
            <w:tcW w:w="687" w:type="dxa"/>
            <w:shd w:val="clear" w:color="auto" w:fill="auto"/>
            <w:vAlign w:val="center"/>
          </w:tcPr>
          <w:p w14:paraId="1F345E13" w14:textId="6DAEB893" w:rsidR="00E10C5C" w:rsidRDefault="00E10C5C" w:rsidP="009E6C40">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auto"/>
            <w:vAlign w:val="center"/>
          </w:tcPr>
          <w:p w14:paraId="3709B719" w14:textId="4C6299F9" w:rsidR="00E10C5C" w:rsidRPr="00462200" w:rsidRDefault="00E10C5C" w:rsidP="00B03DB5">
            <w:pPr>
              <w:widowControl w:val="0"/>
              <w:jc w:val="center"/>
              <w:rPr>
                <w:rFonts w:ascii="Source Sans Pro" w:hAnsi="Source Sans Pro" w:cs="Arial"/>
                <w:sz w:val="16"/>
                <w:szCs w:val="16"/>
              </w:rPr>
            </w:pPr>
            <w:r>
              <w:rPr>
                <w:rFonts w:ascii="Source Sans Pro" w:hAnsi="Source Sans Pro"/>
                <w:sz w:val="16"/>
                <w:szCs w:val="16"/>
              </w:rPr>
              <w:t>Brienner Strasse 22-28</w:t>
            </w:r>
          </w:p>
        </w:tc>
        <w:tc>
          <w:tcPr>
            <w:tcW w:w="2658" w:type="dxa"/>
            <w:shd w:val="clear" w:color="auto" w:fill="auto"/>
            <w:vAlign w:val="center"/>
          </w:tcPr>
          <w:p w14:paraId="0AC21CC4" w14:textId="0075674A" w:rsidR="00E10C5C" w:rsidRPr="00462200" w:rsidRDefault="00B03DB5" w:rsidP="009E6C40">
            <w:pPr>
              <w:widowControl w:val="0"/>
              <w:jc w:val="center"/>
              <w:rPr>
                <w:rFonts w:ascii="Source Sans Pro" w:hAnsi="Source Sans Pro" w:cs="Arial"/>
                <w:sz w:val="16"/>
                <w:szCs w:val="16"/>
              </w:rPr>
            </w:pPr>
            <w:r>
              <w:rPr>
                <w:rFonts w:ascii="Source Sans Pro" w:hAnsi="Source Sans Pro"/>
                <w:sz w:val="16"/>
                <w:szCs w:val="16"/>
              </w:rPr>
              <w:t>Doblinger Unternehmensgruppe</w:t>
            </w:r>
          </w:p>
        </w:tc>
        <w:tc>
          <w:tcPr>
            <w:tcW w:w="2190" w:type="dxa"/>
            <w:shd w:val="clear" w:color="auto" w:fill="auto"/>
            <w:vAlign w:val="center"/>
          </w:tcPr>
          <w:p w14:paraId="53D64725" w14:textId="535A0DE4" w:rsidR="00E10C5C" w:rsidRPr="00462200" w:rsidRDefault="00B03DB5" w:rsidP="009E6C40">
            <w:pPr>
              <w:widowControl w:val="0"/>
              <w:jc w:val="center"/>
              <w:rPr>
                <w:rFonts w:ascii="Source Sans Pro" w:hAnsi="Source Sans Pro" w:cs="Arial"/>
                <w:sz w:val="16"/>
                <w:szCs w:val="16"/>
              </w:rPr>
            </w:pPr>
            <w:r>
              <w:rPr>
                <w:rFonts w:ascii="Source Sans Pro" w:hAnsi="Source Sans Pro"/>
                <w:sz w:val="16"/>
                <w:szCs w:val="16"/>
              </w:rPr>
              <w:t>Bayerische Landesbank</w:t>
            </w:r>
          </w:p>
        </w:tc>
        <w:tc>
          <w:tcPr>
            <w:tcW w:w="1014" w:type="dxa"/>
            <w:shd w:val="clear" w:color="auto" w:fill="auto"/>
            <w:vAlign w:val="center"/>
          </w:tcPr>
          <w:p w14:paraId="5E743C44" w14:textId="4973EE26" w:rsidR="00E10C5C" w:rsidRDefault="00B03DB5" w:rsidP="009E6C40">
            <w:pPr>
              <w:widowControl w:val="0"/>
              <w:jc w:val="center"/>
              <w:rPr>
                <w:rFonts w:ascii="Source Sans Pro" w:hAnsi="Source Sans Pro" w:cs="Arial"/>
                <w:sz w:val="16"/>
                <w:szCs w:val="16"/>
              </w:rPr>
            </w:pPr>
            <w:r>
              <w:rPr>
                <w:rFonts w:ascii="Source Sans Pro" w:hAnsi="Source Sans Pro"/>
                <w:sz w:val="16"/>
                <w:szCs w:val="16"/>
              </w:rPr>
              <w:t>360</w:t>
            </w:r>
          </w:p>
        </w:tc>
      </w:tr>
      <w:tr w:rsidR="00462200" w:rsidRPr="00161817" w14:paraId="3B1D8DB4" w14:textId="77777777" w:rsidTr="00F40B12">
        <w:trPr>
          <w:trHeight w:val="552"/>
        </w:trPr>
        <w:tc>
          <w:tcPr>
            <w:tcW w:w="687" w:type="dxa"/>
            <w:shd w:val="clear" w:color="auto" w:fill="auto"/>
            <w:vAlign w:val="center"/>
          </w:tcPr>
          <w:p w14:paraId="4D10972E" w14:textId="536DCCF2" w:rsidR="00462200" w:rsidRDefault="00E10C5C" w:rsidP="009E6C40">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auto"/>
            <w:vAlign w:val="center"/>
          </w:tcPr>
          <w:p w14:paraId="10848B51" w14:textId="25FCF876" w:rsidR="00462200" w:rsidRDefault="00462200" w:rsidP="009E6C40">
            <w:pPr>
              <w:widowControl w:val="0"/>
              <w:jc w:val="center"/>
              <w:rPr>
                <w:rFonts w:ascii="Source Sans Pro" w:hAnsi="Source Sans Pro" w:cs="Arial"/>
                <w:sz w:val="16"/>
                <w:szCs w:val="16"/>
              </w:rPr>
            </w:pPr>
            <w:r>
              <w:rPr>
                <w:rFonts w:ascii="Source Sans Pro" w:hAnsi="Source Sans Pro"/>
                <w:sz w:val="16"/>
                <w:szCs w:val="16"/>
              </w:rPr>
              <w:t>Olympia Business Center (OBC), Georg-Brauchle-Ring 23-25</w:t>
            </w:r>
          </w:p>
        </w:tc>
        <w:tc>
          <w:tcPr>
            <w:tcW w:w="2658" w:type="dxa"/>
            <w:shd w:val="clear" w:color="auto" w:fill="auto"/>
            <w:vAlign w:val="center"/>
          </w:tcPr>
          <w:p w14:paraId="47E16077" w14:textId="2548F1F1" w:rsidR="00462200" w:rsidRDefault="00462200" w:rsidP="009E6C40">
            <w:pPr>
              <w:widowControl w:val="0"/>
              <w:jc w:val="center"/>
              <w:rPr>
                <w:rFonts w:ascii="Source Sans Pro" w:hAnsi="Source Sans Pro" w:cs="Arial"/>
                <w:sz w:val="16"/>
                <w:szCs w:val="16"/>
              </w:rPr>
            </w:pPr>
            <w:r>
              <w:rPr>
                <w:rFonts w:ascii="Source Sans Pro" w:hAnsi="Source Sans Pro"/>
                <w:sz w:val="16"/>
                <w:szCs w:val="16"/>
              </w:rPr>
              <w:t>Athos Family Office</w:t>
            </w:r>
          </w:p>
        </w:tc>
        <w:tc>
          <w:tcPr>
            <w:tcW w:w="2190" w:type="dxa"/>
            <w:shd w:val="clear" w:color="auto" w:fill="auto"/>
            <w:vAlign w:val="center"/>
          </w:tcPr>
          <w:p w14:paraId="2C3E9E5B" w14:textId="60C6C2BF" w:rsidR="00462200" w:rsidRPr="00420BA3" w:rsidRDefault="00462200" w:rsidP="009E6C40">
            <w:pPr>
              <w:widowControl w:val="0"/>
              <w:jc w:val="center"/>
              <w:rPr>
                <w:rFonts w:ascii="Source Sans Pro" w:hAnsi="Source Sans Pro" w:cs="Arial"/>
                <w:sz w:val="16"/>
                <w:szCs w:val="16"/>
                <w:lang w:val="de-DE"/>
              </w:rPr>
            </w:pPr>
            <w:r w:rsidRPr="00420BA3">
              <w:rPr>
                <w:rFonts w:ascii="Source Sans Pro" w:hAnsi="Source Sans Pro"/>
                <w:sz w:val="16"/>
                <w:szCs w:val="16"/>
                <w:lang w:val="de-DE"/>
              </w:rPr>
              <w:t>Europa Capital /Bayern Projekt (joint venture)</w:t>
            </w:r>
          </w:p>
        </w:tc>
        <w:tc>
          <w:tcPr>
            <w:tcW w:w="1014" w:type="dxa"/>
            <w:shd w:val="clear" w:color="auto" w:fill="auto"/>
            <w:vAlign w:val="center"/>
          </w:tcPr>
          <w:p w14:paraId="794DDCD3" w14:textId="0D7A6C7A" w:rsidR="00462200" w:rsidRDefault="00462200" w:rsidP="009E6C40">
            <w:pPr>
              <w:widowControl w:val="0"/>
              <w:jc w:val="center"/>
              <w:rPr>
                <w:rFonts w:ascii="Source Sans Pro" w:hAnsi="Source Sans Pro" w:cs="Arial"/>
                <w:sz w:val="16"/>
                <w:szCs w:val="16"/>
              </w:rPr>
            </w:pPr>
            <w:r>
              <w:rPr>
                <w:rFonts w:ascii="Source Sans Pro" w:hAnsi="Source Sans Pro"/>
                <w:sz w:val="16"/>
                <w:szCs w:val="16"/>
              </w:rPr>
              <w:t>300</w:t>
            </w:r>
          </w:p>
        </w:tc>
      </w:tr>
      <w:tr w:rsidR="00034930" w:rsidRPr="00161817" w14:paraId="77BC6B1C" w14:textId="77777777" w:rsidTr="00034930">
        <w:trPr>
          <w:trHeight w:val="552"/>
        </w:trPr>
        <w:tc>
          <w:tcPr>
            <w:tcW w:w="687" w:type="dxa"/>
            <w:shd w:val="clear" w:color="auto" w:fill="D0CECE" w:themeFill="background2" w:themeFillShade="E6"/>
            <w:vAlign w:val="center"/>
          </w:tcPr>
          <w:p w14:paraId="0B982119" w14:textId="2C095455" w:rsidR="00034930" w:rsidRDefault="00034930" w:rsidP="009E6C40">
            <w:pPr>
              <w:widowControl w:val="0"/>
              <w:jc w:val="center"/>
              <w:rPr>
                <w:rFonts w:ascii="Source Sans Pro" w:hAnsi="Source Sans Pro" w:cs="Arial"/>
                <w:sz w:val="16"/>
                <w:szCs w:val="16"/>
              </w:rPr>
            </w:pPr>
            <w:r>
              <w:rPr>
                <w:rFonts w:ascii="Source Sans Pro" w:hAnsi="Source Sans Pro"/>
                <w:sz w:val="16"/>
                <w:szCs w:val="16"/>
              </w:rPr>
              <w:t>BER</w:t>
            </w:r>
          </w:p>
        </w:tc>
        <w:tc>
          <w:tcPr>
            <w:tcW w:w="2682" w:type="dxa"/>
            <w:shd w:val="clear" w:color="auto" w:fill="D0CECE" w:themeFill="background2" w:themeFillShade="E6"/>
            <w:vAlign w:val="center"/>
          </w:tcPr>
          <w:p w14:paraId="663A819D" w14:textId="438B7EFC" w:rsidR="00034930" w:rsidRPr="00B03DB5" w:rsidRDefault="00034930" w:rsidP="009E6C40">
            <w:pPr>
              <w:widowControl w:val="0"/>
              <w:jc w:val="center"/>
              <w:rPr>
                <w:rFonts w:ascii="Source Sans Pro" w:hAnsi="Source Sans Pro" w:cs="Arial"/>
                <w:sz w:val="16"/>
                <w:szCs w:val="16"/>
              </w:rPr>
            </w:pPr>
            <w:r>
              <w:rPr>
                <w:rFonts w:ascii="Source Sans Pro" w:hAnsi="Source Sans Pro"/>
                <w:sz w:val="16"/>
                <w:szCs w:val="16"/>
              </w:rPr>
              <w:t>Urban Tech Republic</w:t>
            </w:r>
          </w:p>
        </w:tc>
        <w:tc>
          <w:tcPr>
            <w:tcW w:w="2658" w:type="dxa"/>
            <w:shd w:val="clear" w:color="auto" w:fill="D0CECE" w:themeFill="background2" w:themeFillShade="E6"/>
            <w:vAlign w:val="center"/>
          </w:tcPr>
          <w:p w14:paraId="6D8B5373" w14:textId="407C61EE" w:rsidR="00034930" w:rsidRPr="00420BA3" w:rsidRDefault="00034930" w:rsidP="009E6C40">
            <w:pPr>
              <w:widowControl w:val="0"/>
              <w:jc w:val="center"/>
              <w:rPr>
                <w:rFonts w:ascii="Source Sans Pro" w:hAnsi="Source Sans Pro" w:cs="Arial"/>
                <w:sz w:val="16"/>
                <w:szCs w:val="16"/>
                <w:lang w:val="de-DE"/>
              </w:rPr>
            </w:pPr>
            <w:r w:rsidRPr="00420BA3">
              <w:rPr>
                <w:rFonts w:ascii="Source Sans Pro" w:hAnsi="Source Sans Pro"/>
                <w:sz w:val="16"/>
                <w:szCs w:val="16"/>
                <w:lang w:val="de-DE"/>
              </w:rPr>
              <w:t xml:space="preserve">Land Berlin Liegenschaftsfonds (real </w:t>
            </w:r>
            <w:r w:rsidRPr="00420BA3">
              <w:rPr>
                <w:rFonts w:ascii="Source Sans Pro" w:hAnsi="Source Sans Pro"/>
                <w:sz w:val="16"/>
                <w:szCs w:val="16"/>
              </w:rPr>
              <w:t>estate</w:t>
            </w:r>
            <w:r w:rsidRPr="00420BA3">
              <w:rPr>
                <w:rFonts w:ascii="Source Sans Pro" w:hAnsi="Source Sans Pro"/>
                <w:sz w:val="16"/>
                <w:szCs w:val="16"/>
                <w:lang w:val="de-DE"/>
              </w:rPr>
              <w:t xml:space="preserve"> fund)</w:t>
            </w:r>
          </w:p>
        </w:tc>
        <w:tc>
          <w:tcPr>
            <w:tcW w:w="2190" w:type="dxa"/>
            <w:shd w:val="clear" w:color="auto" w:fill="D0CECE" w:themeFill="background2" w:themeFillShade="E6"/>
            <w:vAlign w:val="center"/>
          </w:tcPr>
          <w:p w14:paraId="150D66CE" w14:textId="38141C41" w:rsidR="00034930" w:rsidRPr="00420BA3" w:rsidRDefault="00034930" w:rsidP="009E6C40">
            <w:pPr>
              <w:widowControl w:val="0"/>
              <w:jc w:val="center"/>
              <w:rPr>
                <w:rFonts w:ascii="Source Sans Pro" w:hAnsi="Source Sans Pro" w:cs="Arial"/>
                <w:sz w:val="16"/>
                <w:szCs w:val="16"/>
                <w:lang w:val="de-DE"/>
              </w:rPr>
            </w:pPr>
            <w:r w:rsidRPr="00420BA3">
              <w:rPr>
                <w:rFonts w:ascii="Source Sans Pro" w:hAnsi="Source Sans Pro"/>
                <w:sz w:val="16"/>
                <w:szCs w:val="16"/>
                <w:lang w:val="de-DE"/>
              </w:rPr>
              <w:t>Bundesanstalt für Immobilienaufgaben (Federal real estate)</w:t>
            </w:r>
          </w:p>
        </w:tc>
        <w:tc>
          <w:tcPr>
            <w:tcW w:w="1014" w:type="dxa"/>
            <w:shd w:val="clear" w:color="auto" w:fill="D0CECE" w:themeFill="background2" w:themeFillShade="E6"/>
            <w:vAlign w:val="center"/>
          </w:tcPr>
          <w:p w14:paraId="3E2DA269" w14:textId="725DCA33" w:rsidR="00034930" w:rsidRDefault="00034930" w:rsidP="009E6C40">
            <w:pPr>
              <w:widowControl w:val="0"/>
              <w:jc w:val="center"/>
              <w:rPr>
                <w:rFonts w:ascii="Source Sans Pro" w:hAnsi="Source Sans Pro" w:cs="Arial"/>
                <w:sz w:val="16"/>
                <w:szCs w:val="16"/>
              </w:rPr>
            </w:pPr>
            <w:r>
              <w:rPr>
                <w:rFonts w:ascii="Source Sans Pro" w:hAnsi="Source Sans Pro"/>
                <w:sz w:val="16"/>
                <w:szCs w:val="16"/>
              </w:rPr>
              <w:t>261</w:t>
            </w:r>
          </w:p>
        </w:tc>
      </w:tr>
      <w:tr w:rsidR="00E10C5C" w:rsidRPr="00161817" w14:paraId="0A144D4B" w14:textId="77777777" w:rsidTr="00F30798">
        <w:trPr>
          <w:trHeight w:val="552"/>
        </w:trPr>
        <w:tc>
          <w:tcPr>
            <w:tcW w:w="687" w:type="dxa"/>
            <w:shd w:val="clear" w:color="auto" w:fill="auto"/>
            <w:vAlign w:val="center"/>
          </w:tcPr>
          <w:p w14:paraId="02CDCE15" w14:textId="46A1803D" w:rsidR="00E10C5C" w:rsidRDefault="00B03DB5" w:rsidP="009E6C40">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auto"/>
            <w:vAlign w:val="center"/>
          </w:tcPr>
          <w:p w14:paraId="2C67A2BE" w14:textId="3AA7C971" w:rsidR="00E10C5C" w:rsidRPr="00462200" w:rsidRDefault="00B03DB5" w:rsidP="009E6C40">
            <w:pPr>
              <w:widowControl w:val="0"/>
              <w:jc w:val="center"/>
              <w:rPr>
                <w:rFonts w:ascii="Source Sans Pro" w:hAnsi="Source Sans Pro" w:cs="Arial"/>
                <w:sz w:val="16"/>
                <w:szCs w:val="16"/>
              </w:rPr>
            </w:pPr>
            <w:r>
              <w:rPr>
                <w:rFonts w:ascii="Source Sans Pro" w:hAnsi="Source Sans Pro"/>
                <w:sz w:val="16"/>
                <w:szCs w:val="16"/>
              </w:rPr>
              <w:t>New headquarter Wacker Chemie, Gisela-Stein-Strasse</w:t>
            </w:r>
          </w:p>
        </w:tc>
        <w:tc>
          <w:tcPr>
            <w:tcW w:w="2658" w:type="dxa"/>
            <w:shd w:val="clear" w:color="auto" w:fill="auto"/>
            <w:vAlign w:val="center"/>
          </w:tcPr>
          <w:p w14:paraId="1EDB25D3" w14:textId="53112E21" w:rsidR="00E10C5C" w:rsidRPr="00462200" w:rsidRDefault="00B03DB5" w:rsidP="009E6C40">
            <w:pPr>
              <w:widowControl w:val="0"/>
              <w:jc w:val="center"/>
              <w:rPr>
                <w:rFonts w:ascii="Source Sans Pro" w:hAnsi="Source Sans Pro" w:cs="Arial"/>
                <w:sz w:val="16"/>
                <w:szCs w:val="16"/>
              </w:rPr>
            </w:pPr>
            <w:r>
              <w:rPr>
                <w:rFonts w:ascii="Source Sans Pro" w:hAnsi="Source Sans Pro"/>
                <w:sz w:val="16"/>
                <w:szCs w:val="16"/>
              </w:rPr>
              <w:t>Wacker Chemie pension fund</w:t>
            </w:r>
          </w:p>
        </w:tc>
        <w:tc>
          <w:tcPr>
            <w:tcW w:w="2190" w:type="dxa"/>
            <w:shd w:val="clear" w:color="auto" w:fill="auto"/>
            <w:vAlign w:val="center"/>
          </w:tcPr>
          <w:p w14:paraId="5846CF1E" w14:textId="768EFBBB" w:rsidR="00E10C5C" w:rsidRPr="00462200" w:rsidRDefault="00B03DB5" w:rsidP="009E6C40">
            <w:pPr>
              <w:widowControl w:val="0"/>
              <w:jc w:val="center"/>
              <w:rPr>
                <w:rFonts w:ascii="Source Sans Pro" w:hAnsi="Source Sans Pro" w:cs="Arial"/>
                <w:sz w:val="16"/>
                <w:szCs w:val="16"/>
              </w:rPr>
            </w:pPr>
            <w:r>
              <w:rPr>
                <w:rFonts w:ascii="Source Sans Pro" w:hAnsi="Source Sans Pro"/>
                <w:sz w:val="16"/>
                <w:szCs w:val="16"/>
              </w:rPr>
              <w:t>Patrizia AG</w:t>
            </w:r>
          </w:p>
        </w:tc>
        <w:tc>
          <w:tcPr>
            <w:tcW w:w="1014" w:type="dxa"/>
            <w:shd w:val="clear" w:color="auto" w:fill="auto"/>
            <w:vAlign w:val="center"/>
          </w:tcPr>
          <w:p w14:paraId="2F8485F8" w14:textId="1564F193" w:rsidR="00E10C5C" w:rsidRDefault="00B03DB5" w:rsidP="009E6C40">
            <w:pPr>
              <w:widowControl w:val="0"/>
              <w:jc w:val="center"/>
              <w:rPr>
                <w:rFonts w:ascii="Source Sans Pro" w:hAnsi="Source Sans Pro" w:cs="Arial"/>
                <w:sz w:val="16"/>
                <w:szCs w:val="16"/>
              </w:rPr>
            </w:pPr>
            <w:r>
              <w:rPr>
                <w:rFonts w:ascii="Source Sans Pro" w:hAnsi="Source Sans Pro"/>
                <w:sz w:val="16"/>
                <w:szCs w:val="16"/>
              </w:rPr>
              <w:t>250</w:t>
            </w:r>
          </w:p>
        </w:tc>
      </w:tr>
      <w:tr w:rsidR="00164FEC" w:rsidRPr="00161817" w14:paraId="5A521CA0" w14:textId="77777777" w:rsidTr="00F30798">
        <w:trPr>
          <w:trHeight w:val="56"/>
        </w:trPr>
        <w:tc>
          <w:tcPr>
            <w:tcW w:w="687" w:type="dxa"/>
            <w:shd w:val="clear" w:color="auto" w:fill="A6A6A6" w:themeFill="background1" w:themeFillShade="A6"/>
            <w:vAlign w:val="center"/>
          </w:tcPr>
          <w:p w14:paraId="7D26CEC7" w14:textId="77777777" w:rsidR="00164FEC" w:rsidRDefault="00164FEC" w:rsidP="009C2D11">
            <w:pPr>
              <w:widowControl w:val="0"/>
              <w:jc w:val="center"/>
              <w:rPr>
                <w:rFonts w:ascii="Source Sans Pro" w:hAnsi="Source Sans Pro" w:cs="Arial"/>
                <w:sz w:val="16"/>
                <w:szCs w:val="16"/>
              </w:rPr>
            </w:pPr>
          </w:p>
        </w:tc>
        <w:tc>
          <w:tcPr>
            <w:tcW w:w="2682" w:type="dxa"/>
            <w:shd w:val="clear" w:color="auto" w:fill="A6A6A6" w:themeFill="background1" w:themeFillShade="A6"/>
            <w:vAlign w:val="center"/>
          </w:tcPr>
          <w:p w14:paraId="54D79E4E" w14:textId="77777777" w:rsidR="00164FEC" w:rsidRPr="00B03DB5" w:rsidRDefault="00164FEC" w:rsidP="009C2D11">
            <w:pPr>
              <w:widowControl w:val="0"/>
              <w:jc w:val="center"/>
              <w:rPr>
                <w:rFonts w:ascii="Source Sans Pro" w:hAnsi="Source Sans Pro" w:cs="Arial"/>
                <w:sz w:val="16"/>
                <w:szCs w:val="16"/>
              </w:rPr>
            </w:pPr>
          </w:p>
        </w:tc>
        <w:tc>
          <w:tcPr>
            <w:tcW w:w="2658" w:type="dxa"/>
            <w:shd w:val="clear" w:color="auto" w:fill="A6A6A6" w:themeFill="background1" w:themeFillShade="A6"/>
            <w:vAlign w:val="center"/>
          </w:tcPr>
          <w:p w14:paraId="6EE0FF02" w14:textId="77777777" w:rsidR="00164FEC" w:rsidRPr="00B03DB5" w:rsidRDefault="00164FEC" w:rsidP="009C2D11">
            <w:pPr>
              <w:widowControl w:val="0"/>
              <w:jc w:val="center"/>
              <w:rPr>
                <w:rFonts w:ascii="Source Sans Pro" w:hAnsi="Source Sans Pro" w:cs="Arial"/>
                <w:sz w:val="16"/>
                <w:szCs w:val="16"/>
              </w:rPr>
            </w:pPr>
          </w:p>
        </w:tc>
        <w:tc>
          <w:tcPr>
            <w:tcW w:w="2190" w:type="dxa"/>
            <w:shd w:val="clear" w:color="auto" w:fill="A6A6A6" w:themeFill="background1" w:themeFillShade="A6"/>
            <w:vAlign w:val="center"/>
          </w:tcPr>
          <w:p w14:paraId="48A3E66A" w14:textId="77777777" w:rsidR="00164FEC" w:rsidRPr="00B03DB5" w:rsidRDefault="00164FEC" w:rsidP="009C2D11">
            <w:pPr>
              <w:widowControl w:val="0"/>
              <w:jc w:val="center"/>
              <w:rPr>
                <w:rFonts w:ascii="Source Sans Pro" w:hAnsi="Source Sans Pro" w:cs="Arial"/>
                <w:sz w:val="16"/>
                <w:szCs w:val="16"/>
              </w:rPr>
            </w:pPr>
          </w:p>
        </w:tc>
        <w:tc>
          <w:tcPr>
            <w:tcW w:w="1014" w:type="dxa"/>
            <w:shd w:val="clear" w:color="auto" w:fill="A6A6A6" w:themeFill="background1" w:themeFillShade="A6"/>
            <w:vAlign w:val="center"/>
          </w:tcPr>
          <w:p w14:paraId="52CB3F8E" w14:textId="77777777" w:rsidR="00164FEC" w:rsidRDefault="00164FEC" w:rsidP="009C2D11">
            <w:pPr>
              <w:widowControl w:val="0"/>
              <w:jc w:val="center"/>
              <w:rPr>
                <w:rFonts w:ascii="Source Sans Pro" w:hAnsi="Source Sans Pro" w:cs="Arial"/>
                <w:sz w:val="16"/>
                <w:szCs w:val="16"/>
              </w:rPr>
            </w:pPr>
          </w:p>
        </w:tc>
      </w:tr>
      <w:tr w:rsidR="00164FEC" w:rsidRPr="00161817" w14:paraId="0A1D279A" w14:textId="77777777" w:rsidTr="00F30798">
        <w:trPr>
          <w:trHeight w:val="552"/>
        </w:trPr>
        <w:tc>
          <w:tcPr>
            <w:tcW w:w="687" w:type="dxa"/>
            <w:shd w:val="clear" w:color="auto" w:fill="auto"/>
            <w:vAlign w:val="center"/>
          </w:tcPr>
          <w:p w14:paraId="6D796694" w14:textId="18849F2A" w:rsidR="00164FEC" w:rsidRDefault="00164FEC" w:rsidP="00164FEC">
            <w:pPr>
              <w:widowControl w:val="0"/>
              <w:jc w:val="center"/>
              <w:rPr>
                <w:rFonts w:ascii="Source Sans Pro" w:hAnsi="Source Sans Pro" w:cs="Arial"/>
                <w:sz w:val="16"/>
                <w:szCs w:val="16"/>
              </w:rPr>
            </w:pPr>
            <w:r>
              <w:rPr>
                <w:rFonts w:ascii="Source Sans Pro" w:hAnsi="Source Sans Pro"/>
                <w:sz w:val="16"/>
                <w:szCs w:val="16"/>
              </w:rPr>
              <w:t>BER</w:t>
            </w:r>
          </w:p>
        </w:tc>
        <w:tc>
          <w:tcPr>
            <w:tcW w:w="2682" w:type="dxa"/>
            <w:shd w:val="clear" w:color="auto" w:fill="auto"/>
            <w:vAlign w:val="center"/>
          </w:tcPr>
          <w:p w14:paraId="6561288F" w14:textId="32DABE5D" w:rsidR="00164FEC" w:rsidRPr="00B03DB5" w:rsidRDefault="00164FEC" w:rsidP="00164FEC">
            <w:pPr>
              <w:widowControl w:val="0"/>
              <w:jc w:val="center"/>
              <w:rPr>
                <w:rFonts w:ascii="Source Sans Pro" w:hAnsi="Source Sans Pro" w:cs="Arial"/>
                <w:sz w:val="16"/>
                <w:szCs w:val="16"/>
              </w:rPr>
            </w:pPr>
            <w:r>
              <w:rPr>
                <w:rFonts w:ascii="Source Sans Pro" w:hAnsi="Source Sans Pro"/>
                <w:sz w:val="16"/>
                <w:szCs w:val="16"/>
              </w:rPr>
              <w:t>Techno Campus</w:t>
            </w:r>
          </w:p>
        </w:tc>
        <w:tc>
          <w:tcPr>
            <w:tcW w:w="2658" w:type="dxa"/>
            <w:shd w:val="clear" w:color="auto" w:fill="auto"/>
            <w:vAlign w:val="center"/>
          </w:tcPr>
          <w:p w14:paraId="5B5DEC42" w14:textId="0CC5C0CB" w:rsidR="00164FEC" w:rsidRPr="00B03DB5" w:rsidRDefault="00164FEC" w:rsidP="00164FEC">
            <w:pPr>
              <w:widowControl w:val="0"/>
              <w:jc w:val="center"/>
              <w:rPr>
                <w:rFonts w:ascii="Source Sans Pro" w:hAnsi="Source Sans Pro" w:cs="Arial"/>
                <w:sz w:val="16"/>
                <w:szCs w:val="16"/>
              </w:rPr>
            </w:pPr>
            <w:r>
              <w:rPr>
                <w:rFonts w:ascii="Source Sans Pro" w:hAnsi="Source Sans Pro"/>
                <w:sz w:val="16"/>
                <w:szCs w:val="16"/>
              </w:rPr>
              <w:t>Caleus  Capital Partners for Singapore State Fund</w:t>
            </w:r>
          </w:p>
        </w:tc>
        <w:tc>
          <w:tcPr>
            <w:tcW w:w="2190" w:type="dxa"/>
            <w:shd w:val="clear" w:color="auto" w:fill="auto"/>
            <w:vAlign w:val="center"/>
          </w:tcPr>
          <w:p w14:paraId="3D3D98E9" w14:textId="1981D868" w:rsidR="00164FEC" w:rsidRPr="00B03DB5" w:rsidRDefault="00164FEC" w:rsidP="00164FEC">
            <w:pPr>
              <w:widowControl w:val="0"/>
              <w:jc w:val="center"/>
              <w:rPr>
                <w:rFonts w:ascii="Source Sans Pro" w:hAnsi="Source Sans Pro" w:cs="Arial"/>
                <w:sz w:val="16"/>
                <w:szCs w:val="16"/>
              </w:rPr>
            </w:pPr>
            <w:r>
              <w:rPr>
                <w:rFonts w:ascii="Source Sans Pro" w:hAnsi="Source Sans Pro"/>
                <w:sz w:val="16"/>
                <w:szCs w:val="16"/>
              </w:rPr>
              <w:t>AXA IM</w:t>
            </w:r>
          </w:p>
        </w:tc>
        <w:tc>
          <w:tcPr>
            <w:tcW w:w="1014" w:type="dxa"/>
            <w:shd w:val="clear" w:color="auto" w:fill="auto"/>
            <w:vAlign w:val="center"/>
          </w:tcPr>
          <w:p w14:paraId="7F2002ED" w14:textId="2557CB26" w:rsidR="00164FEC" w:rsidRDefault="00164FEC" w:rsidP="00164FEC">
            <w:pPr>
              <w:widowControl w:val="0"/>
              <w:jc w:val="center"/>
              <w:rPr>
                <w:rFonts w:ascii="Source Sans Pro" w:hAnsi="Source Sans Pro" w:cs="Arial"/>
                <w:sz w:val="16"/>
                <w:szCs w:val="16"/>
              </w:rPr>
            </w:pPr>
            <w:r>
              <w:rPr>
                <w:rFonts w:ascii="Source Sans Pro" w:hAnsi="Source Sans Pro"/>
                <w:sz w:val="16"/>
                <w:szCs w:val="16"/>
              </w:rPr>
              <w:t>confidential</w:t>
            </w:r>
          </w:p>
        </w:tc>
      </w:tr>
    </w:tbl>
    <w:p w14:paraId="42561C64" w14:textId="7751DD71" w:rsidR="00966A04" w:rsidRDefault="00BF5E1D" w:rsidP="00EF0944">
      <w:pPr>
        <w:widowControl w:val="0"/>
        <w:rPr>
          <w:rFonts w:ascii="Source Sans Pro" w:hAnsi="Source Sans Pro" w:cs="Arial"/>
          <w:sz w:val="16"/>
          <w:szCs w:val="16"/>
        </w:rPr>
      </w:pPr>
      <w:r>
        <w:rPr>
          <w:rFonts w:ascii="Source Sans Pro" w:hAnsi="Source Sans Pro"/>
          <w:sz w:val="16"/>
          <w:szCs w:val="16"/>
        </w:rPr>
        <w:t>Transactions occurring in the quarter covered by this report are highlighted. Source: German Property Partners (GPP)</w:t>
      </w:r>
    </w:p>
    <w:p w14:paraId="42791304" w14:textId="24080DD4" w:rsidR="00161817" w:rsidRPr="00EF0944" w:rsidRDefault="00073A63" w:rsidP="00EF0944">
      <w:pPr>
        <w:widowControl w:val="0"/>
        <w:rPr>
          <w:rFonts w:ascii="Source Sans Pro" w:hAnsi="Source Sans Pro" w:cs="Arial"/>
          <w:sz w:val="16"/>
          <w:szCs w:val="16"/>
        </w:rPr>
      </w:pPr>
      <w:r>
        <w:rPr>
          <w:rFonts w:ascii="Source Sans Pro" w:hAnsi="Source Sans Pro"/>
          <w:b/>
          <w:sz w:val="20"/>
        </w:rPr>
        <w:br/>
        <w:t>Top 7 cities | 1st-4th quarters of 2022</w:t>
      </w:r>
    </w:p>
    <w:tbl>
      <w:tblPr>
        <w:tblStyle w:val="TableGrid2"/>
        <w:tblW w:w="0" w:type="auto"/>
        <w:tblLook w:val="04A0" w:firstRow="1" w:lastRow="0" w:firstColumn="1" w:lastColumn="0" w:noHBand="0" w:noVBand="1"/>
      </w:tblPr>
      <w:tblGrid>
        <w:gridCol w:w="1939"/>
        <w:gridCol w:w="817"/>
        <w:gridCol w:w="816"/>
        <w:gridCol w:w="933"/>
        <w:gridCol w:w="937"/>
        <w:gridCol w:w="937"/>
        <w:gridCol w:w="932"/>
        <w:gridCol w:w="936"/>
        <w:gridCol w:w="800"/>
      </w:tblGrid>
      <w:tr w:rsidR="00161817" w:rsidRPr="00161817" w14:paraId="22958352" w14:textId="77777777" w:rsidTr="009E6C40">
        <w:tc>
          <w:tcPr>
            <w:tcW w:w="1939" w:type="dxa"/>
          </w:tcPr>
          <w:p w14:paraId="39DB6921" w14:textId="77777777" w:rsidR="00161817" w:rsidRPr="00161817" w:rsidRDefault="00161817" w:rsidP="009E6C40">
            <w:pPr>
              <w:widowControl w:val="0"/>
              <w:jc w:val="both"/>
              <w:rPr>
                <w:rFonts w:ascii="Source Sans Pro" w:hAnsi="Source Sans Pro" w:cs="Arial"/>
                <w:b/>
                <w:sz w:val="16"/>
                <w:szCs w:val="16"/>
              </w:rPr>
            </w:pPr>
          </w:p>
        </w:tc>
        <w:tc>
          <w:tcPr>
            <w:tcW w:w="817" w:type="dxa"/>
          </w:tcPr>
          <w:p w14:paraId="315CE750"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HAM</w:t>
            </w:r>
          </w:p>
        </w:tc>
        <w:tc>
          <w:tcPr>
            <w:tcW w:w="816" w:type="dxa"/>
          </w:tcPr>
          <w:p w14:paraId="5422B71C"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BER</w:t>
            </w:r>
          </w:p>
        </w:tc>
        <w:tc>
          <w:tcPr>
            <w:tcW w:w="933" w:type="dxa"/>
          </w:tcPr>
          <w:p w14:paraId="52D79F36"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DUS</w:t>
            </w:r>
          </w:p>
        </w:tc>
        <w:tc>
          <w:tcPr>
            <w:tcW w:w="937" w:type="dxa"/>
          </w:tcPr>
          <w:p w14:paraId="3503C5FE"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CGN</w:t>
            </w:r>
          </w:p>
        </w:tc>
        <w:tc>
          <w:tcPr>
            <w:tcW w:w="937" w:type="dxa"/>
          </w:tcPr>
          <w:p w14:paraId="6CCF5FE9"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FFM</w:t>
            </w:r>
          </w:p>
        </w:tc>
        <w:tc>
          <w:tcPr>
            <w:tcW w:w="932" w:type="dxa"/>
          </w:tcPr>
          <w:p w14:paraId="6A9F6826"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STU</w:t>
            </w:r>
          </w:p>
        </w:tc>
        <w:tc>
          <w:tcPr>
            <w:tcW w:w="936" w:type="dxa"/>
          </w:tcPr>
          <w:p w14:paraId="006B7969"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MUC</w:t>
            </w:r>
          </w:p>
        </w:tc>
        <w:tc>
          <w:tcPr>
            <w:tcW w:w="800" w:type="dxa"/>
          </w:tcPr>
          <w:p w14:paraId="361D716F"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Top 7</w:t>
            </w:r>
          </w:p>
        </w:tc>
      </w:tr>
      <w:tr w:rsidR="00161817" w:rsidRPr="00161817" w14:paraId="5211E41C" w14:textId="77777777" w:rsidTr="009E6C40">
        <w:tc>
          <w:tcPr>
            <w:tcW w:w="1939" w:type="dxa"/>
          </w:tcPr>
          <w:p w14:paraId="5CDBB77B"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Transaction volume</w:t>
            </w:r>
          </w:p>
          <w:p w14:paraId="741AC997"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sz w:val="16"/>
                <w:szCs w:val="16"/>
              </w:rPr>
              <w:t>In €m</w:t>
            </w:r>
          </w:p>
        </w:tc>
        <w:tc>
          <w:tcPr>
            <w:tcW w:w="817" w:type="dxa"/>
            <w:vAlign w:val="center"/>
          </w:tcPr>
          <w:p w14:paraId="42B492E0" w14:textId="2E9EB5DC" w:rsidR="00161817" w:rsidRPr="00161817" w:rsidRDefault="00034930" w:rsidP="009E6C40">
            <w:pPr>
              <w:widowControl w:val="0"/>
              <w:jc w:val="center"/>
              <w:rPr>
                <w:rFonts w:ascii="Source Sans Pro" w:hAnsi="Source Sans Pro" w:cs="Arial"/>
                <w:sz w:val="16"/>
                <w:szCs w:val="16"/>
              </w:rPr>
            </w:pPr>
            <w:r>
              <w:rPr>
                <w:rFonts w:ascii="Source Sans Pro" w:hAnsi="Source Sans Pro"/>
                <w:sz w:val="16"/>
                <w:szCs w:val="16"/>
              </w:rPr>
              <w:t>4,520</w:t>
            </w:r>
          </w:p>
        </w:tc>
        <w:tc>
          <w:tcPr>
            <w:tcW w:w="816" w:type="dxa"/>
            <w:vAlign w:val="center"/>
          </w:tcPr>
          <w:p w14:paraId="2473804E" w14:textId="48442C42" w:rsidR="00161817" w:rsidRPr="00034930" w:rsidRDefault="00034930" w:rsidP="009E6C40">
            <w:pPr>
              <w:widowControl w:val="0"/>
              <w:jc w:val="center"/>
              <w:rPr>
                <w:rFonts w:ascii="Source Sans Pro" w:hAnsi="Source Sans Pro" w:cs="Arial"/>
                <w:sz w:val="16"/>
                <w:szCs w:val="16"/>
                <w:u w:val="single"/>
              </w:rPr>
            </w:pPr>
            <w:r>
              <w:rPr>
                <w:rFonts w:ascii="Source Sans Pro" w:hAnsi="Source Sans Pro"/>
                <w:sz w:val="16"/>
                <w:szCs w:val="16"/>
                <w:u w:val="single"/>
              </w:rPr>
              <w:t>7,800</w:t>
            </w:r>
          </w:p>
        </w:tc>
        <w:tc>
          <w:tcPr>
            <w:tcW w:w="933" w:type="dxa"/>
            <w:vAlign w:val="center"/>
          </w:tcPr>
          <w:p w14:paraId="7E0DFD82" w14:textId="4F5EE86B" w:rsidR="00161817" w:rsidRPr="00EC4845" w:rsidRDefault="00034930" w:rsidP="009E6C40">
            <w:pPr>
              <w:widowControl w:val="0"/>
              <w:jc w:val="center"/>
              <w:rPr>
                <w:rFonts w:ascii="Source Sans Pro" w:hAnsi="Source Sans Pro" w:cs="Arial"/>
                <w:sz w:val="16"/>
                <w:szCs w:val="16"/>
              </w:rPr>
            </w:pPr>
            <w:r>
              <w:rPr>
                <w:rFonts w:ascii="Source Sans Pro" w:hAnsi="Source Sans Pro"/>
                <w:sz w:val="16"/>
                <w:szCs w:val="16"/>
              </w:rPr>
              <w:t>2,783</w:t>
            </w:r>
          </w:p>
        </w:tc>
        <w:tc>
          <w:tcPr>
            <w:tcW w:w="937" w:type="dxa"/>
            <w:vAlign w:val="center"/>
          </w:tcPr>
          <w:p w14:paraId="79C367DF" w14:textId="13F83179" w:rsidR="00161817" w:rsidRPr="00161817" w:rsidRDefault="00034930" w:rsidP="009E6C40">
            <w:pPr>
              <w:widowControl w:val="0"/>
              <w:jc w:val="center"/>
              <w:rPr>
                <w:rFonts w:ascii="Source Sans Pro" w:hAnsi="Source Sans Pro" w:cs="Arial"/>
                <w:sz w:val="16"/>
                <w:szCs w:val="16"/>
              </w:rPr>
            </w:pPr>
            <w:r>
              <w:rPr>
                <w:rFonts w:ascii="Source Sans Pro" w:hAnsi="Source Sans Pro"/>
                <w:sz w:val="16"/>
                <w:szCs w:val="16"/>
              </w:rPr>
              <w:t>1,200</w:t>
            </w:r>
          </w:p>
        </w:tc>
        <w:tc>
          <w:tcPr>
            <w:tcW w:w="937" w:type="dxa"/>
            <w:vAlign w:val="center"/>
          </w:tcPr>
          <w:p w14:paraId="5874DBC2" w14:textId="0E9F6061" w:rsidR="00161817" w:rsidRPr="00161817" w:rsidRDefault="00034930" w:rsidP="009E6C40">
            <w:pPr>
              <w:widowControl w:val="0"/>
              <w:jc w:val="center"/>
              <w:rPr>
                <w:rFonts w:ascii="Source Sans Pro" w:hAnsi="Source Sans Pro" w:cs="Arial"/>
                <w:sz w:val="16"/>
                <w:szCs w:val="16"/>
              </w:rPr>
            </w:pPr>
            <w:r>
              <w:rPr>
                <w:rFonts w:ascii="Source Sans Pro" w:hAnsi="Source Sans Pro"/>
                <w:sz w:val="16"/>
                <w:szCs w:val="16"/>
              </w:rPr>
              <w:t>4,203</w:t>
            </w:r>
          </w:p>
        </w:tc>
        <w:tc>
          <w:tcPr>
            <w:tcW w:w="932" w:type="dxa"/>
            <w:vAlign w:val="center"/>
          </w:tcPr>
          <w:p w14:paraId="161F8429" w14:textId="54C3F5E5" w:rsidR="00161817" w:rsidRPr="00E06757" w:rsidRDefault="00034930" w:rsidP="009E6C40">
            <w:pPr>
              <w:widowControl w:val="0"/>
              <w:jc w:val="center"/>
              <w:rPr>
                <w:rFonts w:ascii="Source Sans Pro" w:hAnsi="Source Sans Pro" w:cs="Arial"/>
                <w:sz w:val="16"/>
                <w:szCs w:val="16"/>
              </w:rPr>
            </w:pPr>
            <w:r>
              <w:rPr>
                <w:rFonts w:ascii="Source Sans Pro" w:hAnsi="Source Sans Pro"/>
                <w:sz w:val="16"/>
                <w:szCs w:val="16"/>
              </w:rPr>
              <w:t>1,000</w:t>
            </w:r>
          </w:p>
        </w:tc>
        <w:tc>
          <w:tcPr>
            <w:tcW w:w="936" w:type="dxa"/>
            <w:shd w:val="clear" w:color="auto" w:fill="auto"/>
            <w:vAlign w:val="center"/>
          </w:tcPr>
          <w:p w14:paraId="521DD4D6" w14:textId="20921026" w:rsidR="00161817" w:rsidRPr="00E06757" w:rsidRDefault="00034930" w:rsidP="009E6C40">
            <w:pPr>
              <w:widowControl w:val="0"/>
              <w:jc w:val="center"/>
              <w:rPr>
                <w:rFonts w:ascii="Source Sans Pro" w:hAnsi="Source Sans Pro" w:cs="Arial"/>
                <w:sz w:val="16"/>
                <w:szCs w:val="16"/>
              </w:rPr>
            </w:pPr>
            <w:r>
              <w:rPr>
                <w:rFonts w:ascii="Source Sans Pro" w:hAnsi="Source Sans Pro"/>
                <w:sz w:val="16"/>
                <w:szCs w:val="16"/>
              </w:rPr>
              <w:t>3,389</w:t>
            </w:r>
          </w:p>
        </w:tc>
        <w:tc>
          <w:tcPr>
            <w:tcW w:w="800" w:type="dxa"/>
            <w:vAlign w:val="center"/>
          </w:tcPr>
          <w:p w14:paraId="5D7AFB91" w14:textId="76A265AF" w:rsidR="00161817" w:rsidRPr="00E06757" w:rsidRDefault="00034930" w:rsidP="00594FAC">
            <w:pPr>
              <w:widowControl w:val="0"/>
              <w:jc w:val="center"/>
              <w:rPr>
                <w:rFonts w:ascii="Source Sans Pro" w:hAnsi="Source Sans Pro" w:cs="Arial"/>
                <w:b/>
                <w:sz w:val="16"/>
                <w:szCs w:val="16"/>
              </w:rPr>
            </w:pPr>
            <w:r>
              <w:rPr>
                <w:rFonts w:ascii="Source Sans Pro" w:hAnsi="Source Sans Pro"/>
                <w:b/>
                <w:sz w:val="16"/>
                <w:szCs w:val="16"/>
              </w:rPr>
              <w:t>24,895</w:t>
            </w:r>
          </w:p>
        </w:tc>
      </w:tr>
      <w:tr w:rsidR="00161817" w:rsidRPr="00161817" w14:paraId="6B0F06BC" w14:textId="77777777" w:rsidTr="009E6C40">
        <w:tc>
          <w:tcPr>
            <w:tcW w:w="1939" w:type="dxa"/>
          </w:tcPr>
          <w:p w14:paraId="1368D85F"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Change</w:t>
            </w:r>
          </w:p>
          <w:p w14:paraId="384171F4"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sz w:val="16"/>
                <w:szCs w:val="16"/>
              </w:rPr>
              <w:t>against prior yr in %</w:t>
            </w:r>
          </w:p>
        </w:tc>
        <w:tc>
          <w:tcPr>
            <w:tcW w:w="817" w:type="dxa"/>
            <w:vAlign w:val="center"/>
          </w:tcPr>
          <w:p w14:paraId="41BD7562" w14:textId="4B0FA6D1" w:rsidR="00161817" w:rsidRPr="00B46BC1" w:rsidRDefault="00034930" w:rsidP="00E22C71">
            <w:pPr>
              <w:widowControl w:val="0"/>
              <w:jc w:val="center"/>
              <w:rPr>
                <w:rFonts w:ascii="Source Sans Pro" w:hAnsi="Source Sans Pro" w:cs="Arial"/>
                <w:sz w:val="16"/>
                <w:szCs w:val="16"/>
              </w:rPr>
            </w:pPr>
            <w:r>
              <w:rPr>
                <w:rFonts w:ascii="Source Sans Pro" w:hAnsi="Source Sans Pro"/>
                <w:sz w:val="16"/>
                <w:szCs w:val="16"/>
              </w:rPr>
              <w:t>41 %</w:t>
            </w:r>
          </w:p>
        </w:tc>
        <w:tc>
          <w:tcPr>
            <w:tcW w:w="816" w:type="dxa"/>
            <w:vAlign w:val="center"/>
          </w:tcPr>
          <w:p w14:paraId="1C4CFEFB" w14:textId="6BFE02A7" w:rsidR="00161817" w:rsidRPr="000610DA" w:rsidRDefault="00034930" w:rsidP="00594FAC">
            <w:pPr>
              <w:widowControl w:val="0"/>
              <w:jc w:val="center"/>
              <w:rPr>
                <w:rFonts w:ascii="Source Sans Pro" w:hAnsi="Source Sans Pro" w:cs="Arial"/>
                <w:sz w:val="16"/>
                <w:szCs w:val="16"/>
              </w:rPr>
            </w:pPr>
            <w:r>
              <w:rPr>
                <w:rFonts w:ascii="Source Sans Pro" w:hAnsi="Source Sans Pro"/>
                <w:sz w:val="16"/>
                <w:szCs w:val="16"/>
              </w:rPr>
              <w:t>-26 %</w:t>
            </w:r>
          </w:p>
        </w:tc>
        <w:tc>
          <w:tcPr>
            <w:tcW w:w="933" w:type="dxa"/>
            <w:vAlign w:val="center"/>
          </w:tcPr>
          <w:p w14:paraId="50DE9682" w14:textId="1EE4CBB6" w:rsidR="00161817" w:rsidRPr="00EC4845" w:rsidRDefault="00034930" w:rsidP="00E22C71">
            <w:pPr>
              <w:widowControl w:val="0"/>
              <w:jc w:val="center"/>
              <w:rPr>
                <w:rFonts w:ascii="Source Sans Pro" w:hAnsi="Source Sans Pro" w:cs="Arial"/>
                <w:sz w:val="16"/>
                <w:szCs w:val="16"/>
              </w:rPr>
            </w:pPr>
            <w:r>
              <w:rPr>
                <w:rFonts w:ascii="Source Sans Pro" w:hAnsi="Source Sans Pro"/>
                <w:sz w:val="16"/>
                <w:szCs w:val="16"/>
              </w:rPr>
              <w:t>4 %</w:t>
            </w:r>
          </w:p>
        </w:tc>
        <w:tc>
          <w:tcPr>
            <w:tcW w:w="937" w:type="dxa"/>
            <w:vAlign w:val="center"/>
          </w:tcPr>
          <w:p w14:paraId="0640E354" w14:textId="1E0F57D4" w:rsidR="00161817" w:rsidRPr="00034930" w:rsidRDefault="00034930" w:rsidP="009E6C40">
            <w:pPr>
              <w:widowControl w:val="0"/>
              <w:jc w:val="center"/>
              <w:rPr>
                <w:rFonts w:ascii="Source Sans Pro" w:hAnsi="Source Sans Pro" w:cs="Arial"/>
                <w:sz w:val="16"/>
                <w:szCs w:val="16"/>
                <w:u w:val="single"/>
              </w:rPr>
            </w:pPr>
            <w:r>
              <w:rPr>
                <w:rFonts w:ascii="Source Sans Pro" w:hAnsi="Source Sans Pro"/>
                <w:sz w:val="16"/>
                <w:szCs w:val="16"/>
                <w:u w:val="single"/>
              </w:rPr>
              <w:t>-68 %</w:t>
            </w:r>
          </w:p>
        </w:tc>
        <w:tc>
          <w:tcPr>
            <w:tcW w:w="937" w:type="dxa"/>
            <w:vAlign w:val="center"/>
          </w:tcPr>
          <w:p w14:paraId="025DC8CA" w14:textId="20457B91" w:rsidR="00161817" w:rsidRPr="00073A63" w:rsidRDefault="00034930" w:rsidP="009E6C40">
            <w:pPr>
              <w:widowControl w:val="0"/>
              <w:jc w:val="center"/>
              <w:rPr>
                <w:rFonts w:ascii="Source Sans Pro" w:hAnsi="Source Sans Pro" w:cs="Arial"/>
                <w:sz w:val="16"/>
                <w:szCs w:val="16"/>
              </w:rPr>
            </w:pPr>
            <w:r>
              <w:rPr>
                <w:rFonts w:ascii="Source Sans Pro" w:hAnsi="Source Sans Pro"/>
                <w:sz w:val="16"/>
                <w:szCs w:val="16"/>
              </w:rPr>
              <w:t>-26 %</w:t>
            </w:r>
          </w:p>
        </w:tc>
        <w:tc>
          <w:tcPr>
            <w:tcW w:w="932" w:type="dxa"/>
            <w:vAlign w:val="center"/>
          </w:tcPr>
          <w:p w14:paraId="62EC947E" w14:textId="2A0AFD78" w:rsidR="00161817" w:rsidRPr="00E06757" w:rsidRDefault="00034930" w:rsidP="00E22C71">
            <w:pPr>
              <w:widowControl w:val="0"/>
              <w:jc w:val="center"/>
              <w:rPr>
                <w:rFonts w:ascii="Source Sans Pro" w:hAnsi="Source Sans Pro" w:cs="Arial"/>
                <w:sz w:val="16"/>
                <w:szCs w:val="16"/>
              </w:rPr>
            </w:pPr>
            <w:r>
              <w:rPr>
                <w:rFonts w:ascii="Source Sans Pro" w:hAnsi="Source Sans Pro"/>
                <w:sz w:val="16"/>
                <w:szCs w:val="16"/>
              </w:rPr>
              <w:t>-46 %</w:t>
            </w:r>
          </w:p>
        </w:tc>
        <w:tc>
          <w:tcPr>
            <w:tcW w:w="936" w:type="dxa"/>
            <w:shd w:val="clear" w:color="auto" w:fill="auto"/>
            <w:vAlign w:val="center"/>
          </w:tcPr>
          <w:p w14:paraId="29099EF0" w14:textId="00D6CC11" w:rsidR="00161817" w:rsidRPr="00E06757" w:rsidRDefault="00034930" w:rsidP="00E22C71">
            <w:pPr>
              <w:widowControl w:val="0"/>
              <w:jc w:val="center"/>
              <w:rPr>
                <w:rFonts w:ascii="Source Sans Pro" w:hAnsi="Source Sans Pro" w:cs="Arial"/>
                <w:sz w:val="16"/>
                <w:szCs w:val="16"/>
              </w:rPr>
            </w:pPr>
            <w:r>
              <w:rPr>
                <w:rFonts w:ascii="Source Sans Pro" w:hAnsi="Source Sans Pro"/>
                <w:sz w:val="16"/>
                <w:szCs w:val="16"/>
              </w:rPr>
              <w:t>-43 %</w:t>
            </w:r>
          </w:p>
        </w:tc>
        <w:tc>
          <w:tcPr>
            <w:tcW w:w="800" w:type="dxa"/>
            <w:vAlign w:val="center"/>
          </w:tcPr>
          <w:p w14:paraId="71231CA6" w14:textId="5B55C246" w:rsidR="00161817" w:rsidRPr="00E06757" w:rsidRDefault="00034930" w:rsidP="009F488A">
            <w:pPr>
              <w:widowControl w:val="0"/>
              <w:jc w:val="center"/>
              <w:rPr>
                <w:rFonts w:ascii="Source Sans Pro" w:hAnsi="Source Sans Pro" w:cs="Arial"/>
                <w:b/>
                <w:sz w:val="16"/>
                <w:szCs w:val="16"/>
              </w:rPr>
            </w:pPr>
            <w:r>
              <w:rPr>
                <w:rFonts w:ascii="Source Sans Pro" w:hAnsi="Source Sans Pro"/>
                <w:b/>
                <w:sz w:val="16"/>
                <w:szCs w:val="16"/>
              </w:rPr>
              <w:t>-26 %</w:t>
            </w:r>
          </w:p>
        </w:tc>
      </w:tr>
      <w:tr w:rsidR="00161817" w:rsidRPr="00161817" w14:paraId="7F708548" w14:textId="77777777" w:rsidTr="009E6C40">
        <w:tc>
          <w:tcPr>
            <w:tcW w:w="1939" w:type="dxa"/>
          </w:tcPr>
          <w:p w14:paraId="3A82530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Prime yield*, offices</w:t>
            </w:r>
          </w:p>
          <w:p w14:paraId="34B73F2E"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sz w:val="16"/>
                <w:szCs w:val="16"/>
              </w:rPr>
              <w:t>in %</w:t>
            </w:r>
          </w:p>
        </w:tc>
        <w:tc>
          <w:tcPr>
            <w:tcW w:w="817" w:type="dxa"/>
            <w:vAlign w:val="center"/>
          </w:tcPr>
          <w:p w14:paraId="74FF9E2D" w14:textId="3B240669" w:rsidR="00161817" w:rsidRPr="000610DA" w:rsidRDefault="00034930" w:rsidP="009E6C40">
            <w:pPr>
              <w:widowControl w:val="0"/>
              <w:jc w:val="center"/>
              <w:rPr>
                <w:rFonts w:ascii="Source Sans Pro" w:hAnsi="Source Sans Pro" w:cs="Arial"/>
                <w:sz w:val="16"/>
                <w:szCs w:val="16"/>
              </w:rPr>
            </w:pPr>
            <w:r>
              <w:rPr>
                <w:rFonts w:ascii="Source Sans Pro" w:hAnsi="Source Sans Pro"/>
                <w:sz w:val="16"/>
                <w:szCs w:val="16"/>
              </w:rPr>
              <w:t>3.10</w:t>
            </w:r>
          </w:p>
        </w:tc>
        <w:tc>
          <w:tcPr>
            <w:tcW w:w="816" w:type="dxa"/>
            <w:vAlign w:val="center"/>
          </w:tcPr>
          <w:p w14:paraId="0D6415B8" w14:textId="1907DDE5" w:rsidR="00161817" w:rsidRPr="000610DA" w:rsidRDefault="00034930" w:rsidP="009E6C40">
            <w:pPr>
              <w:widowControl w:val="0"/>
              <w:jc w:val="center"/>
              <w:rPr>
                <w:rFonts w:ascii="Source Sans Pro" w:hAnsi="Source Sans Pro" w:cs="Arial"/>
                <w:sz w:val="16"/>
                <w:szCs w:val="16"/>
              </w:rPr>
            </w:pPr>
            <w:r>
              <w:rPr>
                <w:rFonts w:ascii="Source Sans Pro" w:hAnsi="Source Sans Pro"/>
                <w:sz w:val="16"/>
                <w:szCs w:val="16"/>
              </w:rPr>
              <w:t>3.00</w:t>
            </w:r>
          </w:p>
        </w:tc>
        <w:tc>
          <w:tcPr>
            <w:tcW w:w="933" w:type="dxa"/>
            <w:vAlign w:val="center"/>
          </w:tcPr>
          <w:p w14:paraId="53A1E093" w14:textId="6032A3ED" w:rsidR="00161817" w:rsidRPr="00EC4845" w:rsidRDefault="00034930" w:rsidP="009E6C40">
            <w:pPr>
              <w:widowControl w:val="0"/>
              <w:jc w:val="center"/>
              <w:rPr>
                <w:rFonts w:ascii="Source Sans Pro" w:hAnsi="Source Sans Pro" w:cs="Arial"/>
                <w:sz w:val="16"/>
                <w:szCs w:val="16"/>
              </w:rPr>
            </w:pPr>
            <w:r>
              <w:rPr>
                <w:rFonts w:ascii="Source Sans Pro" w:hAnsi="Source Sans Pro"/>
                <w:sz w:val="16"/>
                <w:szCs w:val="16"/>
              </w:rPr>
              <w:t>3.40</w:t>
            </w:r>
          </w:p>
        </w:tc>
        <w:tc>
          <w:tcPr>
            <w:tcW w:w="937" w:type="dxa"/>
            <w:vAlign w:val="center"/>
          </w:tcPr>
          <w:p w14:paraId="0431521B" w14:textId="5850B0E3" w:rsidR="00161817" w:rsidRPr="00A57479" w:rsidRDefault="00034930" w:rsidP="009E6C40">
            <w:pPr>
              <w:widowControl w:val="0"/>
              <w:jc w:val="center"/>
              <w:rPr>
                <w:rFonts w:ascii="Source Sans Pro" w:hAnsi="Source Sans Pro" w:cs="Arial"/>
                <w:sz w:val="16"/>
                <w:szCs w:val="16"/>
                <w:u w:val="single"/>
              </w:rPr>
            </w:pPr>
            <w:r>
              <w:rPr>
                <w:rFonts w:ascii="Source Sans Pro" w:hAnsi="Source Sans Pro"/>
                <w:sz w:val="16"/>
                <w:szCs w:val="16"/>
                <w:u w:val="single"/>
              </w:rPr>
              <w:t>3.50</w:t>
            </w:r>
          </w:p>
        </w:tc>
        <w:tc>
          <w:tcPr>
            <w:tcW w:w="937" w:type="dxa"/>
            <w:vAlign w:val="center"/>
          </w:tcPr>
          <w:p w14:paraId="73277C18" w14:textId="090481DF" w:rsidR="00161817" w:rsidRPr="00073A63" w:rsidRDefault="00034930" w:rsidP="009E6C40">
            <w:pPr>
              <w:widowControl w:val="0"/>
              <w:jc w:val="center"/>
              <w:rPr>
                <w:rFonts w:ascii="Source Sans Pro" w:hAnsi="Source Sans Pro" w:cs="Arial"/>
                <w:sz w:val="16"/>
                <w:szCs w:val="16"/>
              </w:rPr>
            </w:pPr>
            <w:r>
              <w:rPr>
                <w:rFonts w:ascii="Source Sans Pro" w:hAnsi="Source Sans Pro"/>
                <w:sz w:val="16"/>
                <w:szCs w:val="16"/>
              </w:rPr>
              <w:t>3.35</w:t>
            </w:r>
          </w:p>
        </w:tc>
        <w:tc>
          <w:tcPr>
            <w:tcW w:w="932" w:type="dxa"/>
            <w:vAlign w:val="center"/>
          </w:tcPr>
          <w:p w14:paraId="4CD09DF4" w14:textId="36A3B281" w:rsidR="00161817" w:rsidRPr="008231BD" w:rsidRDefault="008231BD" w:rsidP="009E6C40">
            <w:pPr>
              <w:widowControl w:val="0"/>
              <w:jc w:val="center"/>
              <w:rPr>
                <w:rFonts w:ascii="Source Sans Pro" w:hAnsi="Source Sans Pro" w:cs="Arial"/>
                <w:sz w:val="16"/>
                <w:szCs w:val="16"/>
                <w:u w:val="single"/>
              </w:rPr>
            </w:pPr>
            <w:r>
              <w:rPr>
                <w:rFonts w:ascii="Source Sans Pro" w:hAnsi="Source Sans Pro"/>
                <w:sz w:val="16"/>
                <w:szCs w:val="16"/>
                <w:u w:val="single"/>
              </w:rPr>
              <w:t>3.50</w:t>
            </w:r>
          </w:p>
        </w:tc>
        <w:tc>
          <w:tcPr>
            <w:tcW w:w="936" w:type="dxa"/>
            <w:shd w:val="clear" w:color="auto" w:fill="auto"/>
            <w:vAlign w:val="center"/>
          </w:tcPr>
          <w:p w14:paraId="7A486F95" w14:textId="594AC0D8" w:rsidR="00161817" w:rsidRPr="00E06757" w:rsidRDefault="00034930" w:rsidP="009E6C40">
            <w:pPr>
              <w:widowControl w:val="0"/>
              <w:jc w:val="center"/>
              <w:rPr>
                <w:rFonts w:ascii="Source Sans Pro" w:hAnsi="Source Sans Pro" w:cs="Arial"/>
                <w:sz w:val="16"/>
                <w:szCs w:val="16"/>
              </w:rPr>
            </w:pPr>
            <w:r>
              <w:rPr>
                <w:rFonts w:ascii="Source Sans Pro" w:hAnsi="Source Sans Pro"/>
                <w:sz w:val="16"/>
                <w:szCs w:val="16"/>
              </w:rPr>
              <w:t>3.10</w:t>
            </w:r>
          </w:p>
        </w:tc>
        <w:tc>
          <w:tcPr>
            <w:tcW w:w="800" w:type="dxa"/>
            <w:vAlign w:val="center"/>
          </w:tcPr>
          <w:p w14:paraId="47ED8E15" w14:textId="02985CB6" w:rsidR="00161817" w:rsidRPr="00E06757" w:rsidRDefault="00034930" w:rsidP="008231BD">
            <w:pPr>
              <w:widowControl w:val="0"/>
              <w:jc w:val="center"/>
              <w:rPr>
                <w:rFonts w:ascii="Source Sans Pro" w:hAnsi="Source Sans Pro" w:cs="Arial"/>
                <w:b/>
                <w:sz w:val="16"/>
                <w:szCs w:val="16"/>
              </w:rPr>
            </w:pPr>
            <w:r>
              <w:rPr>
                <w:rFonts w:ascii="Source Sans Pro" w:hAnsi="Source Sans Pro"/>
                <w:b/>
                <w:sz w:val="16"/>
                <w:szCs w:val="16"/>
              </w:rPr>
              <w:t>3.28</w:t>
            </w:r>
          </w:p>
        </w:tc>
      </w:tr>
      <w:tr w:rsidR="00161817" w:rsidRPr="00161817" w14:paraId="24583354" w14:textId="77777777" w:rsidTr="009E6C40">
        <w:tc>
          <w:tcPr>
            <w:tcW w:w="1939" w:type="dxa"/>
          </w:tcPr>
          <w:p w14:paraId="1AB60A34"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against prior yr</w:t>
            </w:r>
            <w:r>
              <w:rPr>
                <w:rFonts w:ascii="Source Sans Pro" w:hAnsi="Source Sans Pro"/>
                <w:sz w:val="16"/>
                <w:szCs w:val="16"/>
              </w:rPr>
              <w:t xml:space="preserve"> in percentage points</w:t>
            </w:r>
          </w:p>
        </w:tc>
        <w:tc>
          <w:tcPr>
            <w:tcW w:w="817" w:type="dxa"/>
            <w:vAlign w:val="center"/>
          </w:tcPr>
          <w:p w14:paraId="54B227DC" w14:textId="38F24CDD" w:rsidR="00161817" w:rsidRPr="00161817" w:rsidRDefault="00A57479" w:rsidP="00E22C71">
            <w:pPr>
              <w:widowControl w:val="0"/>
              <w:jc w:val="center"/>
              <w:rPr>
                <w:rFonts w:ascii="Source Sans Pro" w:hAnsi="Source Sans Pro" w:cs="Arial"/>
                <w:sz w:val="16"/>
                <w:szCs w:val="16"/>
              </w:rPr>
            </w:pPr>
            <w:r>
              <w:rPr>
                <w:rFonts w:ascii="Source Sans Pro" w:hAnsi="Source Sans Pro"/>
                <w:sz w:val="16"/>
                <w:szCs w:val="16"/>
              </w:rPr>
              <w:t>0.50</w:t>
            </w:r>
          </w:p>
        </w:tc>
        <w:tc>
          <w:tcPr>
            <w:tcW w:w="816" w:type="dxa"/>
            <w:vAlign w:val="center"/>
          </w:tcPr>
          <w:p w14:paraId="51AFFAE3" w14:textId="0D029E98" w:rsidR="00161817" w:rsidRPr="000610DA" w:rsidRDefault="00A57479" w:rsidP="009E6C40">
            <w:pPr>
              <w:widowControl w:val="0"/>
              <w:jc w:val="center"/>
              <w:rPr>
                <w:rFonts w:ascii="Source Sans Pro" w:hAnsi="Source Sans Pro" w:cs="Arial"/>
                <w:sz w:val="16"/>
                <w:szCs w:val="16"/>
              </w:rPr>
            </w:pPr>
            <w:r>
              <w:rPr>
                <w:rFonts w:ascii="Source Sans Pro" w:hAnsi="Source Sans Pro"/>
                <w:sz w:val="16"/>
                <w:szCs w:val="16"/>
              </w:rPr>
              <w:t>0.40</w:t>
            </w:r>
          </w:p>
        </w:tc>
        <w:tc>
          <w:tcPr>
            <w:tcW w:w="933" w:type="dxa"/>
            <w:vAlign w:val="center"/>
          </w:tcPr>
          <w:p w14:paraId="6738B9BE" w14:textId="4D6A28EF" w:rsidR="00161817" w:rsidRPr="00161817" w:rsidRDefault="00A57479" w:rsidP="00E22C71">
            <w:pPr>
              <w:widowControl w:val="0"/>
              <w:jc w:val="center"/>
              <w:rPr>
                <w:rFonts w:ascii="Source Sans Pro" w:hAnsi="Source Sans Pro" w:cs="Arial"/>
                <w:sz w:val="16"/>
                <w:szCs w:val="16"/>
              </w:rPr>
            </w:pPr>
            <w:r>
              <w:rPr>
                <w:rFonts w:ascii="Source Sans Pro" w:hAnsi="Source Sans Pro"/>
                <w:sz w:val="16"/>
                <w:szCs w:val="16"/>
              </w:rPr>
              <w:t>0.60</w:t>
            </w:r>
          </w:p>
        </w:tc>
        <w:tc>
          <w:tcPr>
            <w:tcW w:w="937" w:type="dxa"/>
            <w:vAlign w:val="center"/>
          </w:tcPr>
          <w:p w14:paraId="063AA1B7" w14:textId="41539263" w:rsidR="00161817" w:rsidRPr="00073A63" w:rsidRDefault="00A57479" w:rsidP="009E6C40">
            <w:pPr>
              <w:widowControl w:val="0"/>
              <w:jc w:val="center"/>
              <w:rPr>
                <w:rFonts w:ascii="Source Sans Pro" w:hAnsi="Source Sans Pro" w:cs="Arial"/>
                <w:sz w:val="16"/>
                <w:szCs w:val="16"/>
              </w:rPr>
            </w:pPr>
            <w:r>
              <w:rPr>
                <w:rFonts w:ascii="Source Sans Pro" w:hAnsi="Source Sans Pro"/>
                <w:sz w:val="16"/>
                <w:szCs w:val="16"/>
              </w:rPr>
              <w:t>0.80</w:t>
            </w:r>
          </w:p>
        </w:tc>
        <w:tc>
          <w:tcPr>
            <w:tcW w:w="937" w:type="dxa"/>
            <w:vAlign w:val="center"/>
          </w:tcPr>
          <w:p w14:paraId="125AAE58" w14:textId="19C514B1" w:rsidR="00161817" w:rsidRPr="00073A63" w:rsidRDefault="00A57479" w:rsidP="00E22C71">
            <w:pPr>
              <w:widowControl w:val="0"/>
              <w:jc w:val="center"/>
              <w:rPr>
                <w:rFonts w:ascii="Source Sans Pro" w:hAnsi="Source Sans Pro" w:cs="Arial"/>
                <w:sz w:val="16"/>
                <w:szCs w:val="16"/>
              </w:rPr>
            </w:pPr>
            <w:r>
              <w:rPr>
                <w:rFonts w:ascii="Source Sans Pro" w:hAnsi="Source Sans Pro"/>
                <w:sz w:val="16"/>
                <w:szCs w:val="16"/>
              </w:rPr>
              <w:t>0.60</w:t>
            </w:r>
          </w:p>
        </w:tc>
        <w:tc>
          <w:tcPr>
            <w:tcW w:w="932" w:type="dxa"/>
            <w:vAlign w:val="center"/>
          </w:tcPr>
          <w:p w14:paraId="3BDF16AC" w14:textId="2E5FFB58" w:rsidR="00161817" w:rsidRPr="00073A63" w:rsidRDefault="008231BD" w:rsidP="00E22C71">
            <w:pPr>
              <w:widowControl w:val="0"/>
              <w:jc w:val="center"/>
              <w:rPr>
                <w:rFonts w:ascii="Source Sans Pro" w:hAnsi="Source Sans Pro" w:cs="Arial"/>
                <w:sz w:val="16"/>
                <w:szCs w:val="16"/>
              </w:rPr>
            </w:pPr>
            <w:r>
              <w:rPr>
                <w:rFonts w:ascii="Source Sans Pro" w:hAnsi="Source Sans Pro"/>
                <w:sz w:val="16"/>
                <w:szCs w:val="16"/>
              </w:rPr>
              <w:t>0.80</w:t>
            </w:r>
          </w:p>
        </w:tc>
        <w:tc>
          <w:tcPr>
            <w:tcW w:w="936" w:type="dxa"/>
            <w:shd w:val="clear" w:color="auto" w:fill="auto"/>
            <w:vAlign w:val="center"/>
          </w:tcPr>
          <w:p w14:paraId="7875A0DE" w14:textId="74266341" w:rsidR="00161817" w:rsidRPr="00462200" w:rsidRDefault="00A57479" w:rsidP="009E6C40">
            <w:pPr>
              <w:widowControl w:val="0"/>
              <w:jc w:val="center"/>
              <w:rPr>
                <w:rFonts w:ascii="Source Sans Pro" w:hAnsi="Source Sans Pro" w:cs="Arial"/>
                <w:sz w:val="16"/>
                <w:szCs w:val="16"/>
              </w:rPr>
            </w:pPr>
            <w:r>
              <w:rPr>
                <w:rFonts w:ascii="Source Sans Pro" w:hAnsi="Source Sans Pro"/>
                <w:sz w:val="16"/>
                <w:szCs w:val="16"/>
              </w:rPr>
              <w:t>0.40</w:t>
            </w:r>
          </w:p>
        </w:tc>
        <w:tc>
          <w:tcPr>
            <w:tcW w:w="800" w:type="dxa"/>
            <w:vAlign w:val="center"/>
          </w:tcPr>
          <w:p w14:paraId="53A9636D" w14:textId="2A5D65D0" w:rsidR="00161817" w:rsidRPr="00161817" w:rsidRDefault="00A57479" w:rsidP="008231BD">
            <w:pPr>
              <w:widowControl w:val="0"/>
              <w:jc w:val="center"/>
              <w:rPr>
                <w:rFonts w:ascii="Source Sans Pro" w:hAnsi="Source Sans Pro" w:cs="Arial"/>
                <w:b/>
                <w:sz w:val="16"/>
                <w:szCs w:val="16"/>
              </w:rPr>
            </w:pPr>
            <w:r>
              <w:rPr>
                <w:rFonts w:ascii="Source Sans Pro" w:hAnsi="Source Sans Pro"/>
                <w:b/>
                <w:sz w:val="16"/>
                <w:szCs w:val="16"/>
              </w:rPr>
              <w:t>0.59</w:t>
            </w:r>
          </w:p>
        </w:tc>
      </w:tr>
      <w:tr w:rsidR="00161817" w:rsidRPr="00161817" w14:paraId="2D937C1C" w14:textId="77777777" w:rsidTr="009E6C40">
        <w:tc>
          <w:tcPr>
            <w:tcW w:w="1939" w:type="dxa"/>
          </w:tcPr>
          <w:p w14:paraId="66B5D21D"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Prime yield*, logistics</w:t>
            </w:r>
            <w:r>
              <w:rPr>
                <w:rFonts w:ascii="Source Sans Pro" w:hAnsi="Source Sans Pro"/>
                <w:sz w:val="16"/>
                <w:szCs w:val="16"/>
              </w:rPr>
              <w:t xml:space="preserve"> in %</w:t>
            </w:r>
          </w:p>
        </w:tc>
        <w:tc>
          <w:tcPr>
            <w:tcW w:w="817" w:type="dxa"/>
            <w:vAlign w:val="center"/>
          </w:tcPr>
          <w:p w14:paraId="684A9001" w14:textId="5351A26D" w:rsidR="00161817" w:rsidRPr="00FB551B" w:rsidRDefault="00A57479" w:rsidP="009E6C40">
            <w:pPr>
              <w:widowControl w:val="0"/>
              <w:jc w:val="center"/>
              <w:rPr>
                <w:rFonts w:ascii="Source Sans Pro" w:hAnsi="Source Sans Pro" w:cs="Arial"/>
                <w:sz w:val="16"/>
                <w:szCs w:val="16"/>
              </w:rPr>
            </w:pPr>
            <w:r>
              <w:rPr>
                <w:rFonts w:ascii="Source Sans Pro" w:hAnsi="Source Sans Pro"/>
                <w:sz w:val="16"/>
                <w:szCs w:val="16"/>
              </w:rPr>
              <w:t>3.80</w:t>
            </w:r>
          </w:p>
        </w:tc>
        <w:tc>
          <w:tcPr>
            <w:tcW w:w="816" w:type="dxa"/>
            <w:vAlign w:val="center"/>
          </w:tcPr>
          <w:p w14:paraId="0F835EAB" w14:textId="13964CFB" w:rsidR="00161817" w:rsidRPr="005C0436" w:rsidRDefault="00A57479" w:rsidP="002A26CB">
            <w:pPr>
              <w:widowControl w:val="0"/>
              <w:jc w:val="center"/>
              <w:rPr>
                <w:rFonts w:ascii="Source Sans Pro" w:hAnsi="Source Sans Pro" w:cs="Arial"/>
                <w:sz w:val="16"/>
                <w:szCs w:val="16"/>
              </w:rPr>
            </w:pPr>
            <w:r>
              <w:rPr>
                <w:rFonts w:ascii="Source Sans Pro" w:hAnsi="Source Sans Pro"/>
                <w:sz w:val="16"/>
                <w:szCs w:val="16"/>
              </w:rPr>
              <w:t>3.50</w:t>
            </w:r>
          </w:p>
        </w:tc>
        <w:tc>
          <w:tcPr>
            <w:tcW w:w="933" w:type="dxa"/>
            <w:vAlign w:val="center"/>
          </w:tcPr>
          <w:p w14:paraId="3DD3739A" w14:textId="1AC823E3" w:rsidR="00161817" w:rsidRPr="00747CFC" w:rsidRDefault="00A57479" w:rsidP="009E6C40">
            <w:pPr>
              <w:widowControl w:val="0"/>
              <w:jc w:val="center"/>
              <w:rPr>
                <w:rFonts w:ascii="Source Sans Pro" w:hAnsi="Source Sans Pro" w:cs="Arial"/>
                <w:sz w:val="16"/>
                <w:szCs w:val="16"/>
                <w:u w:val="single"/>
              </w:rPr>
            </w:pPr>
            <w:r>
              <w:rPr>
                <w:rFonts w:ascii="Source Sans Pro" w:hAnsi="Source Sans Pro"/>
                <w:sz w:val="16"/>
                <w:szCs w:val="16"/>
                <w:u w:val="single"/>
              </w:rPr>
              <w:t>4.10</w:t>
            </w:r>
          </w:p>
        </w:tc>
        <w:tc>
          <w:tcPr>
            <w:tcW w:w="937" w:type="dxa"/>
            <w:vAlign w:val="center"/>
          </w:tcPr>
          <w:p w14:paraId="7406BE99" w14:textId="03BDB3E9" w:rsidR="00161817" w:rsidRPr="00073A63" w:rsidRDefault="00A57479" w:rsidP="009E6C40">
            <w:pPr>
              <w:widowControl w:val="0"/>
              <w:jc w:val="center"/>
              <w:rPr>
                <w:rFonts w:ascii="Source Sans Pro" w:hAnsi="Source Sans Pro" w:cs="Arial"/>
                <w:sz w:val="16"/>
                <w:szCs w:val="16"/>
              </w:rPr>
            </w:pPr>
            <w:r>
              <w:rPr>
                <w:rFonts w:ascii="Source Sans Pro" w:hAnsi="Source Sans Pro"/>
                <w:sz w:val="16"/>
                <w:szCs w:val="16"/>
              </w:rPr>
              <w:t>4.00</w:t>
            </w:r>
          </w:p>
        </w:tc>
        <w:tc>
          <w:tcPr>
            <w:tcW w:w="937" w:type="dxa"/>
            <w:vAlign w:val="center"/>
          </w:tcPr>
          <w:p w14:paraId="41CAE3C0" w14:textId="26D79353" w:rsidR="00161817" w:rsidRPr="00073A63" w:rsidRDefault="00A57479" w:rsidP="009E6C40">
            <w:pPr>
              <w:widowControl w:val="0"/>
              <w:jc w:val="center"/>
              <w:rPr>
                <w:rFonts w:ascii="Source Sans Pro" w:hAnsi="Source Sans Pro" w:cs="Arial"/>
                <w:sz w:val="16"/>
                <w:szCs w:val="16"/>
              </w:rPr>
            </w:pPr>
            <w:r>
              <w:rPr>
                <w:rFonts w:ascii="Source Sans Pro" w:hAnsi="Source Sans Pro"/>
                <w:sz w:val="16"/>
                <w:szCs w:val="16"/>
              </w:rPr>
              <w:t>3.90</w:t>
            </w:r>
          </w:p>
        </w:tc>
        <w:tc>
          <w:tcPr>
            <w:tcW w:w="932" w:type="dxa"/>
            <w:vAlign w:val="center"/>
          </w:tcPr>
          <w:p w14:paraId="1F901372" w14:textId="2BD76697" w:rsidR="00161817" w:rsidRPr="008231BD" w:rsidRDefault="008231BD" w:rsidP="009E6C40">
            <w:pPr>
              <w:widowControl w:val="0"/>
              <w:jc w:val="center"/>
              <w:rPr>
                <w:rFonts w:ascii="Source Sans Pro" w:hAnsi="Source Sans Pro" w:cs="Arial"/>
                <w:sz w:val="16"/>
                <w:szCs w:val="16"/>
                <w:u w:val="single"/>
              </w:rPr>
            </w:pPr>
            <w:r>
              <w:rPr>
                <w:rFonts w:ascii="Source Sans Pro" w:hAnsi="Source Sans Pro"/>
                <w:sz w:val="16"/>
                <w:szCs w:val="16"/>
                <w:u w:val="single"/>
              </w:rPr>
              <w:t>4.10</w:t>
            </w:r>
          </w:p>
        </w:tc>
        <w:tc>
          <w:tcPr>
            <w:tcW w:w="936" w:type="dxa"/>
            <w:shd w:val="clear" w:color="auto" w:fill="auto"/>
            <w:vAlign w:val="center"/>
          </w:tcPr>
          <w:p w14:paraId="7546B5F5" w14:textId="7398ADA0" w:rsidR="00161817" w:rsidRPr="00462200" w:rsidRDefault="00A57479" w:rsidP="009E6C40">
            <w:pPr>
              <w:widowControl w:val="0"/>
              <w:jc w:val="center"/>
              <w:rPr>
                <w:rFonts w:ascii="Source Sans Pro" w:hAnsi="Source Sans Pro" w:cs="Arial"/>
                <w:sz w:val="16"/>
                <w:szCs w:val="16"/>
              </w:rPr>
            </w:pPr>
            <w:r>
              <w:rPr>
                <w:rFonts w:ascii="Source Sans Pro" w:hAnsi="Source Sans Pro"/>
                <w:sz w:val="16"/>
                <w:szCs w:val="16"/>
              </w:rPr>
              <w:t>3.50</w:t>
            </w:r>
          </w:p>
        </w:tc>
        <w:tc>
          <w:tcPr>
            <w:tcW w:w="800" w:type="dxa"/>
            <w:vAlign w:val="center"/>
          </w:tcPr>
          <w:p w14:paraId="34BF6507" w14:textId="1FA2E02F" w:rsidR="00161817" w:rsidRPr="00161817" w:rsidRDefault="00A57479" w:rsidP="008231BD">
            <w:pPr>
              <w:widowControl w:val="0"/>
              <w:jc w:val="center"/>
              <w:rPr>
                <w:rFonts w:ascii="Source Sans Pro" w:hAnsi="Source Sans Pro" w:cs="Arial"/>
                <w:b/>
                <w:sz w:val="16"/>
                <w:szCs w:val="16"/>
              </w:rPr>
            </w:pPr>
            <w:r>
              <w:rPr>
                <w:rFonts w:ascii="Source Sans Pro" w:hAnsi="Source Sans Pro"/>
                <w:b/>
                <w:sz w:val="16"/>
                <w:szCs w:val="16"/>
              </w:rPr>
              <w:t>3.86</w:t>
            </w:r>
          </w:p>
        </w:tc>
      </w:tr>
      <w:tr w:rsidR="00161817" w:rsidRPr="00161817" w14:paraId="5A0BD9F2" w14:textId="77777777" w:rsidTr="009E6C40">
        <w:tc>
          <w:tcPr>
            <w:tcW w:w="1939" w:type="dxa"/>
          </w:tcPr>
          <w:p w14:paraId="0E0D0B5A"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against prior yr</w:t>
            </w:r>
            <w:r>
              <w:rPr>
                <w:rFonts w:ascii="Source Sans Pro" w:hAnsi="Source Sans Pro"/>
                <w:sz w:val="16"/>
                <w:szCs w:val="16"/>
              </w:rPr>
              <w:t xml:space="preserve"> in percentage points</w:t>
            </w:r>
          </w:p>
        </w:tc>
        <w:tc>
          <w:tcPr>
            <w:tcW w:w="817" w:type="dxa"/>
            <w:vAlign w:val="center"/>
          </w:tcPr>
          <w:p w14:paraId="2579329F" w14:textId="6BFDC843" w:rsidR="00161817" w:rsidRPr="00072A30" w:rsidRDefault="00A57479" w:rsidP="009E6C40">
            <w:pPr>
              <w:widowControl w:val="0"/>
              <w:jc w:val="center"/>
              <w:rPr>
                <w:rFonts w:ascii="Source Sans Pro" w:hAnsi="Source Sans Pro" w:cs="Arial"/>
                <w:sz w:val="16"/>
                <w:szCs w:val="16"/>
              </w:rPr>
            </w:pPr>
            <w:r>
              <w:rPr>
                <w:rFonts w:ascii="Source Sans Pro" w:hAnsi="Source Sans Pro"/>
                <w:sz w:val="16"/>
                <w:szCs w:val="16"/>
              </w:rPr>
              <w:t>0.30</w:t>
            </w:r>
          </w:p>
        </w:tc>
        <w:tc>
          <w:tcPr>
            <w:tcW w:w="816" w:type="dxa"/>
            <w:vAlign w:val="center"/>
          </w:tcPr>
          <w:p w14:paraId="3597B6B5" w14:textId="0FCEE095" w:rsidR="00161817" w:rsidRPr="00161817" w:rsidRDefault="002A26CB" w:rsidP="00E22C71">
            <w:pPr>
              <w:widowControl w:val="0"/>
              <w:jc w:val="center"/>
              <w:rPr>
                <w:rFonts w:ascii="Source Sans Pro" w:hAnsi="Source Sans Pro" w:cs="Arial"/>
                <w:sz w:val="16"/>
                <w:szCs w:val="16"/>
              </w:rPr>
            </w:pPr>
            <w:r>
              <w:rPr>
                <w:rFonts w:ascii="Source Sans Pro" w:hAnsi="Source Sans Pro"/>
                <w:sz w:val="16"/>
                <w:szCs w:val="16"/>
              </w:rPr>
              <w:t>0.30</w:t>
            </w:r>
          </w:p>
        </w:tc>
        <w:tc>
          <w:tcPr>
            <w:tcW w:w="933" w:type="dxa"/>
            <w:vAlign w:val="center"/>
          </w:tcPr>
          <w:p w14:paraId="18491965" w14:textId="30A10451" w:rsidR="00161817" w:rsidRPr="00161817" w:rsidRDefault="00A57479" w:rsidP="009E6C40">
            <w:pPr>
              <w:widowControl w:val="0"/>
              <w:jc w:val="center"/>
              <w:rPr>
                <w:rFonts w:ascii="Source Sans Pro" w:hAnsi="Source Sans Pro" w:cs="Arial"/>
                <w:sz w:val="16"/>
                <w:szCs w:val="16"/>
              </w:rPr>
            </w:pPr>
            <w:r>
              <w:rPr>
                <w:rFonts w:ascii="Source Sans Pro" w:hAnsi="Source Sans Pro"/>
                <w:sz w:val="16"/>
                <w:szCs w:val="16"/>
              </w:rPr>
              <w:t>0.65</w:t>
            </w:r>
          </w:p>
        </w:tc>
        <w:tc>
          <w:tcPr>
            <w:tcW w:w="937" w:type="dxa"/>
            <w:vAlign w:val="center"/>
          </w:tcPr>
          <w:p w14:paraId="475FF0C9" w14:textId="40F575E7" w:rsidR="00161817" w:rsidRPr="00073A63" w:rsidRDefault="00A57479" w:rsidP="009E6C40">
            <w:pPr>
              <w:widowControl w:val="0"/>
              <w:jc w:val="center"/>
              <w:rPr>
                <w:rFonts w:ascii="Source Sans Pro" w:hAnsi="Source Sans Pro" w:cs="Arial"/>
                <w:sz w:val="16"/>
                <w:szCs w:val="16"/>
              </w:rPr>
            </w:pPr>
            <w:r>
              <w:rPr>
                <w:rFonts w:ascii="Source Sans Pro" w:hAnsi="Source Sans Pro"/>
                <w:sz w:val="16"/>
                <w:szCs w:val="16"/>
              </w:rPr>
              <w:t>0.60</w:t>
            </w:r>
          </w:p>
        </w:tc>
        <w:tc>
          <w:tcPr>
            <w:tcW w:w="937" w:type="dxa"/>
            <w:vAlign w:val="center"/>
          </w:tcPr>
          <w:p w14:paraId="46A53898" w14:textId="4C5B2A7C" w:rsidR="00161817" w:rsidRPr="00073A63" w:rsidRDefault="00A57479" w:rsidP="009E6C40">
            <w:pPr>
              <w:widowControl w:val="0"/>
              <w:jc w:val="center"/>
              <w:rPr>
                <w:rFonts w:ascii="Source Sans Pro" w:hAnsi="Source Sans Pro" w:cs="Arial"/>
                <w:sz w:val="16"/>
                <w:szCs w:val="16"/>
              </w:rPr>
            </w:pPr>
            <w:r>
              <w:rPr>
                <w:rFonts w:ascii="Source Sans Pro" w:hAnsi="Source Sans Pro"/>
                <w:sz w:val="16"/>
                <w:szCs w:val="16"/>
              </w:rPr>
              <w:t>0.70</w:t>
            </w:r>
          </w:p>
        </w:tc>
        <w:tc>
          <w:tcPr>
            <w:tcW w:w="932" w:type="dxa"/>
            <w:vAlign w:val="center"/>
          </w:tcPr>
          <w:p w14:paraId="4B78F66F" w14:textId="19350BA0" w:rsidR="00161817" w:rsidRPr="00073A63" w:rsidRDefault="008231BD" w:rsidP="009E6C40">
            <w:pPr>
              <w:widowControl w:val="0"/>
              <w:jc w:val="center"/>
              <w:rPr>
                <w:rFonts w:ascii="Source Sans Pro" w:hAnsi="Source Sans Pro" w:cs="Arial"/>
                <w:sz w:val="16"/>
                <w:szCs w:val="16"/>
              </w:rPr>
            </w:pPr>
            <w:r>
              <w:rPr>
                <w:rFonts w:ascii="Source Sans Pro" w:hAnsi="Source Sans Pro"/>
                <w:sz w:val="16"/>
                <w:szCs w:val="16"/>
              </w:rPr>
              <w:t>0.60</w:t>
            </w:r>
          </w:p>
        </w:tc>
        <w:tc>
          <w:tcPr>
            <w:tcW w:w="936" w:type="dxa"/>
            <w:shd w:val="clear" w:color="auto" w:fill="auto"/>
            <w:vAlign w:val="center"/>
          </w:tcPr>
          <w:p w14:paraId="7A92EAA5" w14:textId="472ADBB4" w:rsidR="00161817" w:rsidRPr="00462200" w:rsidRDefault="00A57479" w:rsidP="009E6C40">
            <w:pPr>
              <w:widowControl w:val="0"/>
              <w:jc w:val="center"/>
              <w:rPr>
                <w:rFonts w:ascii="Source Sans Pro" w:hAnsi="Source Sans Pro" w:cs="Arial"/>
                <w:sz w:val="16"/>
                <w:szCs w:val="16"/>
              </w:rPr>
            </w:pPr>
            <w:r>
              <w:rPr>
                <w:rFonts w:ascii="Source Sans Pro" w:hAnsi="Source Sans Pro"/>
                <w:sz w:val="16"/>
                <w:szCs w:val="16"/>
              </w:rPr>
              <w:t>0.40</w:t>
            </w:r>
          </w:p>
        </w:tc>
        <w:tc>
          <w:tcPr>
            <w:tcW w:w="800" w:type="dxa"/>
            <w:vAlign w:val="center"/>
          </w:tcPr>
          <w:p w14:paraId="7140B27A" w14:textId="3E4B4887" w:rsidR="00161817" w:rsidRPr="00161817" w:rsidRDefault="00A57479" w:rsidP="008231BD">
            <w:pPr>
              <w:widowControl w:val="0"/>
              <w:jc w:val="center"/>
              <w:rPr>
                <w:rFonts w:ascii="Source Sans Pro" w:hAnsi="Source Sans Pro" w:cs="Arial"/>
                <w:b/>
                <w:sz w:val="16"/>
                <w:szCs w:val="16"/>
              </w:rPr>
            </w:pPr>
            <w:r>
              <w:rPr>
                <w:rFonts w:ascii="Source Sans Pro" w:hAnsi="Source Sans Pro"/>
                <w:b/>
                <w:sz w:val="16"/>
                <w:szCs w:val="16"/>
              </w:rPr>
              <w:t>0.52</w:t>
            </w:r>
          </w:p>
        </w:tc>
      </w:tr>
      <w:tr w:rsidR="00A57479" w:rsidRPr="00161817" w14:paraId="57899BA9" w14:textId="77777777" w:rsidTr="00A57479">
        <w:tc>
          <w:tcPr>
            <w:tcW w:w="1939" w:type="dxa"/>
          </w:tcPr>
          <w:p w14:paraId="13B4FAD9" w14:textId="77777777" w:rsidR="00A57479" w:rsidRPr="00161817" w:rsidRDefault="00A57479" w:rsidP="00A57479">
            <w:pPr>
              <w:widowControl w:val="0"/>
              <w:jc w:val="both"/>
              <w:rPr>
                <w:rFonts w:ascii="Source Sans Pro" w:hAnsi="Source Sans Pro" w:cs="Arial"/>
                <w:b/>
                <w:sz w:val="16"/>
                <w:szCs w:val="16"/>
              </w:rPr>
            </w:pPr>
            <w:r>
              <w:rPr>
                <w:rFonts w:ascii="Source Sans Pro" w:hAnsi="Source Sans Pro"/>
                <w:b/>
                <w:sz w:val="16"/>
                <w:szCs w:val="16"/>
              </w:rPr>
              <w:t>Strongest</w:t>
            </w:r>
          </w:p>
          <w:p w14:paraId="210819D2" w14:textId="77777777" w:rsidR="00A57479" w:rsidRPr="00161817" w:rsidRDefault="00A57479" w:rsidP="00A57479">
            <w:pPr>
              <w:widowControl w:val="0"/>
              <w:jc w:val="both"/>
              <w:rPr>
                <w:rFonts w:ascii="Source Sans Pro" w:hAnsi="Source Sans Pro" w:cs="Arial"/>
                <w:b/>
                <w:sz w:val="16"/>
                <w:szCs w:val="16"/>
              </w:rPr>
            </w:pPr>
            <w:r>
              <w:rPr>
                <w:rFonts w:ascii="Source Sans Pro" w:hAnsi="Source Sans Pro"/>
                <w:b/>
                <w:sz w:val="16"/>
                <w:szCs w:val="16"/>
              </w:rPr>
              <w:t>Asset class</w:t>
            </w:r>
          </w:p>
        </w:tc>
        <w:tc>
          <w:tcPr>
            <w:tcW w:w="817" w:type="dxa"/>
            <w:vAlign w:val="center"/>
          </w:tcPr>
          <w:p w14:paraId="4ED34F9A" w14:textId="2D9A6949" w:rsidR="00A57479" w:rsidRPr="00161817" w:rsidRDefault="00A57479" w:rsidP="00A57479">
            <w:pPr>
              <w:widowControl w:val="0"/>
              <w:jc w:val="center"/>
              <w:rPr>
                <w:rFonts w:ascii="Source Sans Pro" w:hAnsi="Source Sans Pro" w:cs="Arial"/>
                <w:sz w:val="16"/>
                <w:szCs w:val="16"/>
              </w:rPr>
            </w:pPr>
            <w:r>
              <w:rPr>
                <w:rFonts w:ascii="Source Sans Pro" w:hAnsi="Source Sans Pro"/>
                <w:sz w:val="16"/>
                <w:szCs w:val="16"/>
              </w:rPr>
              <w:t>Offices</w:t>
            </w:r>
          </w:p>
        </w:tc>
        <w:tc>
          <w:tcPr>
            <w:tcW w:w="816" w:type="dxa"/>
            <w:vAlign w:val="center"/>
          </w:tcPr>
          <w:p w14:paraId="1BA19745" w14:textId="6B2869B8" w:rsidR="00A57479" w:rsidRPr="00161817" w:rsidRDefault="00A57479" w:rsidP="00A57479">
            <w:pPr>
              <w:widowControl w:val="0"/>
              <w:jc w:val="center"/>
              <w:rPr>
                <w:rFonts w:ascii="Source Sans Pro" w:hAnsi="Source Sans Pro" w:cs="Arial"/>
                <w:sz w:val="16"/>
                <w:szCs w:val="16"/>
              </w:rPr>
            </w:pPr>
            <w:r>
              <w:rPr>
                <w:rFonts w:ascii="Source Sans Pro" w:hAnsi="Source Sans Pro"/>
                <w:sz w:val="16"/>
                <w:szCs w:val="16"/>
              </w:rPr>
              <w:t>Offices</w:t>
            </w:r>
          </w:p>
        </w:tc>
        <w:tc>
          <w:tcPr>
            <w:tcW w:w="933" w:type="dxa"/>
            <w:vAlign w:val="center"/>
          </w:tcPr>
          <w:p w14:paraId="2135011E" w14:textId="086CB893" w:rsidR="00A57479" w:rsidRPr="00161817" w:rsidRDefault="00A57479" w:rsidP="00A57479">
            <w:pPr>
              <w:widowControl w:val="0"/>
              <w:jc w:val="center"/>
              <w:rPr>
                <w:rFonts w:ascii="Source Sans Pro" w:hAnsi="Source Sans Pro" w:cs="Arial"/>
                <w:sz w:val="16"/>
                <w:szCs w:val="16"/>
              </w:rPr>
            </w:pPr>
            <w:r>
              <w:rPr>
                <w:rFonts w:ascii="Source Sans Pro" w:hAnsi="Source Sans Pro"/>
                <w:sz w:val="16"/>
                <w:szCs w:val="16"/>
              </w:rPr>
              <w:t>Offices</w:t>
            </w:r>
          </w:p>
        </w:tc>
        <w:tc>
          <w:tcPr>
            <w:tcW w:w="937" w:type="dxa"/>
            <w:vAlign w:val="center"/>
          </w:tcPr>
          <w:p w14:paraId="0978A794" w14:textId="4DF19546" w:rsidR="00A57479" w:rsidRPr="00073A63" w:rsidRDefault="00A57479" w:rsidP="00A57479">
            <w:pPr>
              <w:widowControl w:val="0"/>
              <w:jc w:val="center"/>
              <w:rPr>
                <w:rFonts w:ascii="Source Sans Pro" w:hAnsi="Source Sans Pro" w:cs="Arial"/>
                <w:sz w:val="16"/>
                <w:szCs w:val="16"/>
              </w:rPr>
            </w:pPr>
            <w:r>
              <w:rPr>
                <w:rFonts w:ascii="Source Sans Pro" w:hAnsi="Source Sans Pro"/>
                <w:sz w:val="16"/>
                <w:szCs w:val="16"/>
              </w:rPr>
              <w:t>Offices</w:t>
            </w:r>
          </w:p>
        </w:tc>
        <w:tc>
          <w:tcPr>
            <w:tcW w:w="937" w:type="dxa"/>
            <w:vAlign w:val="center"/>
          </w:tcPr>
          <w:p w14:paraId="74C19DC6" w14:textId="47F88F46" w:rsidR="00A57479" w:rsidRPr="00073A63" w:rsidRDefault="00A57479" w:rsidP="00A57479">
            <w:pPr>
              <w:widowControl w:val="0"/>
              <w:jc w:val="center"/>
              <w:rPr>
                <w:rFonts w:ascii="Source Sans Pro" w:hAnsi="Source Sans Pro" w:cs="Arial"/>
                <w:sz w:val="16"/>
                <w:szCs w:val="16"/>
              </w:rPr>
            </w:pPr>
            <w:r>
              <w:rPr>
                <w:rFonts w:ascii="Source Sans Pro" w:hAnsi="Source Sans Pro"/>
                <w:sz w:val="16"/>
                <w:szCs w:val="16"/>
              </w:rPr>
              <w:t>Offices</w:t>
            </w:r>
          </w:p>
        </w:tc>
        <w:tc>
          <w:tcPr>
            <w:tcW w:w="932" w:type="dxa"/>
            <w:vAlign w:val="center"/>
          </w:tcPr>
          <w:p w14:paraId="42CE99EF" w14:textId="259D390A" w:rsidR="00A57479" w:rsidRPr="00073A63" w:rsidRDefault="00A57479" w:rsidP="00A57479">
            <w:pPr>
              <w:widowControl w:val="0"/>
              <w:jc w:val="center"/>
              <w:rPr>
                <w:rFonts w:ascii="Source Sans Pro" w:hAnsi="Source Sans Pro" w:cs="Arial"/>
                <w:sz w:val="16"/>
                <w:szCs w:val="16"/>
              </w:rPr>
            </w:pPr>
            <w:r>
              <w:rPr>
                <w:rFonts w:ascii="Source Sans Pro" w:hAnsi="Source Sans Pro"/>
                <w:sz w:val="16"/>
                <w:szCs w:val="16"/>
              </w:rPr>
              <w:t>Offices</w:t>
            </w:r>
          </w:p>
        </w:tc>
        <w:tc>
          <w:tcPr>
            <w:tcW w:w="936" w:type="dxa"/>
            <w:shd w:val="clear" w:color="auto" w:fill="auto"/>
            <w:vAlign w:val="center"/>
          </w:tcPr>
          <w:p w14:paraId="0AF439F9" w14:textId="1BA1E87C" w:rsidR="00A57479" w:rsidRPr="00462200" w:rsidRDefault="00A57479" w:rsidP="00A57479">
            <w:pPr>
              <w:widowControl w:val="0"/>
              <w:jc w:val="center"/>
              <w:rPr>
                <w:rFonts w:ascii="Source Sans Pro" w:hAnsi="Source Sans Pro" w:cs="Arial"/>
                <w:sz w:val="16"/>
                <w:szCs w:val="16"/>
              </w:rPr>
            </w:pPr>
            <w:r>
              <w:rPr>
                <w:rFonts w:ascii="Source Sans Pro" w:hAnsi="Source Sans Pro"/>
                <w:sz w:val="16"/>
                <w:szCs w:val="16"/>
              </w:rPr>
              <w:t>Offices</w:t>
            </w:r>
          </w:p>
        </w:tc>
        <w:tc>
          <w:tcPr>
            <w:tcW w:w="800" w:type="dxa"/>
            <w:vAlign w:val="center"/>
          </w:tcPr>
          <w:p w14:paraId="5660B842" w14:textId="2D60AB33" w:rsidR="00A57479" w:rsidRPr="00A57479" w:rsidRDefault="00A57479" w:rsidP="00A57479">
            <w:pPr>
              <w:widowControl w:val="0"/>
              <w:jc w:val="center"/>
              <w:rPr>
                <w:rFonts w:ascii="Source Sans Pro" w:hAnsi="Source Sans Pro" w:cs="Arial"/>
                <w:sz w:val="16"/>
                <w:szCs w:val="16"/>
              </w:rPr>
            </w:pPr>
            <w:r>
              <w:rPr>
                <w:rFonts w:ascii="Source Sans Pro" w:hAnsi="Source Sans Pro"/>
                <w:sz w:val="16"/>
                <w:szCs w:val="16"/>
              </w:rPr>
              <w:t>Offices</w:t>
            </w:r>
          </w:p>
        </w:tc>
      </w:tr>
      <w:tr w:rsidR="00161817" w:rsidRPr="00161817" w14:paraId="7FF3344D" w14:textId="77777777" w:rsidTr="009E6C40">
        <w:tc>
          <w:tcPr>
            <w:tcW w:w="1939" w:type="dxa"/>
          </w:tcPr>
          <w:p w14:paraId="55257A8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Strongest</w:t>
            </w:r>
          </w:p>
          <w:p w14:paraId="19D9BE7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 xml:space="preserve">asset class </w:t>
            </w:r>
            <w:r>
              <w:rPr>
                <w:rFonts w:ascii="Source Sans Pro" w:hAnsi="Source Sans Pro"/>
                <w:sz w:val="16"/>
                <w:szCs w:val="16"/>
              </w:rPr>
              <w:t>in %</w:t>
            </w:r>
          </w:p>
        </w:tc>
        <w:tc>
          <w:tcPr>
            <w:tcW w:w="817" w:type="dxa"/>
            <w:vAlign w:val="center"/>
          </w:tcPr>
          <w:p w14:paraId="516BE07F" w14:textId="5BFB4973" w:rsidR="00161817" w:rsidRPr="00161817" w:rsidRDefault="00A57479" w:rsidP="009E6C40">
            <w:pPr>
              <w:widowControl w:val="0"/>
              <w:jc w:val="center"/>
              <w:rPr>
                <w:rFonts w:ascii="Source Sans Pro" w:hAnsi="Source Sans Pro" w:cs="Arial"/>
                <w:sz w:val="16"/>
                <w:szCs w:val="16"/>
              </w:rPr>
            </w:pPr>
            <w:r>
              <w:rPr>
                <w:rFonts w:ascii="Source Sans Pro" w:hAnsi="Source Sans Pro"/>
                <w:sz w:val="16"/>
                <w:szCs w:val="16"/>
              </w:rPr>
              <w:t>78 %</w:t>
            </w:r>
          </w:p>
        </w:tc>
        <w:tc>
          <w:tcPr>
            <w:tcW w:w="816" w:type="dxa"/>
            <w:vAlign w:val="center"/>
          </w:tcPr>
          <w:p w14:paraId="3290541C" w14:textId="055CD864" w:rsidR="00161817" w:rsidRPr="00161817" w:rsidRDefault="00A57479" w:rsidP="009E6C40">
            <w:pPr>
              <w:widowControl w:val="0"/>
              <w:jc w:val="center"/>
              <w:rPr>
                <w:rFonts w:ascii="Source Sans Pro" w:hAnsi="Source Sans Pro" w:cs="Arial"/>
                <w:sz w:val="16"/>
                <w:szCs w:val="16"/>
              </w:rPr>
            </w:pPr>
            <w:r>
              <w:rPr>
                <w:rFonts w:ascii="Source Sans Pro" w:hAnsi="Source Sans Pro"/>
                <w:sz w:val="16"/>
                <w:szCs w:val="16"/>
              </w:rPr>
              <w:t>73 %</w:t>
            </w:r>
          </w:p>
        </w:tc>
        <w:tc>
          <w:tcPr>
            <w:tcW w:w="933" w:type="dxa"/>
            <w:vAlign w:val="center"/>
          </w:tcPr>
          <w:p w14:paraId="65F78631" w14:textId="3A0ACBA5" w:rsidR="00161817" w:rsidRPr="00161817" w:rsidRDefault="00A57479" w:rsidP="009E6C40">
            <w:pPr>
              <w:widowControl w:val="0"/>
              <w:jc w:val="center"/>
              <w:rPr>
                <w:rFonts w:ascii="Source Sans Pro" w:hAnsi="Source Sans Pro" w:cs="Arial"/>
                <w:sz w:val="16"/>
                <w:szCs w:val="16"/>
              </w:rPr>
            </w:pPr>
            <w:r>
              <w:rPr>
                <w:rFonts w:ascii="Source Sans Pro" w:hAnsi="Source Sans Pro"/>
                <w:sz w:val="16"/>
                <w:szCs w:val="16"/>
              </w:rPr>
              <w:t>71 %</w:t>
            </w:r>
          </w:p>
        </w:tc>
        <w:tc>
          <w:tcPr>
            <w:tcW w:w="937" w:type="dxa"/>
            <w:vAlign w:val="center"/>
          </w:tcPr>
          <w:p w14:paraId="63E405B4" w14:textId="6D4CF1E2" w:rsidR="00161817" w:rsidRPr="00073A63" w:rsidRDefault="00A57479" w:rsidP="009E6C40">
            <w:pPr>
              <w:widowControl w:val="0"/>
              <w:jc w:val="center"/>
              <w:rPr>
                <w:rFonts w:ascii="Source Sans Pro" w:hAnsi="Source Sans Pro" w:cs="Arial"/>
                <w:sz w:val="16"/>
                <w:szCs w:val="16"/>
              </w:rPr>
            </w:pPr>
            <w:r>
              <w:rPr>
                <w:rFonts w:ascii="Source Sans Pro" w:hAnsi="Source Sans Pro"/>
                <w:sz w:val="16"/>
                <w:szCs w:val="16"/>
              </w:rPr>
              <w:t>73 %</w:t>
            </w:r>
          </w:p>
        </w:tc>
        <w:tc>
          <w:tcPr>
            <w:tcW w:w="937" w:type="dxa"/>
            <w:vAlign w:val="center"/>
          </w:tcPr>
          <w:p w14:paraId="3DBBA68E" w14:textId="4D37BA89" w:rsidR="00161817" w:rsidRPr="00747CFC" w:rsidRDefault="00A57479" w:rsidP="009E6C40">
            <w:pPr>
              <w:widowControl w:val="0"/>
              <w:jc w:val="center"/>
              <w:rPr>
                <w:rFonts w:ascii="Source Sans Pro" w:hAnsi="Source Sans Pro" w:cs="Arial"/>
                <w:sz w:val="16"/>
                <w:szCs w:val="16"/>
                <w:u w:val="single"/>
              </w:rPr>
            </w:pPr>
            <w:r>
              <w:rPr>
                <w:rFonts w:ascii="Source Sans Pro" w:hAnsi="Source Sans Pro"/>
                <w:sz w:val="16"/>
                <w:szCs w:val="16"/>
                <w:u w:val="single"/>
              </w:rPr>
              <w:t>81 %</w:t>
            </w:r>
          </w:p>
        </w:tc>
        <w:tc>
          <w:tcPr>
            <w:tcW w:w="932" w:type="dxa"/>
            <w:vAlign w:val="center"/>
          </w:tcPr>
          <w:p w14:paraId="62F15918" w14:textId="540554F2" w:rsidR="00161817" w:rsidRPr="00073A63" w:rsidRDefault="00A57479" w:rsidP="009E6C40">
            <w:pPr>
              <w:widowControl w:val="0"/>
              <w:jc w:val="center"/>
              <w:rPr>
                <w:rFonts w:ascii="Source Sans Pro" w:hAnsi="Source Sans Pro" w:cs="Arial"/>
                <w:sz w:val="16"/>
                <w:szCs w:val="16"/>
              </w:rPr>
            </w:pPr>
            <w:r>
              <w:rPr>
                <w:rFonts w:ascii="Source Sans Pro" w:hAnsi="Source Sans Pro"/>
                <w:sz w:val="16"/>
                <w:szCs w:val="16"/>
              </w:rPr>
              <w:t>75 %</w:t>
            </w:r>
          </w:p>
        </w:tc>
        <w:tc>
          <w:tcPr>
            <w:tcW w:w="936" w:type="dxa"/>
            <w:shd w:val="clear" w:color="auto" w:fill="auto"/>
            <w:vAlign w:val="center"/>
          </w:tcPr>
          <w:p w14:paraId="5FF3E0CF" w14:textId="5ADCA4D4" w:rsidR="00161817" w:rsidRPr="00462200" w:rsidRDefault="00A57479" w:rsidP="009E6C40">
            <w:pPr>
              <w:widowControl w:val="0"/>
              <w:jc w:val="center"/>
              <w:rPr>
                <w:rFonts w:ascii="Source Sans Pro" w:hAnsi="Source Sans Pro" w:cs="Arial"/>
                <w:sz w:val="16"/>
                <w:szCs w:val="16"/>
              </w:rPr>
            </w:pPr>
            <w:r>
              <w:rPr>
                <w:rFonts w:ascii="Source Sans Pro" w:hAnsi="Source Sans Pro"/>
                <w:sz w:val="16"/>
                <w:szCs w:val="16"/>
              </w:rPr>
              <w:t>59 %</w:t>
            </w:r>
          </w:p>
        </w:tc>
        <w:tc>
          <w:tcPr>
            <w:tcW w:w="800" w:type="dxa"/>
            <w:vAlign w:val="center"/>
          </w:tcPr>
          <w:p w14:paraId="2A043F0A" w14:textId="327D9228" w:rsidR="00161817" w:rsidRPr="00161817" w:rsidRDefault="00A57479" w:rsidP="008B03FB">
            <w:pPr>
              <w:widowControl w:val="0"/>
              <w:jc w:val="center"/>
              <w:rPr>
                <w:rFonts w:ascii="Source Sans Pro" w:hAnsi="Source Sans Pro" w:cs="Arial"/>
                <w:b/>
                <w:sz w:val="16"/>
                <w:szCs w:val="16"/>
              </w:rPr>
            </w:pPr>
            <w:r>
              <w:rPr>
                <w:rFonts w:ascii="Source Sans Pro" w:hAnsi="Source Sans Pro"/>
                <w:b/>
                <w:sz w:val="16"/>
                <w:szCs w:val="16"/>
              </w:rPr>
              <w:t>73 %</w:t>
            </w:r>
          </w:p>
        </w:tc>
      </w:tr>
    </w:tbl>
    <w:p w14:paraId="24F7C797" w14:textId="5003AE93" w:rsidR="00DA733A" w:rsidRPr="00161817" w:rsidRDefault="00161817" w:rsidP="00DA733A">
      <w:pPr>
        <w:pStyle w:val="EinfAbs"/>
        <w:tabs>
          <w:tab w:val="left" w:pos="200"/>
        </w:tabs>
        <w:jc w:val="both"/>
        <w:rPr>
          <w:rFonts w:ascii="Source Sans Pro" w:hAnsi="Source Sans Pro" w:cs="Arial"/>
          <w:sz w:val="16"/>
          <w:szCs w:val="16"/>
        </w:rPr>
      </w:pPr>
      <w:r>
        <w:rPr>
          <w:rFonts w:ascii="Source Sans Pro" w:hAnsi="Source Sans Pro"/>
          <w:sz w:val="16"/>
          <w:szCs w:val="16"/>
        </w:rPr>
        <w:t>* Net initial yield; Source: German Property Partners (GPP)</w:t>
      </w:r>
    </w:p>
    <w:p w14:paraId="384D0EB4" w14:textId="77777777" w:rsidR="00161817" w:rsidRDefault="00161817" w:rsidP="00DA733A">
      <w:pPr>
        <w:pStyle w:val="EinfAbs"/>
        <w:tabs>
          <w:tab w:val="left" w:pos="200"/>
        </w:tabs>
        <w:jc w:val="both"/>
        <w:rPr>
          <w:rFonts w:ascii="Source Sans Pro" w:hAnsi="Source Sans Pro" w:cs="Source Sans Pro"/>
          <w:sz w:val="22"/>
          <w:szCs w:val="22"/>
        </w:rPr>
      </w:pPr>
    </w:p>
    <w:p w14:paraId="2FC65D57" w14:textId="77777777" w:rsidR="00F51DAD" w:rsidRDefault="00F51DAD" w:rsidP="00966A04">
      <w:pPr>
        <w:overflowPunct/>
        <w:autoSpaceDE/>
        <w:autoSpaceDN/>
        <w:adjustRightInd/>
        <w:textAlignment w:val="auto"/>
        <w:rPr>
          <w:rFonts w:ascii="Source Sans Pro SemiBold" w:hAnsi="Source Sans Pro SemiBold"/>
          <w:b/>
          <w:bCs/>
          <w:caps/>
          <w:color w:val="0087A8"/>
          <w:sz w:val="18"/>
          <w:szCs w:val="18"/>
        </w:rPr>
      </w:pPr>
    </w:p>
    <w:p w14:paraId="5BED7DCC" w14:textId="77777777" w:rsidR="00F51DAD" w:rsidRDefault="00F51DAD" w:rsidP="00966A04">
      <w:pPr>
        <w:overflowPunct/>
        <w:autoSpaceDE/>
        <w:autoSpaceDN/>
        <w:adjustRightInd/>
        <w:textAlignment w:val="auto"/>
        <w:rPr>
          <w:rFonts w:ascii="Source Sans Pro SemiBold" w:hAnsi="Source Sans Pro SemiBold"/>
          <w:b/>
          <w:bCs/>
          <w:caps/>
          <w:color w:val="0087A8"/>
          <w:sz w:val="18"/>
          <w:szCs w:val="18"/>
        </w:rPr>
      </w:pPr>
    </w:p>
    <w:p w14:paraId="50B0AF24" w14:textId="58129510" w:rsidR="00DA733A" w:rsidRPr="00966A04" w:rsidRDefault="002B63FD" w:rsidP="00966A04">
      <w:pPr>
        <w:overflowPunct/>
        <w:autoSpaceDE/>
        <w:autoSpaceDN/>
        <w:adjustRightInd/>
        <w:textAlignment w:val="auto"/>
        <w:rPr>
          <w:rFonts w:ascii="Source Sans Pro SemiBold" w:hAnsi="Source Sans Pro SemiBold" w:cs="Source Sans Pro SemiBold"/>
          <w:b/>
          <w:bCs/>
          <w:caps/>
          <w:color w:val="0087A8"/>
          <w:sz w:val="18"/>
          <w:szCs w:val="18"/>
        </w:rPr>
      </w:pPr>
      <w:r>
        <w:rPr>
          <w:rFonts w:ascii="Source Sans Pro SemiBold" w:hAnsi="Source Sans Pro SemiBold"/>
          <w:b/>
          <w:bCs/>
          <w:caps/>
          <w:color w:val="0087A8"/>
          <w:sz w:val="18"/>
          <w:szCs w:val="18"/>
        </w:rPr>
        <w:lastRenderedPageBreak/>
        <w:t xml:space="preserve">ABOUT GERMAN PROPERTY PARTNERS </w:t>
      </w:r>
    </w:p>
    <w:p w14:paraId="47B60849" w14:textId="77777777" w:rsidR="00E1280F" w:rsidRPr="00E1280F" w:rsidRDefault="00ED01E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hyperlink r:id="rId8" w:history="1">
        <w:r w:rsidR="00B44139">
          <w:rPr>
            <w:rFonts w:ascii="Source Sans Pro SemiBold" w:hAnsi="Source Sans Pro SemiBold"/>
            <w:bCs/>
            <w:caps/>
            <w:color w:val="0087A8"/>
            <w:sz w:val="18"/>
            <w:szCs w:val="18"/>
          </w:rPr>
          <w:t>German Property Partners</w:t>
        </w:r>
      </w:hyperlink>
      <w:r w:rsidR="00B44139">
        <w:rPr>
          <w:rFonts w:ascii="Source Sans Pro SemiBold" w:hAnsi="Source Sans Pro SemiBold"/>
          <w:bCs/>
          <w:caps/>
          <w:color w:val="0087A8"/>
          <w:sz w:val="18"/>
          <w:szCs w:val="18"/>
        </w:rPr>
        <w:t xml:space="preserve"> is a national network of property service providers; they are all leaders in their local markets. Membership now consists of Grossmann &amp; Berger, Anteon Immobilien, GREIF &amp; CONTZEN Immobilien, blackolive and E &amp; G Real Estate. The network is remarkable for the members’ intimate knowledge of local markets, the experience of the partner firms’ long-standing property consultants and the personal dedication of the owners and directors. </w:t>
      </w:r>
    </w:p>
    <w:p w14:paraId="0E6D674A"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6C5C800"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 xml:space="preserve">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w:t>
      </w:r>
    </w:p>
    <w:p w14:paraId="24310FE5"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267071B" w14:textId="5194F420" w:rsidR="00D56A51" w:rsidRPr="00662564" w:rsidRDefault="00F40B12" w:rsidP="00D56A51">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Currently, more than 420 property specialists work for the network. Nationwide, German Property Partners brokered lets in 2021 involving 640,000 m² of commercial property, and managed investment transactions totalling €2.6bn.</w:t>
      </w:r>
      <w:r>
        <w:rPr>
          <w:rFonts w:ascii="Source Sans Pro SemiBold" w:hAnsi="Source Sans Pro SemiBold"/>
          <w:bCs/>
          <w:caps/>
          <w:color w:val="0087A8"/>
          <w:sz w:val="18"/>
          <w:szCs w:val="18"/>
        </w:rPr>
        <w:br/>
      </w:r>
      <w:r>
        <w:rPr>
          <w:rFonts w:ascii="Source Sans Pro" w:hAnsi="Source Sans Pro"/>
          <w:color w:val="0087A8"/>
          <w:sz w:val="18"/>
          <w:szCs w:val="18"/>
        </w:rPr>
        <w:br/>
      </w:r>
      <w:hyperlink r:id="rId9" w:history="1">
        <w:r>
          <w:rPr>
            <w:rStyle w:val="Hyperlink"/>
            <w:rFonts w:ascii="Source Sans Pro SemiBold" w:hAnsi="Source Sans Pro SemiBold"/>
            <w:b/>
            <w:bCs/>
            <w:sz w:val="18"/>
            <w:szCs w:val="18"/>
          </w:rPr>
          <w:t>www.germanpropertypartners.de</w:t>
        </w:r>
      </w:hyperlink>
    </w:p>
    <w:p w14:paraId="1EB42925" w14:textId="77777777" w:rsidR="0049485B" w:rsidRDefault="0049485B" w:rsidP="00D56A51">
      <w:pPr>
        <w:pStyle w:val="EinfAbs"/>
        <w:tabs>
          <w:tab w:val="left" w:pos="200"/>
        </w:tabs>
        <w:spacing w:line="220" w:lineRule="exact"/>
        <w:jc w:val="both"/>
        <w:rPr>
          <w:rFonts w:ascii="Source Sans Pro SemiBold" w:hAnsi="Source Sans Pro SemiBold" w:cs="Source Sans Pro SemiBold"/>
          <w:bCs/>
          <w:sz w:val="14"/>
          <w:szCs w:val="14"/>
        </w:rPr>
      </w:pPr>
    </w:p>
    <w:p w14:paraId="468FAFF6" w14:textId="707A4BA0" w:rsidR="005C25D5" w:rsidRDefault="00290672" w:rsidP="00D56A51">
      <w:pPr>
        <w:pStyle w:val="EinfAbs"/>
        <w:tabs>
          <w:tab w:val="left" w:pos="200"/>
        </w:tabs>
        <w:spacing w:line="220" w:lineRule="exact"/>
        <w:jc w:val="both"/>
        <w:rPr>
          <w:rFonts w:ascii="Source Sans Pro" w:hAnsi="Source Sans Pro" w:cs="Source Sans Pro"/>
          <w:sz w:val="14"/>
          <w:szCs w:val="14"/>
        </w:rPr>
      </w:pPr>
      <w:r>
        <w:rPr>
          <w:sz w:val="14"/>
          <w:szCs w:val="14"/>
        </w:rPr>
        <w:t xml:space="preserve">German Property Partners’ </w:t>
      </w:r>
      <w:r>
        <w:rPr>
          <w:b/>
          <w:sz w:val="14"/>
          <w:szCs w:val="14"/>
        </w:rPr>
        <w:t>data protection declaration</w:t>
      </w:r>
      <w:r>
        <w:rPr>
          <w:sz w:val="14"/>
          <w:szCs w:val="14"/>
        </w:rPr>
        <w:t xml:space="preserve"> is available on the GPP website:</w:t>
      </w:r>
      <w:r>
        <w:rPr>
          <w:rFonts w:ascii="Source Sans Pro" w:hAnsi="Source Sans Pro"/>
          <w:sz w:val="14"/>
          <w:szCs w:val="14"/>
        </w:rPr>
        <w:t xml:space="preserve"> </w:t>
      </w:r>
      <w:hyperlink r:id="rId10" w:history="1">
        <w:r>
          <w:rPr>
            <w:rStyle w:val="Hyperlink"/>
            <w:rFonts w:ascii="Source Sans Pro" w:hAnsi="Source Sans Pro"/>
            <w:sz w:val="14"/>
            <w:szCs w:val="14"/>
          </w:rPr>
          <w:t>www.germanpropertypartners.de/datenschutz</w:t>
        </w:r>
      </w:hyperlink>
      <w:r>
        <w:rPr>
          <w:rFonts w:ascii="Source Sans Pro" w:hAnsi="Source Sans Pro"/>
          <w:sz w:val="14"/>
          <w:szCs w:val="14"/>
        </w:rPr>
        <w:t xml:space="preserve">. If in future you would prefer not to receive any more information from the GPP press office, please e-mail us at presse@germanpropertypartners.de quoting as reference "Abmeldung aus Presseverteiler” / “Unsubscribe from press mailing list”. </w:t>
      </w:r>
    </w:p>
    <w:p w14:paraId="7BEB94CE" w14:textId="77777777" w:rsidR="0049485B" w:rsidRPr="00D56A51" w:rsidRDefault="0049485B" w:rsidP="00D56A51">
      <w:pPr>
        <w:pStyle w:val="EinfAbs"/>
        <w:tabs>
          <w:tab w:val="left" w:pos="200"/>
        </w:tabs>
        <w:spacing w:line="220" w:lineRule="exact"/>
        <w:jc w:val="both"/>
        <w:rPr>
          <w:rFonts w:ascii="Source Sans Pro SemiBold" w:hAnsi="Source Sans Pro SemiBold" w:cs="Source Sans Pro"/>
          <w:b/>
          <w:bCs/>
          <w:color w:val="0087A8"/>
          <w:sz w:val="18"/>
          <w:szCs w:val="18"/>
        </w:rPr>
      </w:pPr>
    </w:p>
    <w:sectPr w:rsidR="0049485B" w:rsidRPr="00D56A51" w:rsidSect="001B786B">
      <w:headerReference w:type="default" r:id="rId11"/>
      <w:footerReference w:type="default" r:id="rId12"/>
      <w:headerReference w:type="first" r:id="rId13"/>
      <w:footerReference w:type="first" r:id="rId14"/>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4F381" w14:textId="77777777" w:rsidR="00E94A73" w:rsidRDefault="00E94A73">
      <w:r>
        <w:separator/>
      </w:r>
    </w:p>
  </w:endnote>
  <w:endnote w:type="continuationSeparator" w:id="0">
    <w:p w14:paraId="144662C5" w14:textId="77777777" w:rsidR="00E94A73" w:rsidRDefault="00E9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5568C9B7"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ED01EF">
      <w:rPr>
        <w:rStyle w:val="Seitenzahl"/>
        <w:rFonts w:ascii="Source Sans Pro" w:hAnsi="Source Sans Pro" w:cs="Arial"/>
        <w:noProof/>
        <w:color w:val="0087A8"/>
        <w:sz w:val="18"/>
        <w:szCs w:val="18"/>
      </w:rPr>
      <w:t>3</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ED01EF">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5D199B7F" w14:textId="64D43374"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350802 -588 </w:t>
    </w:r>
  </w:p>
  <w:p w14:paraId="6F9C1B3C" w14:textId="1406C3DE" w:rsidR="00C41C74" w:rsidRPr="005644BE" w:rsidRDefault="00965DEB" w:rsidP="001B786B">
    <w:pPr>
      <w:pStyle w:val="EinfAbs"/>
      <w:tabs>
        <w:tab w:val="left" w:pos="2268"/>
      </w:tabs>
      <w:spacing w:line="220" w:lineRule="exact"/>
      <w:rPr>
        <w:rFonts w:ascii="Source Sans Pro" w:hAnsi="Source Sans Pro" w:cs="Source Sans Pro"/>
        <w:color w:val="0086A8"/>
        <w:sz w:val="18"/>
        <w:szCs w:val="18"/>
      </w:rPr>
    </w:pPr>
    <w:r>
      <w:rPr>
        <w:noProof/>
        <w:lang w:val="de-DE"/>
      </w:rPr>
      <w:drawing>
        <wp:anchor distT="0" distB="0" distL="114300" distR="114300" simplePos="0" relativeHeight="251676672" behindDoc="0" locked="0" layoutInCell="1" allowOverlap="1" wp14:anchorId="74B63C0B" wp14:editId="0C6711F5">
          <wp:simplePos x="0" y="0"/>
          <wp:positionH relativeFrom="page">
            <wp:posOffset>4788535</wp:posOffset>
          </wp:positionH>
          <wp:positionV relativeFrom="page">
            <wp:posOffset>10196195</wp:posOffset>
          </wp:positionV>
          <wp:extent cx="1947600" cy="100800"/>
          <wp:effectExtent l="0" t="0" r="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Corinna Fühner</w:t>
    </w:r>
    <w:r>
      <w:rPr>
        <w:rFonts w:ascii="Source Sans Pro" w:hAnsi="Source Sans Pro"/>
        <w:color w:val="0087A8"/>
        <w:sz w:val="18"/>
        <w:szCs w:val="18"/>
      </w:rPr>
      <w:tab/>
      <w:t>presse@germanpropertypartners.de</w:t>
    </w:r>
    <w:r>
      <w:rPr>
        <w:rStyle w:val="Seitenzahl"/>
      </w:rPr>
      <w:tab/>
    </w:r>
    <w:r>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61645BF1"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ED01EF">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ED01EF">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664ECE5C" w14:textId="66F57D6E"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350802 -588 </w:t>
    </w:r>
  </w:p>
  <w:p w14:paraId="5F7CBAE8" w14:textId="64DE11DF" w:rsidR="001E1829" w:rsidRPr="006456EA" w:rsidRDefault="00965DE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noProof/>
        <w:color w:val="0087A8"/>
        <w:sz w:val="18"/>
        <w:szCs w:val="18"/>
        <w:lang w:val="de-DE"/>
      </w:rPr>
      <w:drawing>
        <wp:anchor distT="0" distB="0" distL="114300" distR="114300" simplePos="0" relativeHeight="251673600" behindDoc="0" locked="0" layoutInCell="1" allowOverlap="1" wp14:anchorId="5D69998A" wp14:editId="68FB5133">
          <wp:simplePos x="0" y="0"/>
          <wp:positionH relativeFrom="page">
            <wp:posOffset>4788535</wp:posOffset>
          </wp:positionH>
          <wp:positionV relativeFrom="page">
            <wp:posOffset>10196195</wp:posOffset>
          </wp:positionV>
          <wp:extent cx="1947600" cy="100800"/>
          <wp:effectExtent l="0" t="0" r="0" b="127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Corinna Fühner</w:t>
    </w:r>
    <w:r>
      <w:rPr>
        <w:rFonts w:ascii="Source Sans Pro" w:hAnsi="Source Sans Pro"/>
        <w:color w:val="0087A8"/>
        <w:sz w:val="18"/>
        <w:szCs w:val="18"/>
      </w:rPr>
      <w:tab/>
      <w:t>presse@germanpropertypartners.de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62EB0" w14:textId="77777777" w:rsidR="00E94A73" w:rsidRDefault="00E94A73">
      <w:r>
        <w:separator/>
      </w:r>
    </w:p>
  </w:footnote>
  <w:footnote w:type="continuationSeparator" w:id="0">
    <w:p w14:paraId="51AED651" w14:textId="77777777" w:rsidR="00E94A73" w:rsidRDefault="00E9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AE73" w14:textId="5A8CA290" w:rsidR="004D2CD0" w:rsidRDefault="00965DEB" w:rsidP="004D2CD0">
    <w:pPr>
      <w:pStyle w:val="Kopfzeile"/>
      <w:tabs>
        <w:tab w:val="clear" w:pos="4536"/>
        <w:tab w:val="clear" w:pos="9072"/>
        <w:tab w:val="left" w:pos="7938"/>
      </w:tabs>
      <w:ind w:right="-2043"/>
    </w:pPr>
    <w:r>
      <w:rPr>
        <w:noProof/>
        <w:lang w:val="de-DE"/>
      </w:rPr>
      <w:drawing>
        <wp:anchor distT="0" distB="0" distL="114300" distR="114300" simplePos="0" relativeHeight="251675648" behindDoc="0" locked="0" layoutInCell="1" allowOverlap="1" wp14:anchorId="08033756" wp14:editId="605ECF66">
          <wp:simplePos x="0" y="0"/>
          <wp:positionH relativeFrom="page">
            <wp:posOffset>5995035</wp:posOffset>
          </wp:positionH>
          <wp:positionV relativeFrom="page">
            <wp:posOffset>100965</wp:posOffset>
          </wp:positionV>
          <wp:extent cx="828000" cy="1065600"/>
          <wp:effectExtent l="0" t="0" r="0" b="127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lang w:val="de-DE"/>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2017D"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" o:allowincell="f" filled="f" stroked="f" strokeweight="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17" w14:textId="0096DDD3" w:rsidR="00C41C74" w:rsidRDefault="007B33CE" w:rsidP="009F28F5">
    <w:pPr>
      <w:pStyle w:val="Kopfzeile"/>
      <w:tabs>
        <w:tab w:val="clear" w:pos="4536"/>
        <w:tab w:val="clear" w:pos="9072"/>
        <w:tab w:val="left" w:pos="7938"/>
      </w:tabs>
      <w:ind w:right="-2043"/>
    </w:pPr>
    <w:r>
      <w:rPr>
        <w:noProof/>
        <w:lang w:val="de-DE"/>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85"/>
    <w:rsid w:val="00000F50"/>
    <w:rsid w:val="00001F24"/>
    <w:rsid w:val="000021F4"/>
    <w:rsid w:val="00004E93"/>
    <w:rsid w:val="000136D7"/>
    <w:rsid w:val="00013C9D"/>
    <w:rsid w:val="00013D73"/>
    <w:rsid w:val="00020AC9"/>
    <w:rsid w:val="00027EA3"/>
    <w:rsid w:val="00032028"/>
    <w:rsid w:val="00034930"/>
    <w:rsid w:val="0003633B"/>
    <w:rsid w:val="000440EB"/>
    <w:rsid w:val="0005029E"/>
    <w:rsid w:val="00050524"/>
    <w:rsid w:val="000610DA"/>
    <w:rsid w:val="00064553"/>
    <w:rsid w:val="000663B5"/>
    <w:rsid w:val="00066A8A"/>
    <w:rsid w:val="0007265C"/>
    <w:rsid w:val="00072A30"/>
    <w:rsid w:val="00073A63"/>
    <w:rsid w:val="00075C3C"/>
    <w:rsid w:val="00077988"/>
    <w:rsid w:val="00077E8A"/>
    <w:rsid w:val="00082C59"/>
    <w:rsid w:val="000865B9"/>
    <w:rsid w:val="00091562"/>
    <w:rsid w:val="0009382E"/>
    <w:rsid w:val="000A0816"/>
    <w:rsid w:val="000A12F9"/>
    <w:rsid w:val="000A4FBB"/>
    <w:rsid w:val="000A6A78"/>
    <w:rsid w:val="000B310B"/>
    <w:rsid w:val="000B48CF"/>
    <w:rsid w:val="000C3A22"/>
    <w:rsid w:val="000C765F"/>
    <w:rsid w:val="000D5A87"/>
    <w:rsid w:val="000D7B09"/>
    <w:rsid w:val="000D7FD3"/>
    <w:rsid w:val="000E194E"/>
    <w:rsid w:val="000E4F2C"/>
    <w:rsid w:val="000E60F7"/>
    <w:rsid w:val="000E6577"/>
    <w:rsid w:val="000E694E"/>
    <w:rsid w:val="000E716C"/>
    <w:rsid w:val="000F4A97"/>
    <w:rsid w:val="000F57F1"/>
    <w:rsid w:val="00100A1C"/>
    <w:rsid w:val="001104E2"/>
    <w:rsid w:val="00110E37"/>
    <w:rsid w:val="0011143B"/>
    <w:rsid w:val="00113D8C"/>
    <w:rsid w:val="00120624"/>
    <w:rsid w:val="001208CE"/>
    <w:rsid w:val="0012156C"/>
    <w:rsid w:val="00131DC5"/>
    <w:rsid w:val="001340F8"/>
    <w:rsid w:val="00143DF8"/>
    <w:rsid w:val="00143FCB"/>
    <w:rsid w:val="00146388"/>
    <w:rsid w:val="00146D3E"/>
    <w:rsid w:val="00147232"/>
    <w:rsid w:val="00150092"/>
    <w:rsid w:val="001550FE"/>
    <w:rsid w:val="00155828"/>
    <w:rsid w:val="00156AF6"/>
    <w:rsid w:val="00156B89"/>
    <w:rsid w:val="00161817"/>
    <w:rsid w:val="00162CC4"/>
    <w:rsid w:val="001647B3"/>
    <w:rsid w:val="00164FEC"/>
    <w:rsid w:val="00166ED2"/>
    <w:rsid w:val="00176433"/>
    <w:rsid w:val="0018092C"/>
    <w:rsid w:val="00184AA3"/>
    <w:rsid w:val="00184BB0"/>
    <w:rsid w:val="001963BB"/>
    <w:rsid w:val="001A145B"/>
    <w:rsid w:val="001A22F5"/>
    <w:rsid w:val="001A26C5"/>
    <w:rsid w:val="001B786B"/>
    <w:rsid w:val="001C0C8F"/>
    <w:rsid w:val="001C32DB"/>
    <w:rsid w:val="001C44E5"/>
    <w:rsid w:val="001C518B"/>
    <w:rsid w:val="001C5C9B"/>
    <w:rsid w:val="001C6DDD"/>
    <w:rsid w:val="001D0F2C"/>
    <w:rsid w:val="001E1829"/>
    <w:rsid w:val="001E5503"/>
    <w:rsid w:val="001F218D"/>
    <w:rsid w:val="001F35E1"/>
    <w:rsid w:val="001F602C"/>
    <w:rsid w:val="00200C83"/>
    <w:rsid w:val="002014F7"/>
    <w:rsid w:val="00202DD3"/>
    <w:rsid w:val="00216C8D"/>
    <w:rsid w:val="00225428"/>
    <w:rsid w:val="0022694F"/>
    <w:rsid w:val="00235393"/>
    <w:rsid w:val="00236619"/>
    <w:rsid w:val="00264A0A"/>
    <w:rsid w:val="00265CA3"/>
    <w:rsid w:val="0028070D"/>
    <w:rsid w:val="00282ED8"/>
    <w:rsid w:val="00285C8D"/>
    <w:rsid w:val="00290672"/>
    <w:rsid w:val="002A09C2"/>
    <w:rsid w:val="002A1D57"/>
    <w:rsid w:val="002A26CB"/>
    <w:rsid w:val="002A480D"/>
    <w:rsid w:val="002A7D58"/>
    <w:rsid w:val="002B0601"/>
    <w:rsid w:val="002B63FD"/>
    <w:rsid w:val="002B749A"/>
    <w:rsid w:val="002C52C5"/>
    <w:rsid w:val="002D1004"/>
    <w:rsid w:val="002D6E58"/>
    <w:rsid w:val="002E1C45"/>
    <w:rsid w:val="002E2673"/>
    <w:rsid w:val="002E5673"/>
    <w:rsid w:val="002F461A"/>
    <w:rsid w:val="002F786B"/>
    <w:rsid w:val="00306932"/>
    <w:rsid w:val="003152C9"/>
    <w:rsid w:val="00315870"/>
    <w:rsid w:val="00316196"/>
    <w:rsid w:val="00322436"/>
    <w:rsid w:val="003250ED"/>
    <w:rsid w:val="0032698C"/>
    <w:rsid w:val="00341D84"/>
    <w:rsid w:val="003424EC"/>
    <w:rsid w:val="0034454C"/>
    <w:rsid w:val="0035171C"/>
    <w:rsid w:val="003527F5"/>
    <w:rsid w:val="00354808"/>
    <w:rsid w:val="00355438"/>
    <w:rsid w:val="00355ED1"/>
    <w:rsid w:val="00361BB2"/>
    <w:rsid w:val="00363075"/>
    <w:rsid w:val="00366AF3"/>
    <w:rsid w:val="00371640"/>
    <w:rsid w:val="00374F87"/>
    <w:rsid w:val="003804EC"/>
    <w:rsid w:val="00392E9E"/>
    <w:rsid w:val="003938C9"/>
    <w:rsid w:val="003948FA"/>
    <w:rsid w:val="003A463F"/>
    <w:rsid w:val="003B0292"/>
    <w:rsid w:val="003B63A8"/>
    <w:rsid w:val="003D346B"/>
    <w:rsid w:val="003D36F0"/>
    <w:rsid w:val="003D5215"/>
    <w:rsid w:val="003D5D91"/>
    <w:rsid w:val="003E772C"/>
    <w:rsid w:val="003F293B"/>
    <w:rsid w:val="003F2F99"/>
    <w:rsid w:val="003F5E07"/>
    <w:rsid w:val="0040331F"/>
    <w:rsid w:val="00403C95"/>
    <w:rsid w:val="0041188F"/>
    <w:rsid w:val="0041789D"/>
    <w:rsid w:val="00420B67"/>
    <w:rsid w:val="00420BA3"/>
    <w:rsid w:val="0042270C"/>
    <w:rsid w:val="00423DAC"/>
    <w:rsid w:val="00425DBF"/>
    <w:rsid w:val="00430DA2"/>
    <w:rsid w:val="004329C6"/>
    <w:rsid w:val="004343B1"/>
    <w:rsid w:val="00434EB9"/>
    <w:rsid w:val="00436DD0"/>
    <w:rsid w:val="00443C1C"/>
    <w:rsid w:val="00453F14"/>
    <w:rsid w:val="00456442"/>
    <w:rsid w:val="00462200"/>
    <w:rsid w:val="00463ADC"/>
    <w:rsid w:val="00472FB1"/>
    <w:rsid w:val="00474099"/>
    <w:rsid w:val="00476554"/>
    <w:rsid w:val="0048369D"/>
    <w:rsid w:val="00491CBC"/>
    <w:rsid w:val="0049485B"/>
    <w:rsid w:val="00496CB5"/>
    <w:rsid w:val="004A2A30"/>
    <w:rsid w:val="004A2D54"/>
    <w:rsid w:val="004A60FB"/>
    <w:rsid w:val="004B15A2"/>
    <w:rsid w:val="004B5CB6"/>
    <w:rsid w:val="004C10E2"/>
    <w:rsid w:val="004C60B1"/>
    <w:rsid w:val="004C616B"/>
    <w:rsid w:val="004D2CD0"/>
    <w:rsid w:val="004D30FB"/>
    <w:rsid w:val="004F1EDD"/>
    <w:rsid w:val="004F77D4"/>
    <w:rsid w:val="00500981"/>
    <w:rsid w:val="00501428"/>
    <w:rsid w:val="0050338A"/>
    <w:rsid w:val="005045E7"/>
    <w:rsid w:val="00505180"/>
    <w:rsid w:val="00510C33"/>
    <w:rsid w:val="005122A0"/>
    <w:rsid w:val="00525C2E"/>
    <w:rsid w:val="0054038E"/>
    <w:rsid w:val="0054593A"/>
    <w:rsid w:val="005512C5"/>
    <w:rsid w:val="00551363"/>
    <w:rsid w:val="00554C9F"/>
    <w:rsid w:val="00557B57"/>
    <w:rsid w:val="005644BE"/>
    <w:rsid w:val="0057524E"/>
    <w:rsid w:val="00575A55"/>
    <w:rsid w:val="005845EB"/>
    <w:rsid w:val="00594FAC"/>
    <w:rsid w:val="005A5999"/>
    <w:rsid w:val="005B572B"/>
    <w:rsid w:val="005B66EC"/>
    <w:rsid w:val="005C0436"/>
    <w:rsid w:val="005C25D5"/>
    <w:rsid w:val="005D0D0E"/>
    <w:rsid w:val="005D449F"/>
    <w:rsid w:val="005D73BE"/>
    <w:rsid w:val="005E1C97"/>
    <w:rsid w:val="005E6515"/>
    <w:rsid w:val="005F1F6B"/>
    <w:rsid w:val="005F3B7B"/>
    <w:rsid w:val="00601A24"/>
    <w:rsid w:val="0060257F"/>
    <w:rsid w:val="00604F63"/>
    <w:rsid w:val="00605989"/>
    <w:rsid w:val="00613713"/>
    <w:rsid w:val="006224FB"/>
    <w:rsid w:val="0063115F"/>
    <w:rsid w:val="00632159"/>
    <w:rsid w:val="006363DA"/>
    <w:rsid w:val="006432C0"/>
    <w:rsid w:val="006456EA"/>
    <w:rsid w:val="00653983"/>
    <w:rsid w:val="006609C2"/>
    <w:rsid w:val="00662564"/>
    <w:rsid w:val="0066478F"/>
    <w:rsid w:val="00672037"/>
    <w:rsid w:val="00673477"/>
    <w:rsid w:val="00675E89"/>
    <w:rsid w:val="00676A8E"/>
    <w:rsid w:val="00695F46"/>
    <w:rsid w:val="006A3C35"/>
    <w:rsid w:val="006A6D11"/>
    <w:rsid w:val="006B201E"/>
    <w:rsid w:val="006B2259"/>
    <w:rsid w:val="006B3ECE"/>
    <w:rsid w:val="006C5754"/>
    <w:rsid w:val="006D6526"/>
    <w:rsid w:val="006E06B2"/>
    <w:rsid w:val="006E06BE"/>
    <w:rsid w:val="006E674D"/>
    <w:rsid w:val="006E6770"/>
    <w:rsid w:val="006F154A"/>
    <w:rsid w:val="006F19C3"/>
    <w:rsid w:val="006F3DDE"/>
    <w:rsid w:val="00701992"/>
    <w:rsid w:val="0070363C"/>
    <w:rsid w:val="00705671"/>
    <w:rsid w:val="00712023"/>
    <w:rsid w:val="007144E9"/>
    <w:rsid w:val="00714A1F"/>
    <w:rsid w:val="00717328"/>
    <w:rsid w:val="0072073D"/>
    <w:rsid w:val="007221C6"/>
    <w:rsid w:val="00740FC6"/>
    <w:rsid w:val="00742C04"/>
    <w:rsid w:val="007446A7"/>
    <w:rsid w:val="0074571D"/>
    <w:rsid w:val="00747CFC"/>
    <w:rsid w:val="00750A05"/>
    <w:rsid w:val="00755E62"/>
    <w:rsid w:val="00767018"/>
    <w:rsid w:val="007713BB"/>
    <w:rsid w:val="00771C92"/>
    <w:rsid w:val="007733D1"/>
    <w:rsid w:val="0078248C"/>
    <w:rsid w:val="00792F6B"/>
    <w:rsid w:val="00795586"/>
    <w:rsid w:val="00797DA3"/>
    <w:rsid w:val="007A4844"/>
    <w:rsid w:val="007B33CE"/>
    <w:rsid w:val="007B7B81"/>
    <w:rsid w:val="007C1429"/>
    <w:rsid w:val="007C1AEC"/>
    <w:rsid w:val="007C5441"/>
    <w:rsid w:val="007D1495"/>
    <w:rsid w:val="007D36B5"/>
    <w:rsid w:val="007D5A52"/>
    <w:rsid w:val="007D5CA1"/>
    <w:rsid w:val="007D75C8"/>
    <w:rsid w:val="007E2C66"/>
    <w:rsid w:val="007E336D"/>
    <w:rsid w:val="007F1021"/>
    <w:rsid w:val="007F2215"/>
    <w:rsid w:val="007F2DBB"/>
    <w:rsid w:val="007F7E7C"/>
    <w:rsid w:val="008053AB"/>
    <w:rsid w:val="00821281"/>
    <w:rsid w:val="00821A81"/>
    <w:rsid w:val="008231BD"/>
    <w:rsid w:val="00825F63"/>
    <w:rsid w:val="008322D8"/>
    <w:rsid w:val="00837E5B"/>
    <w:rsid w:val="00851067"/>
    <w:rsid w:val="00856A7C"/>
    <w:rsid w:val="008739E7"/>
    <w:rsid w:val="00874645"/>
    <w:rsid w:val="00881685"/>
    <w:rsid w:val="008844D9"/>
    <w:rsid w:val="00891C3A"/>
    <w:rsid w:val="00895E64"/>
    <w:rsid w:val="008A0F6B"/>
    <w:rsid w:val="008A3A3B"/>
    <w:rsid w:val="008A7188"/>
    <w:rsid w:val="008B03FB"/>
    <w:rsid w:val="008C4901"/>
    <w:rsid w:val="008D1590"/>
    <w:rsid w:val="008E0A69"/>
    <w:rsid w:val="008F2058"/>
    <w:rsid w:val="00902138"/>
    <w:rsid w:val="00904B69"/>
    <w:rsid w:val="009064CE"/>
    <w:rsid w:val="00912233"/>
    <w:rsid w:val="00914021"/>
    <w:rsid w:val="00917410"/>
    <w:rsid w:val="009264D0"/>
    <w:rsid w:val="00927A31"/>
    <w:rsid w:val="00931F65"/>
    <w:rsid w:val="0093360A"/>
    <w:rsid w:val="009358D3"/>
    <w:rsid w:val="00955433"/>
    <w:rsid w:val="00955764"/>
    <w:rsid w:val="00957A6F"/>
    <w:rsid w:val="0096435C"/>
    <w:rsid w:val="009649C2"/>
    <w:rsid w:val="00965DEB"/>
    <w:rsid w:val="00966A04"/>
    <w:rsid w:val="009738DE"/>
    <w:rsid w:val="00980994"/>
    <w:rsid w:val="00980BEB"/>
    <w:rsid w:val="00980D94"/>
    <w:rsid w:val="00982F7B"/>
    <w:rsid w:val="009843D4"/>
    <w:rsid w:val="009867A7"/>
    <w:rsid w:val="0099076D"/>
    <w:rsid w:val="0099690F"/>
    <w:rsid w:val="00996D38"/>
    <w:rsid w:val="009A10C6"/>
    <w:rsid w:val="009A4503"/>
    <w:rsid w:val="009A461B"/>
    <w:rsid w:val="009B008F"/>
    <w:rsid w:val="009B19A3"/>
    <w:rsid w:val="009C2D11"/>
    <w:rsid w:val="009C3FDE"/>
    <w:rsid w:val="009C4CE9"/>
    <w:rsid w:val="009D0ED9"/>
    <w:rsid w:val="009E7D1D"/>
    <w:rsid w:val="009F28F5"/>
    <w:rsid w:val="009F488A"/>
    <w:rsid w:val="00A0241F"/>
    <w:rsid w:val="00A02C80"/>
    <w:rsid w:val="00A07846"/>
    <w:rsid w:val="00A15A25"/>
    <w:rsid w:val="00A174C8"/>
    <w:rsid w:val="00A17CA6"/>
    <w:rsid w:val="00A22C2C"/>
    <w:rsid w:val="00A22FBF"/>
    <w:rsid w:val="00A23994"/>
    <w:rsid w:val="00A346EF"/>
    <w:rsid w:val="00A36F66"/>
    <w:rsid w:val="00A432CB"/>
    <w:rsid w:val="00A54087"/>
    <w:rsid w:val="00A57024"/>
    <w:rsid w:val="00A57479"/>
    <w:rsid w:val="00A61757"/>
    <w:rsid w:val="00A622E9"/>
    <w:rsid w:val="00A63939"/>
    <w:rsid w:val="00A65690"/>
    <w:rsid w:val="00A65FB0"/>
    <w:rsid w:val="00A66A23"/>
    <w:rsid w:val="00A71D20"/>
    <w:rsid w:val="00A743C6"/>
    <w:rsid w:val="00A8148C"/>
    <w:rsid w:val="00A8249A"/>
    <w:rsid w:val="00A831E7"/>
    <w:rsid w:val="00A85640"/>
    <w:rsid w:val="00A91DC1"/>
    <w:rsid w:val="00A9412B"/>
    <w:rsid w:val="00AA0703"/>
    <w:rsid w:val="00AB0A46"/>
    <w:rsid w:val="00AB116B"/>
    <w:rsid w:val="00AB69AD"/>
    <w:rsid w:val="00AB6CD0"/>
    <w:rsid w:val="00AB7800"/>
    <w:rsid w:val="00AC6B15"/>
    <w:rsid w:val="00AC6CC1"/>
    <w:rsid w:val="00AD2569"/>
    <w:rsid w:val="00AD4124"/>
    <w:rsid w:val="00AE0761"/>
    <w:rsid w:val="00AE07A3"/>
    <w:rsid w:val="00AE0E7B"/>
    <w:rsid w:val="00AE2412"/>
    <w:rsid w:val="00AE318F"/>
    <w:rsid w:val="00AF0066"/>
    <w:rsid w:val="00AF1CCD"/>
    <w:rsid w:val="00AF237D"/>
    <w:rsid w:val="00AF27B7"/>
    <w:rsid w:val="00AF63B5"/>
    <w:rsid w:val="00AF7E7F"/>
    <w:rsid w:val="00B005BD"/>
    <w:rsid w:val="00B03444"/>
    <w:rsid w:val="00B03DB5"/>
    <w:rsid w:val="00B04F23"/>
    <w:rsid w:val="00B0550C"/>
    <w:rsid w:val="00B11724"/>
    <w:rsid w:val="00B14696"/>
    <w:rsid w:val="00B14C16"/>
    <w:rsid w:val="00B14E68"/>
    <w:rsid w:val="00B15CB9"/>
    <w:rsid w:val="00B203AB"/>
    <w:rsid w:val="00B23669"/>
    <w:rsid w:val="00B24860"/>
    <w:rsid w:val="00B33789"/>
    <w:rsid w:val="00B44139"/>
    <w:rsid w:val="00B46BC1"/>
    <w:rsid w:val="00B53D59"/>
    <w:rsid w:val="00B56AFB"/>
    <w:rsid w:val="00B576A5"/>
    <w:rsid w:val="00B66F52"/>
    <w:rsid w:val="00B740CF"/>
    <w:rsid w:val="00B745A1"/>
    <w:rsid w:val="00B83E0A"/>
    <w:rsid w:val="00B862DB"/>
    <w:rsid w:val="00B922EE"/>
    <w:rsid w:val="00B9596E"/>
    <w:rsid w:val="00BA2FA0"/>
    <w:rsid w:val="00BA3D8E"/>
    <w:rsid w:val="00BA40B4"/>
    <w:rsid w:val="00BA49EB"/>
    <w:rsid w:val="00BB0BE0"/>
    <w:rsid w:val="00BB0E4B"/>
    <w:rsid w:val="00BB0F85"/>
    <w:rsid w:val="00BC0132"/>
    <w:rsid w:val="00BC0598"/>
    <w:rsid w:val="00BD0526"/>
    <w:rsid w:val="00BD2784"/>
    <w:rsid w:val="00BD46B2"/>
    <w:rsid w:val="00BF11C6"/>
    <w:rsid w:val="00BF5E1D"/>
    <w:rsid w:val="00C00398"/>
    <w:rsid w:val="00C06DF4"/>
    <w:rsid w:val="00C11004"/>
    <w:rsid w:val="00C111FE"/>
    <w:rsid w:val="00C1497F"/>
    <w:rsid w:val="00C20B9C"/>
    <w:rsid w:val="00C2509E"/>
    <w:rsid w:val="00C26D67"/>
    <w:rsid w:val="00C2778C"/>
    <w:rsid w:val="00C27F6A"/>
    <w:rsid w:val="00C3159C"/>
    <w:rsid w:val="00C35841"/>
    <w:rsid w:val="00C41C74"/>
    <w:rsid w:val="00C43C76"/>
    <w:rsid w:val="00C47B63"/>
    <w:rsid w:val="00C47F8B"/>
    <w:rsid w:val="00C50567"/>
    <w:rsid w:val="00C53FE9"/>
    <w:rsid w:val="00C67F2E"/>
    <w:rsid w:val="00C7165C"/>
    <w:rsid w:val="00C742DD"/>
    <w:rsid w:val="00C846F6"/>
    <w:rsid w:val="00C857CF"/>
    <w:rsid w:val="00C96048"/>
    <w:rsid w:val="00C96214"/>
    <w:rsid w:val="00C9731F"/>
    <w:rsid w:val="00C9797F"/>
    <w:rsid w:val="00CA1FB9"/>
    <w:rsid w:val="00CA73C1"/>
    <w:rsid w:val="00CA79D7"/>
    <w:rsid w:val="00CB7BE6"/>
    <w:rsid w:val="00CC0E23"/>
    <w:rsid w:val="00CC40B9"/>
    <w:rsid w:val="00CC74BD"/>
    <w:rsid w:val="00CD1392"/>
    <w:rsid w:val="00CD7E39"/>
    <w:rsid w:val="00CE2EFB"/>
    <w:rsid w:val="00CE5A10"/>
    <w:rsid w:val="00CF558D"/>
    <w:rsid w:val="00D02FD8"/>
    <w:rsid w:val="00D10832"/>
    <w:rsid w:val="00D11A3A"/>
    <w:rsid w:val="00D3104C"/>
    <w:rsid w:val="00D32309"/>
    <w:rsid w:val="00D40FCC"/>
    <w:rsid w:val="00D42152"/>
    <w:rsid w:val="00D43D89"/>
    <w:rsid w:val="00D50FDD"/>
    <w:rsid w:val="00D513E4"/>
    <w:rsid w:val="00D53B8E"/>
    <w:rsid w:val="00D56A51"/>
    <w:rsid w:val="00D602AC"/>
    <w:rsid w:val="00D6190B"/>
    <w:rsid w:val="00D64CC4"/>
    <w:rsid w:val="00D70824"/>
    <w:rsid w:val="00D7254E"/>
    <w:rsid w:val="00D7447A"/>
    <w:rsid w:val="00D7556F"/>
    <w:rsid w:val="00D75E21"/>
    <w:rsid w:val="00D760A9"/>
    <w:rsid w:val="00D760CF"/>
    <w:rsid w:val="00D925B8"/>
    <w:rsid w:val="00D949D0"/>
    <w:rsid w:val="00DA3B66"/>
    <w:rsid w:val="00DA4453"/>
    <w:rsid w:val="00DA6836"/>
    <w:rsid w:val="00DA733A"/>
    <w:rsid w:val="00DB2417"/>
    <w:rsid w:val="00DC05A3"/>
    <w:rsid w:val="00DC6A0C"/>
    <w:rsid w:val="00DD249D"/>
    <w:rsid w:val="00DD753D"/>
    <w:rsid w:val="00DF3E1E"/>
    <w:rsid w:val="00E01C7D"/>
    <w:rsid w:val="00E03DB3"/>
    <w:rsid w:val="00E06757"/>
    <w:rsid w:val="00E101D5"/>
    <w:rsid w:val="00E10C5C"/>
    <w:rsid w:val="00E1280F"/>
    <w:rsid w:val="00E16F06"/>
    <w:rsid w:val="00E178A3"/>
    <w:rsid w:val="00E17B2C"/>
    <w:rsid w:val="00E22C71"/>
    <w:rsid w:val="00E233EB"/>
    <w:rsid w:val="00E26EA1"/>
    <w:rsid w:val="00E27DEF"/>
    <w:rsid w:val="00E30081"/>
    <w:rsid w:val="00E32743"/>
    <w:rsid w:val="00E342C7"/>
    <w:rsid w:val="00E354F6"/>
    <w:rsid w:val="00E40901"/>
    <w:rsid w:val="00E4317C"/>
    <w:rsid w:val="00E527FB"/>
    <w:rsid w:val="00E53D4C"/>
    <w:rsid w:val="00E609ED"/>
    <w:rsid w:val="00E61E7D"/>
    <w:rsid w:val="00E63703"/>
    <w:rsid w:val="00E64DDC"/>
    <w:rsid w:val="00E704C6"/>
    <w:rsid w:val="00E745BC"/>
    <w:rsid w:val="00E775AC"/>
    <w:rsid w:val="00E77A47"/>
    <w:rsid w:val="00E77B98"/>
    <w:rsid w:val="00E8471E"/>
    <w:rsid w:val="00E84824"/>
    <w:rsid w:val="00E91E8C"/>
    <w:rsid w:val="00E942DA"/>
    <w:rsid w:val="00E94A73"/>
    <w:rsid w:val="00E94EF3"/>
    <w:rsid w:val="00E959E9"/>
    <w:rsid w:val="00E95E00"/>
    <w:rsid w:val="00E97167"/>
    <w:rsid w:val="00EB1611"/>
    <w:rsid w:val="00EB468A"/>
    <w:rsid w:val="00EC01E6"/>
    <w:rsid w:val="00EC1434"/>
    <w:rsid w:val="00EC3DC1"/>
    <w:rsid w:val="00EC4845"/>
    <w:rsid w:val="00EC6CC2"/>
    <w:rsid w:val="00ED01EF"/>
    <w:rsid w:val="00ED1C27"/>
    <w:rsid w:val="00ED5CDF"/>
    <w:rsid w:val="00ED6DCA"/>
    <w:rsid w:val="00EE60C7"/>
    <w:rsid w:val="00EF0944"/>
    <w:rsid w:val="00EF1AB1"/>
    <w:rsid w:val="00EF7BE7"/>
    <w:rsid w:val="00F05141"/>
    <w:rsid w:val="00F07267"/>
    <w:rsid w:val="00F167CB"/>
    <w:rsid w:val="00F16AA1"/>
    <w:rsid w:val="00F2164E"/>
    <w:rsid w:val="00F229FC"/>
    <w:rsid w:val="00F22F9A"/>
    <w:rsid w:val="00F240EB"/>
    <w:rsid w:val="00F25E4C"/>
    <w:rsid w:val="00F30798"/>
    <w:rsid w:val="00F315FE"/>
    <w:rsid w:val="00F31FE6"/>
    <w:rsid w:val="00F40B12"/>
    <w:rsid w:val="00F45BB8"/>
    <w:rsid w:val="00F51DAD"/>
    <w:rsid w:val="00F53EDB"/>
    <w:rsid w:val="00F53F80"/>
    <w:rsid w:val="00F5697E"/>
    <w:rsid w:val="00F673A2"/>
    <w:rsid w:val="00F71A10"/>
    <w:rsid w:val="00F72A3E"/>
    <w:rsid w:val="00F74B67"/>
    <w:rsid w:val="00F7577B"/>
    <w:rsid w:val="00F900AB"/>
    <w:rsid w:val="00F91726"/>
    <w:rsid w:val="00FB0D96"/>
    <w:rsid w:val="00FB3B53"/>
    <w:rsid w:val="00FB551B"/>
    <w:rsid w:val="00FB563F"/>
    <w:rsid w:val="00FB7278"/>
    <w:rsid w:val="00FC69D9"/>
    <w:rsid w:val="00FD03FC"/>
    <w:rsid w:val="00FD0B89"/>
    <w:rsid w:val="00FD28C1"/>
    <w:rsid w:val="00FD7412"/>
    <w:rsid w:val="00FF1703"/>
    <w:rsid w:val="00FF1EF9"/>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746E54"/>
  <w15:docId w15:val="{7AD33F84-8512-439F-91F6-EE91D4C2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Absatz-Standardschriftart"/>
    <w:uiPriority w:val="99"/>
    <w:semiHidden/>
    <w:unhideWhenUsed/>
    <w:rsid w:val="00881685"/>
    <w:rPr>
      <w:color w:val="605E5C"/>
      <w:shd w:val="clear" w:color="auto" w:fill="E1DFDD"/>
    </w:rPr>
  </w:style>
  <w:style w:type="character" w:styleId="BesuchterLink">
    <w:name w:val="FollowedHyperlink"/>
    <w:basedOn w:val="Absatz-Standardschriftart"/>
    <w:uiPriority w:val="99"/>
    <w:semiHidden/>
    <w:unhideWhenUsed/>
    <w:rsid w:val="00881685"/>
    <w:rPr>
      <w:color w:val="954F72" w:themeColor="followedHyperlink"/>
      <w:u w:val="single"/>
    </w:rPr>
  </w:style>
  <w:style w:type="table" w:styleId="Tabellenraster">
    <w:name w:val="Table Grid"/>
    <w:basedOn w:val="NormaleTabelle"/>
    <w:uiPriority w:val="59"/>
    <w:rsid w:val="004A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161817"/>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161817"/>
    <w:rPr>
      <w:rFonts w:asciiTheme="minorHAnsi" w:eastAsiaTheme="minorHAnsi" w:hAnsiTheme="minorHAnsi" w:cstheme="minorBidi"/>
      <w:lang w:eastAsia="en-US"/>
    </w:rPr>
  </w:style>
  <w:style w:type="table" w:customStyle="1" w:styleId="TableGrid1">
    <w:name w:val="Table Grid1"/>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14021"/>
    <w:rPr>
      <w:b/>
      <w:bCs/>
    </w:rPr>
  </w:style>
  <w:style w:type="character" w:styleId="Kommentarzeichen">
    <w:name w:val="annotation reference"/>
    <w:basedOn w:val="Absatz-Standardschriftart"/>
    <w:uiPriority w:val="99"/>
    <w:semiHidden/>
    <w:unhideWhenUsed/>
    <w:rsid w:val="00BD0526"/>
    <w:rPr>
      <w:sz w:val="16"/>
      <w:szCs w:val="16"/>
    </w:rPr>
  </w:style>
  <w:style w:type="paragraph" w:styleId="Kommentarthema">
    <w:name w:val="annotation subject"/>
    <w:basedOn w:val="Kommentartext"/>
    <w:next w:val="Kommentartext"/>
    <w:link w:val="KommentarthemaZchn"/>
    <w:uiPriority w:val="99"/>
    <w:semiHidden/>
    <w:unhideWhenUsed/>
    <w:rsid w:val="00BD0526"/>
    <w:pPr>
      <w:overflowPunct w:val="0"/>
      <w:autoSpaceDE w:val="0"/>
      <w:autoSpaceDN w:val="0"/>
      <w:adjustRightInd w:val="0"/>
      <w:spacing w:after="0"/>
      <w:textAlignment w:val="baseline"/>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BD0526"/>
    <w:rPr>
      <w:rFonts w:asciiTheme="minorHAnsi" w:eastAsiaTheme="minorHAnsi" w:hAnsiTheme="minorHAnsi" w:cstheme="minorBidi"/>
      <w:b/>
      <w:bCs/>
      <w:lang w:eastAsia="en-US"/>
    </w:rPr>
  </w:style>
  <w:style w:type="paragraph" w:styleId="StandardWeb">
    <w:name w:val="Normal (Web)"/>
    <w:basedOn w:val="Standard"/>
    <w:uiPriority w:val="99"/>
    <w:semiHidden/>
    <w:unhideWhenUsed/>
    <w:rsid w:val="00A57479"/>
    <w:pPr>
      <w:overflowPunct/>
      <w:autoSpaceDE/>
      <w:autoSpaceDN/>
      <w:adjustRightInd/>
      <w:spacing w:before="100" w:beforeAutospacing="1" w:after="100" w:afterAutospacing="1"/>
      <w:textAlignment w:val="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284">
      <w:bodyDiv w:val="1"/>
      <w:marLeft w:val="0"/>
      <w:marRight w:val="0"/>
      <w:marTop w:val="0"/>
      <w:marBottom w:val="0"/>
      <w:divBdr>
        <w:top w:val="none" w:sz="0" w:space="0" w:color="auto"/>
        <w:left w:val="none" w:sz="0" w:space="0" w:color="auto"/>
        <w:bottom w:val="none" w:sz="0" w:space="0" w:color="auto"/>
        <w:right w:val="none" w:sz="0" w:space="0" w:color="auto"/>
      </w:divBdr>
    </w:div>
    <w:div w:id="20906016">
      <w:bodyDiv w:val="1"/>
      <w:marLeft w:val="0"/>
      <w:marRight w:val="0"/>
      <w:marTop w:val="0"/>
      <w:marBottom w:val="0"/>
      <w:divBdr>
        <w:top w:val="none" w:sz="0" w:space="0" w:color="auto"/>
        <w:left w:val="none" w:sz="0" w:space="0" w:color="auto"/>
        <w:bottom w:val="none" w:sz="0" w:space="0" w:color="auto"/>
        <w:right w:val="none" w:sz="0" w:space="0" w:color="auto"/>
      </w:divBdr>
    </w:div>
    <w:div w:id="52890432">
      <w:bodyDiv w:val="1"/>
      <w:marLeft w:val="0"/>
      <w:marRight w:val="0"/>
      <w:marTop w:val="0"/>
      <w:marBottom w:val="0"/>
      <w:divBdr>
        <w:top w:val="none" w:sz="0" w:space="0" w:color="auto"/>
        <w:left w:val="none" w:sz="0" w:space="0" w:color="auto"/>
        <w:bottom w:val="none" w:sz="0" w:space="0" w:color="auto"/>
        <w:right w:val="none" w:sz="0" w:space="0" w:color="auto"/>
      </w:divBdr>
    </w:div>
    <w:div w:id="129713543">
      <w:bodyDiv w:val="1"/>
      <w:marLeft w:val="0"/>
      <w:marRight w:val="0"/>
      <w:marTop w:val="0"/>
      <w:marBottom w:val="0"/>
      <w:divBdr>
        <w:top w:val="none" w:sz="0" w:space="0" w:color="auto"/>
        <w:left w:val="none" w:sz="0" w:space="0" w:color="auto"/>
        <w:bottom w:val="none" w:sz="0" w:space="0" w:color="auto"/>
        <w:right w:val="none" w:sz="0" w:space="0" w:color="auto"/>
      </w:divBdr>
    </w:div>
    <w:div w:id="130367766">
      <w:bodyDiv w:val="1"/>
      <w:marLeft w:val="0"/>
      <w:marRight w:val="0"/>
      <w:marTop w:val="0"/>
      <w:marBottom w:val="0"/>
      <w:divBdr>
        <w:top w:val="none" w:sz="0" w:space="0" w:color="auto"/>
        <w:left w:val="none" w:sz="0" w:space="0" w:color="auto"/>
        <w:bottom w:val="none" w:sz="0" w:space="0" w:color="auto"/>
        <w:right w:val="none" w:sz="0" w:space="0" w:color="auto"/>
      </w:divBdr>
    </w:div>
    <w:div w:id="140269726">
      <w:bodyDiv w:val="1"/>
      <w:marLeft w:val="0"/>
      <w:marRight w:val="0"/>
      <w:marTop w:val="0"/>
      <w:marBottom w:val="0"/>
      <w:divBdr>
        <w:top w:val="none" w:sz="0" w:space="0" w:color="auto"/>
        <w:left w:val="none" w:sz="0" w:space="0" w:color="auto"/>
        <w:bottom w:val="none" w:sz="0" w:space="0" w:color="auto"/>
        <w:right w:val="none" w:sz="0" w:space="0" w:color="auto"/>
      </w:divBdr>
    </w:div>
    <w:div w:id="166865472">
      <w:bodyDiv w:val="1"/>
      <w:marLeft w:val="0"/>
      <w:marRight w:val="0"/>
      <w:marTop w:val="0"/>
      <w:marBottom w:val="0"/>
      <w:divBdr>
        <w:top w:val="none" w:sz="0" w:space="0" w:color="auto"/>
        <w:left w:val="none" w:sz="0" w:space="0" w:color="auto"/>
        <w:bottom w:val="none" w:sz="0" w:space="0" w:color="auto"/>
        <w:right w:val="none" w:sz="0" w:space="0" w:color="auto"/>
      </w:divBdr>
    </w:div>
    <w:div w:id="225923546">
      <w:bodyDiv w:val="1"/>
      <w:marLeft w:val="0"/>
      <w:marRight w:val="0"/>
      <w:marTop w:val="0"/>
      <w:marBottom w:val="0"/>
      <w:divBdr>
        <w:top w:val="none" w:sz="0" w:space="0" w:color="auto"/>
        <w:left w:val="none" w:sz="0" w:space="0" w:color="auto"/>
        <w:bottom w:val="none" w:sz="0" w:space="0" w:color="auto"/>
        <w:right w:val="none" w:sz="0" w:space="0" w:color="auto"/>
      </w:divBdr>
    </w:div>
    <w:div w:id="249777068">
      <w:bodyDiv w:val="1"/>
      <w:marLeft w:val="0"/>
      <w:marRight w:val="0"/>
      <w:marTop w:val="0"/>
      <w:marBottom w:val="0"/>
      <w:divBdr>
        <w:top w:val="none" w:sz="0" w:space="0" w:color="auto"/>
        <w:left w:val="none" w:sz="0" w:space="0" w:color="auto"/>
        <w:bottom w:val="none" w:sz="0" w:space="0" w:color="auto"/>
        <w:right w:val="none" w:sz="0" w:space="0" w:color="auto"/>
      </w:divBdr>
    </w:div>
    <w:div w:id="256183454">
      <w:bodyDiv w:val="1"/>
      <w:marLeft w:val="0"/>
      <w:marRight w:val="0"/>
      <w:marTop w:val="0"/>
      <w:marBottom w:val="0"/>
      <w:divBdr>
        <w:top w:val="none" w:sz="0" w:space="0" w:color="auto"/>
        <w:left w:val="none" w:sz="0" w:space="0" w:color="auto"/>
        <w:bottom w:val="none" w:sz="0" w:space="0" w:color="auto"/>
        <w:right w:val="none" w:sz="0" w:space="0" w:color="auto"/>
      </w:divBdr>
    </w:div>
    <w:div w:id="263345515">
      <w:bodyDiv w:val="1"/>
      <w:marLeft w:val="0"/>
      <w:marRight w:val="0"/>
      <w:marTop w:val="0"/>
      <w:marBottom w:val="0"/>
      <w:divBdr>
        <w:top w:val="none" w:sz="0" w:space="0" w:color="auto"/>
        <w:left w:val="none" w:sz="0" w:space="0" w:color="auto"/>
        <w:bottom w:val="none" w:sz="0" w:space="0" w:color="auto"/>
        <w:right w:val="none" w:sz="0" w:space="0" w:color="auto"/>
      </w:divBdr>
    </w:div>
    <w:div w:id="283003208">
      <w:bodyDiv w:val="1"/>
      <w:marLeft w:val="0"/>
      <w:marRight w:val="0"/>
      <w:marTop w:val="0"/>
      <w:marBottom w:val="0"/>
      <w:divBdr>
        <w:top w:val="none" w:sz="0" w:space="0" w:color="auto"/>
        <w:left w:val="none" w:sz="0" w:space="0" w:color="auto"/>
        <w:bottom w:val="none" w:sz="0" w:space="0" w:color="auto"/>
        <w:right w:val="none" w:sz="0" w:space="0" w:color="auto"/>
      </w:divBdr>
    </w:div>
    <w:div w:id="298995698">
      <w:bodyDiv w:val="1"/>
      <w:marLeft w:val="0"/>
      <w:marRight w:val="0"/>
      <w:marTop w:val="0"/>
      <w:marBottom w:val="0"/>
      <w:divBdr>
        <w:top w:val="none" w:sz="0" w:space="0" w:color="auto"/>
        <w:left w:val="none" w:sz="0" w:space="0" w:color="auto"/>
        <w:bottom w:val="none" w:sz="0" w:space="0" w:color="auto"/>
        <w:right w:val="none" w:sz="0" w:space="0" w:color="auto"/>
      </w:divBdr>
    </w:div>
    <w:div w:id="307174008">
      <w:bodyDiv w:val="1"/>
      <w:marLeft w:val="0"/>
      <w:marRight w:val="0"/>
      <w:marTop w:val="0"/>
      <w:marBottom w:val="0"/>
      <w:divBdr>
        <w:top w:val="none" w:sz="0" w:space="0" w:color="auto"/>
        <w:left w:val="none" w:sz="0" w:space="0" w:color="auto"/>
        <w:bottom w:val="none" w:sz="0" w:space="0" w:color="auto"/>
        <w:right w:val="none" w:sz="0" w:space="0" w:color="auto"/>
      </w:divBdr>
    </w:div>
    <w:div w:id="325792233">
      <w:bodyDiv w:val="1"/>
      <w:marLeft w:val="0"/>
      <w:marRight w:val="0"/>
      <w:marTop w:val="0"/>
      <w:marBottom w:val="0"/>
      <w:divBdr>
        <w:top w:val="none" w:sz="0" w:space="0" w:color="auto"/>
        <w:left w:val="none" w:sz="0" w:space="0" w:color="auto"/>
        <w:bottom w:val="none" w:sz="0" w:space="0" w:color="auto"/>
        <w:right w:val="none" w:sz="0" w:space="0" w:color="auto"/>
      </w:divBdr>
    </w:div>
    <w:div w:id="384720654">
      <w:bodyDiv w:val="1"/>
      <w:marLeft w:val="0"/>
      <w:marRight w:val="0"/>
      <w:marTop w:val="0"/>
      <w:marBottom w:val="0"/>
      <w:divBdr>
        <w:top w:val="none" w:sz="0" w:space="0" w:color="auto"/>
        <w:left w:val="none" w:sz="0" w:space="0" w:color="auto"/>
        <w:bottom w:val="none" w:sz="0" w:space="0" w:color="auto"/>
        <w:right w:val="none" w:sz="0" w:space="0" w:color="auto"/>
      </w:divBdr>
    </w:div>
    <w:div w:id="503789940">
      <w:bodyDiv w:val="1"/>
      <w:marLeft w:val="0"/>
      <w:marRight w:val="0"/>
      <w:marTop w:val="0"/>
      <w:marBottom w:val="0"/>
      <w:divBdr>
        <w:top w:val="none" w:sz="0" w:space="0" w:color="auto"/>
        <w:left w:val="none" w:sz="0" w:space="0" w:color="auto"/>
        <w:bottom w:val="none" w:sz="0" w:space="0" w:color="auto"/>
        <w:right w:val="none" w:sz="0" w:space="0" w:color="auto"/>
      </w:divBdr>
    </w:div>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617955011">
      <w:bodyDiv w:val="1"/>
      <w:marLeft w:val="0"/>
      <w:marRight w:val="0"/>
      <w:marTop w:val="0"/>
      <w:marBottom w:val="0"/>
      <w:divBdr>
        <w:top w:val="none" w:sz="0" w:space="0" w:color="auto"/>
        <w:left w:val="none" w:sz="0" w:space="0" w:color="auto"/>
        <w:bottom w:val="none" w:sz="0" w:space="0" w:color="auto"/>
        <w:right w:val="none" w:sz="0" w:space="0" w:color="auto"/>
      </w:divBdr>
    </w:div>
    <w:div w:id="687682844">
      <w:bodyDiv w:val="1"/>
      <w:marLeft w:val="0"/>
      <w:marRight w:val="0"/>
      <w:marTop w:val="0"/>
      <w:marBottom w:val="0"/>
      <w:divBdr>
        <w:top w:val="none" w:sz="0" w:space="0" w:color="auto"/>
        <w:left w:val="none" w:sz="0" w:space="0" w:color="auto"/>
        <w:bottom w:val="none" w:sz="0" w:space="0" w:color="auto"/>
        <w:right w:val="none" w:sz="0" w:space="0" w:color="auto"/>
      </w:divBdr>
    </w:div>
    <w:div w:id="722678590">
      <w:bodyDiv w:val="1"/>
      <w:marLeft w:val="0"/>
      <w:marRight w:val="0"/>
      <w:marTop w:val="0"/>
      <w:marBottom w:val="0"/>
      <w:divBdr>
        <w:top w:val="none" w:sz="0" w:space="0" w:color="auto"/>
        <w:left w:val="none" w:sz="0" w:space="0" w:color="auto"/>
        <w:bottom w:val="none" w:sz="0" w:space="0" w:color="auto"/>
        <w:right w:val="none" w:sz="0" w:space="0" w:color="auto"/>
      </w:divBdr>
    </w:div>
    <w:div w:id="733239987">
      <w:bodyDiv w:val="1"/>
      <w:marLeft w:val="0"/>
      <w:marRight w:val="0"/>
      <w:marTop w:val="0"/>
      <w:marBottom w:val="0"/>
      <w:divBdr>
        <w:top w:val="none" w:sz="0" w:space="0" w:color="auto"/>
        <w:left w:val="none" w:sz="0" w:space="0" w:color="auto"/>
        <w:bottom w:val="none" w:sz="0" w:space="0" w:color="auto"/>
        <w:right w:val="none" w:sz="0" w:space="0" w:color="auto"/>
      </w:divBdr>
    </w:div>
    <w:div w:id="832336942">
      <w:bodyDiv w:val="1"/>
      <w:marLeft w:val="0"/>
      <w:marRight w:val="0"/>
      <w:marTop w:val="0"/>
      <w:marBottom w:val="0"/>
      <w:divBdr>
        <w:top w:val="none" w:sz="0" w:space="0" w:color="auto"/>
        <w:left w:val="none" w:sz="0" w:space="0" w:color="auto"/>
        <w:bottom w:val="none" w:sz="0" w:space="0" w:color="auto"/>
        <w:right w:val="none" w:sz="0" w:space="0" w:color="auto"/>
      </w:divBdr>
    </w:div>
    <w:div w:id="862594428">
      <w:bodyDiv w:val="1"/>
      <w:marLeft w:val="0"/>
      <w:marRight w:val="0"/>
      <w:marTop w:val="0"/>
      <w:marBottom w:val="0"/>
      <w:divBdr>
        <w:top w:val="none" w:sz="0" w:space="0" w:color="auto"/>
        <w:left w:val="none" w:sz="0" w:space="0" w:color="auto"/>
        <w:bottom w:val="none" w:sz="0" w:space="0" w:color="auto"/>
        <w:right w:val="none" w:sz="0" w:space="0" w:color="auto"/>
      </w:divBdr>
    </w:div>
    <w:div w:id="870342932">
      <w:bodyDiv w:val="1"/>
      <w:marLeft w:val="0"/>
      <w:marRight w:val="0"/>
      <w:marTop w:val="0"/>
      <w:marBottom w:val="0"/>
      <w:divBdr>
        <w:top w:val="none" w:sz="0" w:space="0" w:color="auto"/>
        <w:left w:val="none" w:sz="0" w:space="0" w:color="auto"/>
        <w:bottom w:val="none" w:sz="0" w:space="0" w:color="auto"/>
        <w:right w:val="none" w:sz="0" w:space="0" w:color="auto"/>
      </w:divBdr>
    </w:div>
    <w:div w:id="964846342">
      <w:bodyDiv w:val="1"/>
      <w:marLeft w:val="0"/>
      <w:marRight w:val="0"/>
      <w:marTop w:val="0"/>
      <w:marBottom w:val="0"/>
      <w:divBdr>
        <w:top w:val="none" w:sz="0" w:space="0" w:color="auto"/>
        <w:left w:val="none" w:sz="0" w:space="0" w:color="auto"/>
        <w:bottom w:val="none" w:sz="0" w:space="0" w:color="auto"/>
        <w:right w:val="none" w:sz="0" w:space="0" w:color="auto"/>
      </w:divBdr>
    </w:div>
    <w:div w:id="1012417267">
      <w:bodyDiv w:val="1"/>
      <w:marLeft w:val="0"/>
      <w:marRight w:val="0"/>
      <w:marTop w:val="0"/>
      <w:marBottom w:val="0"/>
      <w:divBdr>
        <w:top w:val="none" w:sz="0" w:space="0" w:color="auto"/>
        <w:left w:val="none" w:sz="0" w:space="0" w:color="auto"/>
        <w:bottom w:val="none" w:sz="0" w:space="0" w:color="auto"/>
        <w:right w:val="none" w:sz="0" w:space="0" w:color="auto"/>
      </w:divBdr>
    </w:div>
    <w:div w:id="1024215243">
      <w:bodyDiv w:val="1"/>
      <w:marLeft w:val="0"/>
      <w:marRight w:val="0"/>
      <w:marTop w:val="0"/>
      <w:marBottom w:val="0"/>
      <w:divBdr>
        <w:top w:val="none" w:sz="0" w:space="0" w:color="auto"/>
        <w:left w:val="none" w:sz="0" w:space="0" w:color="auto"/>
        <w:bottom w:val="none" w:sz="0" w:space="0" w:color="auto"/>
        <w:right w:val="none" w:sz="0" w:space="0" w:color="auto"/>
      </w:divBdr>
    </w:div>
    <w:div w:id="1096902077">
      <w:bodyDiv w:val="1"/>
      <w:marLeft w:val="0"/>
      <w:marRight w:val="0"/>
      <w:marTop w:val="0"/>
      <w:marBottom w:val="0"/>
      <w:divBdr>
        <w:top w:val="none" w:sz="0" w:space="0" w:color="auto"/>
        <w:left w:val="none" w:sz="0" w:space="0" w:color="auto"/>
        <w:bottom w:val="none" w:sz="0" w:space="0" w:color="auto"/>
        <w:right w:val="none" w:sz="0" w:space="0" w:color="auto"/>
      </w:divBdr>
    </w:div>
    <w:div w:id="1135293228">
      <w:bodyDiv w:val="1"/>
      <w:marLeft w:val="0"/>
      <w:marRight w:val="0"/>
      <w:marTop w:val="0"/>
      <w:marBottom w:val="0"/>
      <w:divBdr>
        <w:top w:val="none" w:sz="0" w:space="0" w:color="auto"/>
        <w:left w:val="none" w:sz="0" w:space="0" w:color="auto"/>
        <w:bottom w:val="none" w:sz="0" w:space="0" w:color="auto"/>
        <w:right w:val="none" w:sz="0" w:space="0" w:color="auto"/>
      </w:divBdr>
    </w:div>
    <w:div w:id="1156803036">
      <w:bodyDiv w:val="1"/>
      <w:marLeft w:val="0"/>
      <w:marRight w:val="0"/>
      <w:marTop w:val="0"/>
      <w:marBottom w:val="0"/>
      <w:divBdr>
        <w:top w:val="none" w:sz="0" w:space="0" w:color="auto"/>
        <w:left w:val="none" w:sz="0" w:space="0" w:color="auto"/>
        <w:bottom w:val="none" w:sz="0" w:space="0" w:color="auto"/>
        <w:right w:val="none" w:sz="0" w:space="0" w:color="auto"/>
      </w:divBdr>
    </w:div>
    <w:div w:id="1173912029">
      <w:bodyDiv w:val="1"/>
      <w:marLeft w:val="0"/>
      <w:marRight w:val="0"/>
      <w:marTop w:val="0"/>
      <w:marBottom w:val="0"/>
      <w:divBdr>
        <w:top w:val="none" w:sz="0" w:space="0" w:color="auto"/>
        <w:left w:val="none" w:sz="0" w:space="0" w:color="auto"/>
        <w:bottom w:val="none" w:sz="0" w:space="0" w:color="auto"/>
        <w:right w:val="none" w:sz="0" w:space="0" w:color="auto"/>
      </w:divBdr>
    </w:div>
    <w:div w:id="1258097036">
      <w:bodyDiv w:val="1"/>
      <w:marLeft w:val="0"/>
      <w:marRight w:val="0"/>
      <w:marTop w:val="0"/>
      <w:marBottom w:val="0"/>
      <w:divBdr>
        <w:top w:val="none" w:sz="0" w:space="0" w:color="auto"/>
        <w:left w:val="none" w:sz="0" w:space="0" w:color="auto"/>
        <w:bottom w:val="none" w:sz="0" w:space="0" w:color="auto"/>
        <w:right w:val="none" w:sz="0" w:space="0" w:color="auto"/>
      </w:divBdr>
    </w:div>
    <w:div w:id="1368944018">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500341581">
      <w:bodyDiv w:val="1"/>
      <w:marLeft w:val="0"/>
      <w:marRight w:val="0"/>
      <w:marTop w:val="0"/>
      <w:marBottom w:val="0"/>
      <w:divBdr>
        <w:top w:val="none" w:sz="0" w:space="0" w:color="auto"/>
        <w:left w:val="none" w:sz="0" w:space="0" w:color="auto"/>
        <w:bottom w:val="none" w:sz="0" w:space="0" w:color="auto"/>
        <w:right w:val="none" w:sz="0" w:space="0" w:color="auto"/>
      </w:divBdr>
    </w:div>
    <w:div w:id="1511336500">
      <w:bodyDiv w:val="1"/>
      <w:marLeft w:val="0"/>
      <w:marRight w:val="0"/>
      <w:marTop w:val="0"/>
      <w:marBottom w:val="0"/>
      <w:divBdr>
        <w:top w:val="none" w:sz="0" w:space="0" w:color="auto"/>
        <w:left w:val="none" w:sz="0" w:space="0" w:color="auto"/>
        <w:bottom w:val="none" w:sz="0" w:space="0" w:color="auto"/>
        <w:right w:val="none" w:sz="0" w:space="0" w:color="auto"/>
      </w:divBdr>
    </w:div>
    <w:div w:id="1565406087">
      <w:bodyDiv w:val="1"/>
      <w:marLeft w:val="0"/>
      <w:marRight w:val="0"/>
      <w:marTop w:val="0"/>
      <w:marBottom w:val="0"/>
      <w:divBdr>
        <w:top w:val="none" w:sz="0" w:space="0" w:color="auto"/>
        <w:left w:val="none" w:sz="0" w:space="0" w:color="auto"/>
        <w:bottom w:val="none" w:sz="0" w:space="0" w:color="auto"/>
        <w:right w:val="none" w:sz="0" w:space="0" w:color="auto"/>
      </w:divBdr>
    </w:div>
    <w:div w:id="1572353542">
      <w:bodyDiv w:val="1"/>
      <w:marLeft w:val="0"/>
      <w:marRight w:val="0"/>
      <w:marTop w:val="0"/>
      <w:marBottom w:val="0"/>
      <w:divBdr>
        <w:top w:val="none" w:sz="0" w:space="0" w:color="auto"/>
        <w:left w:val="none" w:sz="0" w:space="0" w:color="auto"/>
        <w:bottom w:val="none" w:sz="0" w:space="0" w:color="auto"/>
        <w:right w:val="none" w:sz="0" w:space="0" w:color="auto"/>
      </w:divBdr>
    </w:div>
    <w:div w:id="1595820441">
      <w:bodyDiv w:val="1"/>
      <w:marLeft w:val="0"/>
      <w:marRight w:val="0"/>
      <w:marTop w:val="0"/>
      <w:marBottom w:val="0"/>
      <w:divBdr>
        <w:top w:val="none" w:sz="0" w:space="0" w:color="auto"/>
        <w:left w:val="none" w:sz="0" w:space="0" w:color="auto"/>
        <w:bottom w:val="none" w:sz="0" w:space="0" w:color="auto"/>
        <w:right w:val="none" w:sz="0" w:space="0" w:color="auto"/>
      </w:divBdr>
    </w:div>
    <w:div w:id="1610819925">
      <w:bodyDiv w:val="1"/>
      <w:marLeft w:val="0"/>
      <w:marRight w:val="0"/>
      <w:marTop w:val="0"/>
      <w:marBottom w:val="0"/>
      <w:divBdr>
        <w:top w:val="none" w:sz="0" w:space="0" w:color="auto"/>
        <w:left w:val="none" w:sz="0" w:space="0" w:color="auto"/>
        <w:bottom w:val="none" w:sz="0" w:space="0" w:color="auto"/>
        <w:right w:val="none" w:sz="0" w:space="0" w:color="auto"/>
      </w:divBdr>
    </w:div>
    <w:div w:id="1623879379">
      <w:bodyDiv w:val="1"/>
      <w:marLeft w:val="0"/>
      <w:marRight w:val="0"/>
      <w:marTop w:val="0"/>
      <w:marBottom w:val="0"/>
      <w:divBdr>
        <w:top w:val="none" w:sz="0" w:space="0" w:color="auto"/>
        <w:left w:val="none" w:sz="0" w:space="0" w:color="auto"/>
        <w:bottom w:val="none" w:sz="0" w:space="0" w:color="auto"/>
        <w:right w:val="none" w:sz="0" w:space="0" w:color="auto"/>
      </w:divBdr>
    </w:div>
    <w:div w:id="1629360145">
      <w:bodyDiv w:val="1"/>
      <w:marLeft w:val="0"/>
      <w:marRight w:val="0"/>
      <w:marTop w:val="0"/>
      <w:marBottom w:val="0"/>
      <w:divBdr>
        <w:top w:val="none" w:sz="0" w:space="0" w:color="auto"/>
        <w:left w:val="none" w:sz="0" w:space="0" w:color="auto"/>
        <w:bottom w:val="none" w:sz="0" w:space="0" w:color="auto"/>
        <w:right w:val="none" w:sz="0" w:space="0" w:color="auto"/>
      </w:divBdr>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647466868">
      <w:bodyDiv w:val="1"/>
      <w:marLeft w:val="0"/>
      <w:marRight w:val="0"/>
      <w:marTop w:val="0"/>
      <w:marBottom w:val="0"/>
      <w:divBdr>
        <w:top w:val="none" w:sz="0" w:space="0" w:color="auto"/>
        <w:left w:val="none" w:sz="0" w:space="0" w:color="auto"/>
        <w:bottom w:val="none" w:sz="0" w:space="0" w:color="auto"/>
        <w:right w:val="none" w:sz="0" w:space="0" w:color="auto"/>
      </w:divBdr>
    </w:div>
    <w:div w:id="1676616577">
      <w:bodyDiv w:val="1"/>
      <w:marLeft w:val="0"/>
      <w:marRight w:val="0"/>
      <w:marTop w:val="0"/>
      <w:marBottom w:val="0"/>
      <w:divBdr>
        <w:top w:val="none" w:sz="0" w:space="0" w:color="auto"/>
        <w:left w:val="none" w:sz="0" w:space="0" w:color="auto"/>
        <w:bottom w:val="none" w:sz="0" w:space="0" w:color="auto"/>
        <w:right w:val="none" w:sz="0" w:space="0" w:color="auto"/>
      </w:divBdr>
    </w:div>
    <w:div w:id="1681276891">
      <w:bodyDiv w:val="1"/>
      <w:marLeft w:val="0"/>
      <w:marRight w:val="0"/>
      <w:marTop w:val="0"/>
      <w:marBottom w:val="0"/>
      <w:divBdr>
        <w:top w:val="none" w:sz="0" w:space="0" w:color="auto"/>
        <w:left w:val="none" w:sz="0" w:space="0" w:color="auto"/>
        <w:bottom w:val="none" w:sz="0" w:space="0" w:color="auto"/>
        <w:right w:val="none" w:sz="0" w:space="0" w:color="auto"/>
      </w:divBdr>
    </w:div>
    <w:div w:id="1765493843">
      <w:bodyDiv w:val="1"/>
      <w:marLeft w:val="0"/>
      <w:marRight w:val="0"/>
      <w:marTop w:val="0"/>
      <w:marBottom w:val="0"/>
      <w:divBdr>
        <w:top w:val="none" w:sz="0" w:space="0" w:color="auto"/>
        <w:left w:val="none" w:sz="0" w:space="0" w:color="auto"/>
        <w:bottom w:val="none" w:sz="0" w:space="0" w:color="auto"/>
        <w:right w:val="none" w:sz="0" w:space="0" w:color="auto"/>
      </w:divBdr>
    </w:div>
    <w:div w:id="1775663344">
      <w:bodyDiv w:val="1"/>
      <w:marLeft w:val="0"/>
      <w:marRight w:val="0"/>
      <w:marTop w:val="0"/>
      <w:marBottom w:val="0"/>
      <w:divBdr>
        <w:top w:val="none" w:sz="0" w:space="0" w:color="auto"/>
        <w:left w:val="none" w:sz="0" w:space="0" w:color="auto"/>
        <w:bottom w:val="none" w:sz="0" w:space="0" w:color="auto"/>
        <w:right w:val="none" w:sz="0" w:space="0" w:color="auto"/>
      </w:divBdr>
    </w:div>
    <w:div w:id="1786805109">
      <w:bodyDiv w:val="1"/>
      <w:marLeft w:val="0"/>
      <w:marRight w:val="0"/>
      <w:marTop w:val="0"/>
      <w:marBottom w:val="0"/>
      <w:divBdr>
        <w:top w:val="none" w:sz="0" w:space="0" w:color="auto"/>
        <w:left w:val="none" w:sz="0" w:space="0" w:color="auto"/>
        <w:bottom w:val="none" w:sz="0" w:space="0" w:color="auto"/>
        <w:right w:val="none" w:sz="0" w:space="0" w:color="auto"/>
      </w:divBdr>
    </w:div>
    <w:div w:id="1794902565">
      <w:bodyDiv w:val="1"/>
      <w:marLeft w:val="0"/>
      <w:marRight w:val="0"/>
      <w:marTop w:val="0"/>
      <w:marBottom w:val="0"/>
      <w:divBdr>
        <w:top w:val="none" w:sz="0" w:space="0" w:color="auto"/>
        <w:left w:val="none" w:sz="0" w:space="0" w:color="auto"/>
        <w:bottom w:val="none" w:sz="0" w:space="0" w:color="auto"/>
        <w:right w:val="none" w:sz="0" w:space="0" w:color="auto"/>
      </w:divBdr>
    </w:div>
    <w:div w:id="1816213371">
      <w:bodyDiv w:val="1"/>
      <w:marLeft w:val="0"/>
      <w:marRight w:val="0"/>
      <w:marTop w:val="0"/>
      <w:marBottom w:val="0"/>
      <w:divBdr>
        <w:top w:val="none" w:sz="0" w:space="0" w:color="auto"/>
        <w:left w:val="none" w:sz="0" w:space="0" w:color="auto"/>
        <w:bottom w:val="none" w:sz="0" w:space="0" w:color="auto"/>
        <w:right w:val="none" w:sz="0" w:space="0" w:color="auto"/>
      </w:divBdr>
    </w:div>
    <w:div w:id="1831478547">
      <w:bodyDiv w:val="1"/>
      <w:marLeft w:val="0"/>
      <w:marRight w:val="0"/>
      <w:marTop w:val="0"/>
      <w:marBottom w:val="0"/>
      <w:divBdr>
        <w:top w:val="none" w:sz="0" w:space="0" w:color="auto"/>
        <w:left w:val="none" w:sz="0" w:space="0" w:color="auto"/>
        <w:bottom w:val="none" w:sz="0" w:space="0" w:color="auto"/>
        <w:right w:val="none" w:sz="0" w:space="0" w:color="auto"/>
      </w:divBdr>
    </w:div>
    <w:div w:id="185087054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1907641481">
      <w:bodyDiv w:val="1"/>
      <w:marLeft w:val="0"/>
      <w:marRight w:val="0"/>
      <w:marTop w:val="0"/>
      <w:marBottom w:val="0"/>
      <w:divBdr>
        <w:top w:val="none" w:sz="0" w:space="0" w:color="auto"/>
        <w:left w:val="none" w:sz="0" w:space="0" w:color="auto"/>
        <w:bottom w:val="none" w:sz="0" w:space="0" w:color="auto"/>
        <w:right w:val="none" w:sz="0" w:space="0" w:color="auto"/>
      </w:divBdr>
    </w:div>
    <w:div w:id="1952474722">
      <w:bodyDiv w:val="1"/>
      <w:marLeft w:val="0"/>
      <w:marRight w:val="0"/>
      <w:marTop w:val="0"/>
      <w:marBottom w:val="0"/>
      <w:divBdr>
        <w:top w:val="none" w:sz="0" w:space="0" w:color="auto"/>
        <w:left w:val="none" w:sz="0" w:space="0" w:color="auto"/>
        <w:bottom w:val="none" w:sz="0" w:space="0" w:color="auto"/>
        <w:right w:val="none" w:sz="0" w:space="0" w:color="auto"/>
      </w:divBdr>
    </w:div>
    <w:div w:id="2008244899">
      <w:bodyDiv w:val="1"/>
      <w:marLeft w:val="0"/>
      <w:marRight w:val="0"/>
      <w:marTop w:val="0"/>
      <w:marBottom w:val="0"/>
      <w:divBdr>
        <w:top w:val="none" w:sz="0" w:space="0" w:color="auto"/>
        <w:left w:val="none" w:sz="0" w:space="0" w:color="auto"/>
        <w:bottom w:val="none" w:sz="0" w:space="0" w:color="auto"/>
        <w:right w:val="none" w:sz="0" w:space="0" w:color="auto"/>
      </w:divBdr>
    </w:div>
    <w:div w:id="202134894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 w:id="2102598879">
      <w:bodyDiv w:val="1"/>
      <w:marLeft w:val="0"/>
      <w:marRight w:val="0"/>
      <w:marTop w:val="0"/>
      <w:marBottom w:val="0"/>
      <w:divBdr>
        <w:top w:val="none" w:sz="0" w:space="0" w:color="auto"/>
        <w:left w:val="none" w:sz="0" w:space="0" w:color="auto"/>
        <w:bottom w:val="none" w:sz="0" w:space="0" w:color="auto"/>
        <w:right w:val="none" w:sz="0" w:space="0" w:color="auto"/>
      </w:divBdr>
    </w:div>
    <w:div w:id="2109228878">
      <w:bodyDiv w:val="1"/>
      <w:marLeft w:val="0"/>
      <w:marRight w:val="0"/>
      <w:marTop w:val="0"/>
      <w:marBottom w:val="0"/>
      <w:divBdr>
        <w:top w:val="none" w:sz="0" w:space="0" w:color="auto"/>
        <w:left w:val="none" w:sz="0" w:space="0" w:color="auto"/>
        <w:bottom w:val="none" w:sz="0" w:space="0" w:color="auto"/>
        <w:right w:val="none" w:sz="0" w:space="0" w:color="auto"/>
      </w:divBdr>
    </w:div>
    <w:div w:id="21315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rmanpropertypartners.de/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ermanpropertypartners.de/datenschutz" TargetMode="External"/><Relationship Id="rId4" Type="http://schemas.openxmlformats.org/officeDocument/2006/relationships/webSettings" Target="webSettings.xml"/><Relationship Id="rId9" Type="http://schemas.openxmlformats.org/officeDocument/2006/relationships/hyperlink" Target="http://www.germanpropertypartners.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1D439-D462-4D4A-8C04-330B31B6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7356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OFB-Brief Frankfurt</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subject/>
  <dc:creator>Keller, Yvonne</dc:creator>
  <cp:keywords/>
  <cp:lastModifiedBy>Katharina Koester</cp:lastModifiedBy>
  <cp:revision>2</cp:revision>
  <cp:lastPrinted>2023-01-03T07:55:00Z</cp:lastPrinted>
  <dcterms:created xsi:type="dcterms:W3CDTF">2023-01-04T12:24:00Z</dcterms:created>
  <dcterms:modified xsi:type="dcterms:W3CDTF">2023-01-04T12:24:00Z</dcterms:modified>
</cp:coreProperties>
</file>