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EE728" w14:textId="49D45E6C" w:rsidR="00CA79D7" w:rsidRPr="006456EA" w:rsidRDefault="00F538B6" w:rsidP="00CA79D7">
      <w:pPr>
        <w:pStyle w:val="EinfAbs"/>
        <w:tabs>
          <w:tab w:val="left" w:pos="200"/>
        </w:tabs>
        <w:rPr>
          <w:rFonts w:ascii="Source Sans Pro" w:hAnsi="Source Sans Pro" w:cs="Source Sans Pro"/>
          <w:caps/>
          <w:color w:val="0086A8"/>
          <w:sz w:val="22"/>
          <w:szCs w:val="22"/>
        </w:rPr>
      </w:pPr>
      <w:r>
        <w:rPr>
          <w:rFonts w:ascii="Source Sans Pro" w:hAnsi="Source Sans Pro"/>
          <w:caps/>
          <w:color w:val="0086A8"/>
          <w:sz w:val="22"/>
          <w:szCs w:val="22"/>
        </w:rPr>
        <w:t xml:space="preserve">TOP 7 </w:t>
      </w:r>
      <w:r w:rsidR="00161817">
        <w:rPr>
          <w:rFonts w:ascii="Source Sans Pro" w:hAnsi="Source Sans Pro"/>
          <w:caps/>
          <w:color w:val="0086A8"/>
          <w:sz w:val="22"/>
          <w:szCs w:val="22"/>
        </w:rPr>
        <w:t xml:space="preserve">INVESTMENT MARKETS Q1-3/2022 </w:t>
      </w:r>
    </w:p>
    <w:p w14:paraId="7C2D2599" w14:textId="52142D88" w:rsidR="00CA79D7" w:rsidRDefault="00E61E7D" w:rsidP="003152C9">
      <w:pPr>
        <w:pStyle w:val="EinfAbs"/>
        <w:tabs>
          <w:tab w:val="left" w:pos="200"/>
        </w:tabs>
        <w:spacing w:line="440" w:lineRule="exact"/>
        <w:rPr>
          <w:rFonts w:ascii="Source Sans Pro" w:hAnsi="Source Sans Pro" w:cs="Source Sans Pro"/>
          <w:sz w:val="36"/>
          <w:szCs w:val="36"/>
        </w:rPr>
      </w:pPr>
      <w:r>
        <w:rPr>
          <w:rFonts w:ascii="Source Sans Pro" w:hAnsi="Source Sans Pro"/>
          <w:sz w:val="36"/>
          <w:szCs w:val="36"/>
        </w:rPr>
        <w:t xml:space="preserve">Outlier trades boost volume of transactions higher than previous year </w:t>
      </w:r>
    </w:p>
    <w:p w14:paraId="743073FD" w14:textId="77777777" w:rsidR="003152C9" w:rsidRDefault="003152C9" w:rsidP="003152C9">
      <w:pPr>
        <w:pStyle w:val="EinfAbs"/>
        <w:tabs>
          <w:tab w:val="left" w:pos="200"/>
        </w:tabs>
        <w:spacing w:line="440" w:lineRule="exact"/>
        <w:rPr>
          <w:rFonts w:ascii="Source Sans Pro" w:hAnsi="Source Sans Pro" w:cs="Source Sans Pro"/>
          <w:sz w:val="36"/>
          <w:szCs w:val="36"/>
        </w:rPr>
      </w:pPr>
    </w:p>
    <w:p w14:paraId="1DE5BFC8" w14:textId="7C4CBA15" w:rsidR="00904B69" w:rsidRDefault="0097058A" w:rsidP="00673477">
      <w:pPr>
        <w:pStyle w:val="EinfAbs"/>
        <w:tabs>
          <w:tab w:val="left" w:pos="200"/>
        </w:tabs>
        <w:rPr>
          <w:rFonts w:ascii="Source Sans Pro" w:hAnsi="Source Sans Pro" w:cs="Source Sans Pro"/>
          <w:color w:val="0086A8"/>
          <w:sz w:val="22"/>
          <w:szCs w:val="22"/>
        </w:rPr>
      </w:pPr>
      <w:r>
        <w:rPr>
          <w:rFonts w:ascii="Source Sans Pro" w:hAnsi="Source Sans Pro" w:cs="Source Sans Pro"/>
          <w:noProof/>
          <w:color w:val="0086A8"/>
          <w:sz w:val="22"/>
          <w:szCs w:val="22"/>
          <w:lang w:val="de-DE"/>
        </w:rPr>
        <w:drawing>
          <wp:inline distT="0" distB="0" distL="0" distR="0" wp14:anchorId="268BA613" wp14:editId="065DFB19">
            <wp:extent cx="4077813" cy="2318658"/>
            <wp:effectExtent l="19050" t="19050" r="18415" b="2476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P-top-7-investment-markets-3q22-ta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23388" cy="2344572"/>
                    </a:xfrm>
                    <a:prstGeom prst="rect">
                      <a:avLst/>
                    </a:prstGeom>
                    <a:ln w="3175">
                      <a:solidFill>
                        <a:schemeClr val="tx1"/>
                      </a:solidFill>
                    </a:ln>
                  </pic:spPr>
                </pic:pic>
              </a:graphicData>
            </a:graphic>
          </wp:inline>
        </w:drawing>
      </w:r>
    </w:p>
    <w:p w14:paraId="40B4136E" w14:textId="5A2733FE" w:rsidR="00285C8D" w:rsidRPr="00285C8D" w:rsidRDefault="00673477" w:rsidP="00EE60C7">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olor w:val="0086A8"/>
          <w:sz w:val="22"/>
          <w:szCs w:val="22"/>
        </w:rPr>
        <w:br/>
      </w:r>
      <w:r w:rsidR="00F538B6">
        <w:rPr>
          <w:rFonts w:ascii="Source Sans Pro" w:hAnsi="Source Sans Pro"/>
          <w:color w:val="0086A8"/>
          <w:sz w:val="22"/>
          <w:szCs w:val="22"/>
        </w:rPr>
        <w:t>2022-10-05</w:t>
      </w:r>
      <w:r>
        <w:rPr>
          <w:rFonts w:ascii="Source Sans Pro" w:hAnsi="Source Sans Pro"/>
          <w:color w:val="0087A8"/>
          <w:sz w:val="22"/>
          <w:szCs w:val="22"/>
        </w:rPr>
        <w:t xml:space="preserve">, </w:t>
      </w:r>
      <w:r w:rsidR="00F538B6">
        <w:rPr>
          <w:rFonts w:ascii="Source Sans Pro" w:hAnsi="Source Sans Pro"/>
          <w:color w:val="0087A8"/>
          <w:sz w:val="22"/>
          <w:szCs w:val="22"/>
        </w:rPr>
        <w:t>Hamburg.</w:t>
      </w:r>
      <w:r>
        <w:rPr>
          <w:rFonts w:ascii="Source Sans Pro" w:hAnsi="Source Sans Pro"/>
          <w:color w:val="0086A8"/>
          <w:sz w:val="22"/>
          <w:szCs w:val="22"/>
        </w:rPr>
        <w:t xml:space="preserve"> </w:t>
      </w:r>
      <w:r>
        <w:rPr>
          <w:rFonts w:ascii="Source Sans Pro" w:hAnsi="Source Sans Pro"/>
          <w:color w:val="auto"/>
          <w:sz w:val="22"/>
          <w:szCs w:val="22"/>
        </w:rPr>
        <w:t xml:space="preserve">During the first nine months of 2022 commercial properties located in Germany’s top 7 cities, i.e. Hamburg, Berlin, Düsseldorf, Cologne, Frankfurt, Stuttgart and Munich, changed hands for a total of €20.9bn. At the end of the 3rd quarter, the volume traded was thus slightly higher year on year (+5 %). </w:t>
      </w:r>
      <w:r>
        <w:rPr>
          <w:rFonts w:ascii="Source Sans Pro" w:hAnsi="Source Sans Pro"/>
          <w:sz w:val="22"/>
          <w:szCs w:val="22"/>
        </w:rPr>
        <w:t xml:space="preserve">These findings are contained in a survey compiled by German Property Partners (GPP), the commercial real estate network formed by Grossmann &amp; Berger, Anteon </w:t>
      </w:r>
      <w:proofErr w:type="spellStart"/>
      <w:r>
        <w:rPr>
          <w:rFonts w:ascii="Source Sans Pro" w:hAnsi="Source Sans Pro"/>
          <w:sz w:val="22"/>
          <w:szCs w:val="22"/>
        </w:rPr>
        <w:t>Immobilien</w:t>
      </w:r>
      <w:proofErr w:type="spellEnd"/>
      <w:r>
        <w:rPr>
          <w:rFonts w:ascii="Source Sans Pro" w:hAnsi="Source Sans Pro"/>
          <w:sz w:val="22"/>
          <w:szCs w:val="22"/>
        </w:rPr>
        <w:t xml:space="preserve">, GREIF &amp; CONTZEN </w:t>
      </w:r>
      <w:proofErr w:type="spellStart"/>
      <w:r>
        <w:rPr>
          <w:rFonts w:ascii="Source Sans Pro" w:hAnsi="Source Sans Pro"/>
          <w:sz w:val="22"/>
          <w:szCs w:val="22"/>
        </w:rPr>
        <w:t>Immobilien</w:t>
      </w:r>
      <w:proofErr w:type="spellEnd"/>
      <w:r>
        <w:rPr>
          <w:rFonts w:ascii="Source Sans Pro" w:hAnsi="Source Sans Pro"/>
          <w:sz w:val="22"/>
          <w:szCs w:val="22"/>
        </w:rPr>
        <w:t xml:space="preserve">, </w:t>
      </w:r>
      <w:proofErr w:type="spellStart"/>
      <w:r>
        <w:rPr>
          <w:rFonts w:ascii="Source Sans Pro" w:hAnsi="Source Sans Pro"/>
          <w:sz w:val="22"/>
          <w:szCs w:val="22"/>
        </w:rPr>
        <w:t>blackolive</w:t>
      </w:r>
      <w:proofErr w:type="spellEnd"/>
      <w:r>
        <w:rPr>
          <w:rFonts w:ascii="Source Sans Pro" w:hAnsi="Source Sans Pro"/>
          <w:sz w:val="22"/>
          <w:szCs w:val="22"/>
        </w:rPr>
        <w:t xml:space="preserve"> and E &amp; G Real Estate. </w:t>
      </w:r>
    </w:p>
    <w:p w14:paraId="1F412EB2" w14:textId="77777777" w:rsidR="00285C8D" w:rsidRDefault="00285C8D" w:rsidP="00EE60C7">
      <w:pPr>
        <w:pStyle w:val="EinfAbs"/>
        <w:tabs>
          <w:tab w:val="left" w:pos="200"/>
        </w:tabs>
        <w:snapToGrid w:val="0"/>
        <w:spacing w:line="280" w:lineRule="exact"/>
        <w:jc w:val="both"/>
        <w:rPr>
          <w:rFonts w:ascii="Source Sans Pro" w:hAnsi="Source Sans Pro" w:cs="Source Sans Pro"/>
          <w:color w:val="auto"/>
          <w:sz w:val="22"/>
          <w:szCs w:val="22"/>
        </w:rPr>
      </w:pPr>
    </w:p>
    <w:p w14:paraId="7360E022" w14:textId="52253159" w:rsidR="00AB116B" w:rsidRDefault="00AB116B" w:rsidP="00EE60C7">
      <w:pPr>
        <w:pStyle w:val="EinfAbs"/>
        <w:tabs>
          <w:tab w:val="left" w:pos="200"/>
        </w:tabs>
        <w:snapToGrid w:val="0"/>
        <w:spacing w:line="280" w:lineRule="exact"/>
        <w:jc w:val="both"/>
        <w:rPr>
          <w:rFonts w:ascii="Source Sans Pro" w:hAnsi="Source Sans Pro" w:cs="Source Sans Pro"/>
          <w:color w:val="auto"/>
          <w:sz w:val="22"/>
          <w:szCs w:val="22"/>
        </w:rPr>
      </w:pPr>
      <w:r>
        <w:rPr>
          <w:rFonts w:ascii="Source Sans Pro" w:hAnsi="Source Sans Pro"/>
          <w:i/>
          <w:color w:val="auto"/>
          <w:sz w:val="22"/>
          <w:szCs w:val="22"/>
        </w:rPr>
        <w:t xml:space="preserve">“The result continues to owe much to the record volume traded at the start of the year and to outlier trades in various cities. At the moment, although there is still cash on the market, fewer agreements are being completed. Investors are reticent in view of </w:t>
      </w:r>
      <w:r w:rsidR="009B3DF9">
        <w:rPr>
          <w:rFonts w:ascii="Source Sans Pro" w:hAnsi="Source Sans Pro"/>
          <w:i/>
          <w:color w:val="auto"/>
          <w:sz w:val="22"/>
          <w:szCs w:val="22"/>
        </w:rPr>
        <w:t>appreciable</w:t>
      </w:r>
      <w:r>
        <w:rPr>
          <w:rFonts w:ascii="Source Sans Pro" w:hAnsi="Source Sans Pro"/>
          <w:i/>
          <w:color w:val="auto"/>
          <w:sz w:val="22"/>
          <w:szCs w:val="22"/>
        </w:rPr>
        <w:t xml:space="preserve"> increases in interest rates since August and of the overall political situation,”</w:t>
      </w:r>
      <w:r>
        <w:rPr>
          <w:rFonts w:ascii="Source Sans Pro" w:hAnsi="Source Sans Pro"/>
          <w:color w:val="auto"/>
          <w:sz w:val="22"/>
          <w:szCs w:val="22"/>
        </w:rPr>
        <w:t xml:space="preserve"> says GPP spokesperson </w:t>
      </w:r>
      <w:r>
        <w:rPr>
          <w:rFonts w:ascii="Source Sans Pro" w:hAnsi="Source Sans Pro"/>
          <w:b/>
          <w:color w:val="auto"/>
          <w:sz w:val="22"/>
          <w:szCs w:val="22"/>
        </w:rPr>
        <w:t xml:space="preserve">Andreas </w:t>
      </w:r>
      <w:proofErr w:type="spellStart"/>
      <w:r>
        <w:rPr>
          <w:rFonts w:ascii="Source Sans Pro" w:hAnsi="Source Sans Pro"/>
          <w:b/>
          <w:color w:val="auto"/>
          <w:sz w:val="22"/>
          <w:szCs w:val="22"/>
        </w:rPr>
        <w:t>Rehberg</w:t>
      </w:r>
      <w:proofErr w:type="spellEnd"/>
      <w:r w:rsidRPr="00F538B6">
        <w:rPr>
          <w:rFonts w:ascii="Source Sans Pro" w:hAnsi="Source Sans Pro"/>
          <w:color w:val="auto"/>
          <w:sz w:val="22"/>
          <w:szCs w:val="22"/>
        </w:rPr>
        <w:t>,</w:t>
      </w:r>
      <w:r>
        <w:rPr>
          <w:rFonts w:ascii="Source Sans Pro" w:hAnsi="Source Sans Pro"/>
          <w:color w:val="auto"/>
          <w:sz w:val="22"/>
          <w:szCs w:val="22"/>
        </w:rPr>
        <w:t xml:space="preserve"> commenting the result.</w:t>
      </w:r>
    </w:p>
    <w:p w14:paraId="0423D186" w14:textId="3FEE7BBB" w:rsidR="00895E64" w:rsidRDefault="00895E64" w:rsidP="000136D7">
      <w:pPr>
        <w:pStyle w:val="EinfAbs"/>
        <w:tabs>
          <w:tab w:val="left" w:pos="200"/>
        </w:tabs>
        <w:snapToGrid w:val="0"/>
        <w:spacing w:line="280" w:lineRule="exact"/>
        <w:jc w:val="both"/>
        <w:rPr>
          <w:rFonts w:ascii="Source Sans Pro" w:hAnsi="Source Sans Pro" w:cs="Arial"/>
          <w:bCs/>
          <w:sz w:val="22"/>
          <w:szCs w:val="22"/>
        </w:rPr>
      </w:pPr>
    </w:p>
    <w:p w14:paraId="0E4CB111" w14:textId="5385C00A" w:rsidR="00A85640" w:rsidRPr="00895E64" w:rsidRDefault="00E61E7D" w:rsidP="000136D7">
      <w:pPr>
        <w:pStyle w:val="EinfAbs"/>
        <w:tabs>
          <w:tab w:val="left" w:pos="200"/>
        </w:tabs>
        <w:snapToGrid w:val="0"/>
        <w:spacing w:line="280" w:lineRule="exact"/>
        <w:jc w:val="both"/>
        <w:rPr>
          <w:rFonts w:ascii="Source Sans Pro" w:hAnsi="Source Sans Pro" w:cs="Arial"/>
          <w:bCs/>
          <w:sz w:val="22"/>
          <w:szCs w:val="22"/>
        </w:rPr>
      </w:pPr>
      <w:r>
        <w:rPr>
          <w:rFonts w:ascii="Source Sans Pro" w:hAnsi="Source Sans Pro"/>
          <w:caps/>
          <w:color w:val="0086A8"/>
          <w:sz w:val="22"/>
          <w:szCs w:val="22"/>
        </w:rPr>
        <w:t xml:space="preserve">CONSIDERABLE GROWTH OF TRADING VOLUME IN HAMBURG AND DÜSSELDORF </w:t>
      </w:r>
    </w:p>
    <w:p w14:paraId="7CD43155" w14:textId="77E31751" w:rsidR="00285C8D" w:rsidRDefault="00285C8D" w:rsidP="00821281">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color w:val="auto"/>
          <w:sz w:val="22"/>
          <w:szCs w:val="22"/>
        </w:rPr>
        <w:t xml:space="preserve">By the end of the 3rd quarter the volume traded in Hamburg had reached some €3.9bn - year on year growth of 86 % and the second-highest result ever recorded in the city at the end of a 3rd quarter. </w:t>
      </w:r>
      <w:r>
        <w:rPr>
          <w:rFonts w:ascii="Source Sans Pro" w:hAnsi="Source Sans Pro"/>
          <w:sz w:val="22"/>
          <w:szCs w:val="22"/>
        </w:rPr>
        <w:t xml:space="preserve">This large figure may be traced to take-overs and the acquisition of shareholdings in development projects, including Brookfield’s take-over of </w:t>
      </w:r>
      <w:proofErr w:type="spellStart"/>
      <w:r>
        <w:rPr>
          <w:rFonts w:ascii="Source Sans Pro" w:hAnsi="Source Sans Pro"/>
          <w:sz w:val="22"/>
          <w:szCs w:val="22"/>
        </w:rPr>
        <w:t>alstria</w:t>
      </w:r>
      <w:proofErr w:type="spellEnd"/>
      <w:r>
        <w:rPr>
          <w:rFonts w:ascii="Source Sans Pro" w:hAnsi="Source Sans Pro"/>
          <w:sz w:val="22"/>
          <w:szCs w:val="22"/>
        </w:rPr>
        <w:t xml:space="preserve"> (Q1) and the share in the </w:t>
      </w:r>
      <w:proofErr w:type="spellStart"/>
      <w:r>
        <w:rPr>
          <w:rFonts w:ascii="Source Sans Pro" w:hAnsi="Source Sans Pro"/>
          <w:sz w:val="22"/>
          <w:szCs w:val="22"/>
        </w:rPr>
        <w:t>Elbtower</w:t>
      </w:r>
      <w:proofErr w:type="spellEnd"/>
      <w:r>
        <w:rPr>
          <w:rFonts w:ascii="Source Sans Pro" w:hAnsi="Source Sans Pro"/>
          <w:sz w:val="22"/>
          <w:szCs w:val="22"/>
        </w:rPr>
        <w:t xml:space="preserve"> purchased by </w:t>
      </w:r>
      <w:proofErr w:type="spellStart"/>
      <w:r>
        <w:rPr>
          <w:rFonts w:ascii="Source Sans Pro" w:hAnsi="Source Sans Pro"/>
          <w:sz w:val="22"/>
          <w:szCs w:val="22"/>
        </w:rPr>
        <w:t>Commerz</w:t>
      </w:r>
      <w:proofErr w:type="spellEnd"/>
      <w:r>
        <w:rPr>
          <w:rFonts w:ascii="Source Sans Pro" w:hAnsi="Source Sans Pro"/>
          <w:sz w:val="22"/>
          <w:szCs w:val="22"/>
        </w:rPr>
        <w:t xml:space="preserve"> Real (Q3).</w:t>
      </w:r>
      <w:r>
        <w:rPr>
          <w:rFonts w:ascii="Source Sans Pro" w:hAnsi="Source Sans Pro"/>
          <w:color w:val="auto"/>
          <w:sz w:val="22"/>
          <w:szCs w:val="22"/>
        </w:rPr>
        <w:t xml:space="preserve"> The volume of trading in Düsseldorf also marked a large increase, up by 79 % to €2.4bn. This strong showing was partly due to the </w:t>
      </w:r>
      <w:proofErr w:type="spellStart"/>
      <w:r>
        <w:rPr>
          <w:rFonts w:ascii="Source Sans Pro" w:hAnsi="Source Sans Pro"/>
          <w:color w:val="auto"/>
          <w:sz w:val="22"/>
          <w:szCs w:val="22"/>
        </w:rPr>
        <w:t>alstria</w:t>
      </w:r>
      <w:proofErr w:type="spellEnd"/>
      <w:r>
        <w:rPr>
          <w:rFonts w:ascii="Source Sans Pro" w:hAnsi="Source Sans Pro"/>
          <w:color w:val="auto"/>
          <w:sz w:val="22"/>
          <w:szCs w:val="22"/>
        </w:rPr>
        <w:t xml:space="preserve"> trade and partly to the shareholding in </w:t>
      </w:r>
      <w:proofErr w:type="spellStart"/>
      <w:r>
        <w:rPr>
          <w:rFonts w:ascii="Source Sans Pro" w:hAnsi="Source Sans Pro"/>
          <w:color w:val="auto"/>
          <w:sz w:val="22"/>
          <w:szCs w:val="22"/>
        </w:rPr>
        <w:t>Immofinanz</w:t>
      </w:r>
      <w:proofErr w:type="spellEnd"/>
      <w:r>
        <w:rPr>
          <w:rFonts w:ascii="Source Sans Pro" w:hAnsi="Source Sans Pro"/>
          <w:color w:val="auto"/>
          <w:sz w:val="22"/>
          <w:szCs w:val="22"/>
        </w:rPr>
        <w:t xml:space="preserve"> acquired by CPI (Q1) and some large building land transactions in the 3rd quarter. In Stuttgart the volume traded was €841m, slightly higher year on year (+7 %) but this was also essentially a result of the strong start to the year when the </w:t>
      </w:r>
      <w:proofErr w:type="spellStart"/>
      <w:r>
        <w:rPr>
          <w:rFonts w:ascii="Source Sans Pro" w:hAnsi="Source Sans Pro"/>
          <w:color w:val="auto"/>
          <w:sz w:val="22"/>
          <w:szCs w:val="22"/>
        </w:rPr>
        <w:t>alstria</w:t>
      </w:r>
      <w:proofErr w:type="spellEnd"/>
      <w:r>
        <w:rPr>
          <w:rFonts w:ascii="Source Sans Pro" w:hAnsi="Source Sans Pro"/>
          <w:color w:val="auto"/>
          <w:sz w:val="22"/>
          <w:szCs w:val="22"/>
        </w:rPr>
        <w:t xml:space="preserve"> transaction was completed. </w:t>
      </w:r>
      <w:r>
        <w:rPr>
          <w:rFonts w:ascii="Source Sans Pro" w:hAnsi="Source Sans Pro"/>
          <w:sz w:val="22"/>
          <w:szCs w:val="22"/>
        </w:rPr>
        <w:t>Looking at the 3rd quarter in isolation, the figure for Stuttgart, capital of Baden-Württemberg, is €199m and thus well  below the prior year’s result (-41 %).</w:t>
      </w:r>
    </w:p>
    <w:p w14:paraId="49D779C0" w14:textId="332561A8" w:rsidR="00AA0703" w:rsidRDefault="00AA0703" w:rsidP="00821281">
      <w:pPr>
        <w:pStyle w:val="EinfAbs"/>
        <w:tabs>
          <w:tab w:val="left" w:pos="200"/>
        </w:tabs>
        <w:snapToGrid w:val="0"/>
        <w:spacing w:line="280" w:lineRule="exact"/>
        <w:jc w:val="both"/>
        <w:rPr>
          <w:rFonts w:ascii="Source Sans Pro" w:hAnsi="Source Sans Pro" w:cs="Source Sans Pro"/>
          <w:color w:val="auto"/>
          <w:sz w:val="22"/>
          <w:szCs w:val="22"/>
        </w:rPr>
      </w:pPr>
    </w:p>
    <w:p w14:paraId="0A553386" w14:textId="46B02F1D" w:rsidR="001C44E5" w:rsidRDefault="00AA0703" w:rsidP="00821281">
      <w:pPr>
        <w:pStyle w:val="EinfAbs"/>
        <w:tabs>
          <w:tab w:val="left" w:pos="200"/>
        </w:tabs>
        <w:snapToGrid w:val="0"/>
        <w:spacing w:line="280" w:lineRule="exact"/>
        <w:jc w:val="both"/>
        <w:rPr>
          <w:rFonts w:ascii="Source Sans Pro" w:hAnsi="Source Sans Pro" w:cs="Source Sans Pro"/>
          <w:color w:val="auto"/>
          <w:sz w:val="22"/>
          <w:szCs w:val="22"/>
        </w:rPr>
      </w:pPr>
      <w:r>
        <w:rPr>
          <w:rFonts w:ascii="Source Sans Pro" w:hAnsi="Source Sans Pro"/>
          <w:color w:val="auto"/>
          <w:sz w:val="22"/>
          <w:szCs w:val="22"/>
        </w:rPr>
        <w:t xml:space="preserve">Quarterly results from the other top 7 cities reveal more clearly the wait-and-see attitude adopted by investors. The trading volume dropped most dramatically in Munich (-33 % to €2.5bn), especially by contrast with the strong result in the prior year. This Bavarian city was also the only top 7 location that did not benefit from the huge </w:t>
      </w:r>
      <w:proofErr w:type="spellStart"/>
      <w:r>
        <w:rPr>
          <w:rFonts w:ascii="Source Sans Pro" w:hAnsi="Source Sans Pro"/>
          <w:color w:val="auto"/>
          <w:sz w:val="22"/>
          <w:szCs w:val="22"/>
        </w:rPr>
        <w:t>alstria</w:t>
      </w:r>
      <w:proofErr w:type="spellEnd"/>
      <w:r>
        <w:rPr>
          <w:rFonts w:ascii="Source Sans Pro" w:hAnsi="Source Sans Pro"/>
          <w:color w:val="auto"/>
          <w:sz w:val="22"/>
          <w:szCs w:val="22"/>
        </w:rPr>
        <w:t xml:space="preserve"> transaction. A similar decline was noted in Cologne (-29 % to €850m). Whereas Frankfurt’s half-year result was 75 % higher than in 2021 due to the </w:t>
      </w:r>
      <w:proofErr w:type="spellStart"/>
      <w:r>
        <w:rPr>
          <w:rFonts w:ascii="Source Sans Pro" w:hAnsi="Source Sans Pro"/>
          <w:color w:val="auto"/>
          <w:sz w:val="22"/>
          <w:szCs w:val="22"/>
        </w:rPr>
        <w:t>alstria</w:t>
      </w:r>
      <w:proofErr w:type="spellEnd"/>
      <w:r>
        <w:rPr>
          <w:rFonts w:ascii="Source Sans Pro" w:hAnsi="Source Sans Pro"/>
          <w:color w:val="auto"/>
          <w:sz w:val="22"/>
          <w:szCs w:val="22"/>
        </w:rPr>
        <w:t xml:space="preserve"> outlier a</w:t>
      </w:r>
      <w:r w:rsidR="00F538B6">
        <w:rPr>
          <w:rFonts w:ascii="Source Sans Pro" w:hAnsi="Source Sans Pro"/>
          <w:color w:val="auto"/>
          <w:sz w:val="22"/>
          <w:szCs w:val="22"/>
        </w:rPr>
        <w:t xml:space="preserve">nd the </w:t>
      </w:r>
      <w:proofErr w:type="spellStart"/>
      <w:r w:rsidR="00F538B6">
        <w:rPr>
          <w:rFonts w:ascii="Source Sans Pro" w:hAnsi="Source Sans Pro"/>
          <w:color w:val="auto"/>
          <w:sz w:val="22"/>
          <w:szCs w:val="22"/>
        </w:rPr>
        <w:t>Marienturm</w:t>
      </w:r>
      <w:proofErr w:type="spellEnd"/>
      <w:r>
        <w:rPr>
          <w:rFonts w:ascii="Source Sans Pro" w:hAnsi="Source Sans Pro"/>
          <w:color w:val="auto"/>
          <w:sz w:val="22"/>
          <w:szCs w:val="22"/>
        </w:rPr>
        <w:t xml:space="preserve"> transaction (Q1), by the end of the 3rd quarter the total volume of trades had dipped below the prior year’s figure (-4 % to €4.2bn). Between July and September a mere €625m was invested in real estate in this city on the Main - a year on year drop of 74 %. Thanks to several larger transactions the volume of property traded in Berlin was only just below the prior year’s result (-2 % to €6.3bn).</w:t>
      </w:r>
    </w:p>
    <w:p w14:paraId="7DCA8A5E" w14:textId="77777777" w:rsidR="001C44E5" w:rsidRDefault="001C44E5" w:rsidP="00821281">
      <w:pPr>
        <w:pStyle w:val="EinfAbs"/>
        <w:tabs>
          <w:tab w:val="left" w:pos="200"/>
        </w:tabs>
        <w:snapToGrid w:val="0"/>
        <w:spacing w:line="280" w:lineRule="exact"/>
        <w:jc w:val="both"/>
        <w:rPr>
          <w:rFonts w:ascii="Source Sans Pro" w:hAnsi="Source Sans Pro" w:cs="Source Sans Pro"/>
          <w:color w:val="auto"/>
          <w:sz w:val="22"/>
          <w:szCs w:val="22"/>
        </w:rPr>
      </w:pPr>
    </w:p>
    <w:p w14:paraId="3996DA89" w14:textId="0A678D78" w:rsidR="00BF5E1D" w:rsidRPr="00895E64" w:rsidRDefault="00F53EDB" w:rsidP="00BF5E1D">
      <w:pPr>
        <w:pStyle w:val="EinfAbs"/>
        <w:tabs>
          <w:tab w:val="left" w:pos="200"/>
        </w:tabs>
        <w:snapToGrid w:val="0"/>
        <w:spacing w:line="280" w:lineRule="exact"/>
        <w:jc w:val="both"/>
        <w:rPr>
          <w:rFonts w:ascii="Source Sans Pro" w:hAnsi="Source Sans Pro" w:cs="Arial"/>
          <w:bCs/>
          <w:sz w:val="22"/>
          <w:szCs w:val="22"/>
        </w:rPr>
      </w:pPr>
      <w:r>
        <w:rPr>
          <w:rFonts w:ascii="Source Sans Pro" w:hAnsi="Source Sans Pro"/>
          <w:caps/>
          <w:color w:val="0086A8"/>
          <w:sz w:val="22"/>
          <w:szCs w:val="22"/>
        </w:rPr>
        <w:t xml:space="preserve">GROWING YIELDS IN ALL TOP 7 CITIES </w:t>
      </w:r>
    </w:p>
    <w:p w14:paraId="70304EA2" w14:textId="51BBFB5A" w:rsidR="00000F50" w:rsidRDefault="001A145B" w:rsidP="00BF5E1D">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It would seem that the lengthy period of yield compression has come to an end. </w:t>
      </w:r>
      <w:proofErr w:type="spellStart"/>
      <w:r>
        <w:rPr>
          <w:rFonts w:ascii="Source Sans Pro" w:hAnsi="Source Sans Pro"/>
          <w:b/>
          <w:sz w:val="22"/>
          <w:szCs w:val="22"/>
        </w:rPr>
        <w:t>Rehberg</w:t>
      </w:r>
      <w:proofErr w:type="spellEnd"/>
      <w:r>
        <w:rPr>
          <w:rFonts w:ascii="Source Sans Pro" w:hAnsi="Source Sans Pro"/>
          <w:sz w:val="22"/>
          <w:szCs w:val="22"/>
        </w:rPr>
        <w:t xml:space="preserve"> remarks that, </w:t>
      </w:r>
      <w:r>
        <w:rPr>
          <w:rFonts w:ascii="Source Sans Pro" w:hAnsi="Source Sans Pro"/>
          <w:i/>
          <w:sz w:val="22"/>
          <w:szCs w:val="22"/>
        </w:rPr>
        <w:t>“After many years of steady reductions, prime yields on office and logistics properties are now growing again.”</w:t>
      </w:r>
      <w:r>
        <w:rPr>
          <w:rFonts w:ascii="Source Sans Pro" w:hAnsi="Source Sans Pro"/>
          <w:sz w:val="22"/>
          <w:szCs w:val="22"/>
        </w:rPr>
        <w:t xml:space="preserve"> Year on year the average prime yield on office properties in the top 7 cities rose by 0.31 percentage points to 3.11 %. The most marked rise was in Stuttgart, where the prime yield on offices climbed to 3.50 % (+0.7 percentage points). A clear indication of the rise in prime yields on logistics and industrial real estate may be seen by comparing quarters 2 and 3: at the end of the first half of 2022 the yield was 3.36 % but by the end of the 3rd quarter it had risen to 3.56 %, an increase of 0.2 percentage points within one quarter. The biggest year on year growth, at 0.3 percentage points, was posted by Frankfurt (3.90 %) and Stuttgart (4.00 %). </w:t>
      </w:r>
    </w:p>
    <w:p w14:paraId="43B8E48C" w14:textId="77777777" w:rsidR="00000F50" w:rsidRDefault="00000F50" w:rsidP="00BF5E1D">
      <w:pPr>
        <w:pStyle w:val="EinfAbs"/>
        <w:tabs>
          <w:tab w:val="left" w:pos="200"/>
        </w:tabs>
        <w:snapToGrid w:val="0"/>
        <w:spacing w:line="280" w:lineRule="exact"/>
        <w:jc w:val="both"/>
        <w:rPr>
          <w:rFonts w:ascii="Source Sans Pro" w:hAnsi="Source Sans Pro" w:cs="Source Sans Pro"/>
          <w:sz w:val="22"/>
          <w:szCs w:val="22"/>
        </w:rPr>
      </w:pPr>
    </w:p>
    <w:p w14:paraId="007179A7" w14:textId="5255230F" w:rsidR="00D32309" w:rsidRPr="00792F6B" w:rsidRDefault="00E16F06" w:rsidP="00BF5E1D">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The other market parameters still need to be viewed in the light of the outlier </w:t>
      </w:r>
      <w:proofErr w:type="spellStart"/>
      <w:r>
        <w:rPr>
          <w:rFonts w:ascii="Source Sans Pro" w:hAnsi="Source Sans Pro"/>
          <w:sz w:val="22"/>
          <w:szCs w:val="22"/>
        </w:rPr>
        <w:t>alstria</w:t>
      </w:r>
      <w:proofErr w:type="spellEnd"/>
      <w:r>
        <w:rPr>
          <w:rFonts w:ascii="Source Sans Pro" w:hAnsi="Source Sans Pro"/>
          <w:sz w:val="22"/>
          <w:szCs w:val="22"/>
        </w:rPr>
        <w:t xml:space="preserve"> transaction. Accounting for 73 % of the volume sold (Q3 2021: 60 %), the most-traded properties in the top 7 cities were thus office buildings. Building land and mixed-use properties trailed far behind, each with 7 % of the market. Likewise, the proportion of portfolio trades was correspondingly high at 33 % (Q3 2021: 16 %). International investors, accounting for about 48 % of turnover, (Q3 2021: 35 %) were accordingly active in Germany’s top 7 cities. They were very prominent players in Berlin with 70 % of the market, and least in evidence in Munich with 16 %.  </w:t>
      </w:r>
    </w:p>
    <w:p w14:paraId="471331C2" w14:textId="4D31ECF8" w:rsidR="00A23994" w:rsidRDefault="00E01C7D" w:rsidP="00BF5E1D">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 xml:space="preserve">          </w:t>
      </w:r>
    </w:p>
    <w:p w14:paraId="576031CF" w14:textId="4B601FB7" w:rsidR="00A23994" w:rsidRDefault="00A23994" w:rsidP="00BF5E1D">
      <w:pPr>
        <w:pStyle w:val="EinfAbs"/>
        <w:tabs>
          <w:tab w:val="left" w:pos="200"/>
        </w:tabs>
        <w:snapToGrid w:val="0"/>
        <w:spacing w:line="280" w:lineRule="exact"/>
        <w:jc w:val="both"/>
        <w:rPr>
          <w:rFonts w:ascii="Source Sans Pro" w:hAnsi="Source Sans Pro" w:cs="Source Sans Pro"/>
          <w:caps/>
          <w:color w:val="0086A8"/>
          <w:sz w:val="22"/>
          <w:szCs w:val="22"/>
        </w:rPr>
      </w:pPr>
      <w:r>
        <w:rPr>
          <w:rFonts w:ascii="Source Sans Pro" w:hAnsi="Source Sans Pro"/>
          <w:caps/>
          <w:color w:val="0086A8"/>
          <w:sz w:val="22"/>
          <w:szCs w:val="22"/>
        </w:rPr>
        <w:t>FORECAST: Subdued close to the year</w:t>
      </w:r>
    </w:p>
    <w:p w14:paraId="692559E3" w14:textId="2466683C" w:rsidR="00594FAC" w:rsidRDefault="00594FAC" w:rsidP="00BF5E1D">
      <w:pPr>
        <w:pStyle w:val="EinfAbs"/>
        <w:tabs>
          <w:tab w:val="left" w:pos="200"/>
        </w:tabs>
        <w:snapToGrid w:val="0"/>
        <w:spacing w:line="280" w:lineRule="exact"/>
        <w:jc w:val="both"/>
        <w:rPr>
          <w:rFonts w:ascii="Source Sans Pro" w:hAnsi="Source Sans Pro" w:cs="Source Sans Pro"/>
          <w:sz w:val="22"/>
          <w:szCs w:val="22"/>
        </w:rPr>
      </w:pPr>
      <w:proofErr w:type="spellStart"/>
      <w:r>
        <w:rPr>
          <w:rFonts w:ascii="Source Sans Pro" w:hAnsi="Source Sans Pro"/>
          <w:b/>
          <w:sz w:val="22"/>
          <w:szCs w:val="22"/>
        </w:rPr>
        <w:t>Rehberg</w:t>
      </w:r>
      <w:proofErr w:type="spellEnd"/>
      <w:r>
        <w:rPr>
          <w:rFonts w:ascii="Source Sans Pro" w:hAnsi="Source Sans Pro"/>
          <w:sz w:val="22"/>
          <w:szCs w:val="22"/>
        </w:rPr>
        <w:t xml:space="preserve"> forecasts that at the end of the year,</w:t>
      </w:r>
      <w:r>
        <w:rPr>
          <w:rFonts w:ascii="Source Sans Pro" w:hAnsi="Source Sans Pro"/>
          <w:i/>
          <w:sz w:val="22"/>
          <w:szCs w:val="22"/>
        </w:rPr>
        <w:t xml:space="preserve"> “Investors will concentrate to a greater extent on real estate in core locations and focus especially on office buildings and logistics properties, which promise a stable or rising rental income and very little unoccupied space.”</w:t>
      </w:r>
      <w:r w:rsidR="005E260C">
        <w:rPr>
          <w:rFonts w:ascii="Source Sans Pro" w:hAnsi="Source Sans Pro"/>
          <w:i/>
          <w:sz w:val="22"/>
          <w:szCs w:val="22"/>
        </w:rPr>
        <w:t xml:space="preserve"> </w:t>
      </w:r>
      <w:r>
        <w:rPr>
          <w:rFonts w:ascii="Source Sans Pro" w:hAnsi="Source Sans Pro"/>
          <w:sz w:val="22"/>
          <w:szCs w:val="22"/>
        </w:rPr>
        <w:t>However, he qualifies this statement by adding,</w:t>
      </w:r>
      <w:r>
        <w:rPr>
          <w:rFonts w:ascii="Source Sans Pro" w:hAnsi="Source Sans Pro"/>
          <w:i/>
          <w:sz w:val="22"/>
          <w:szCs w:val="22"/>
        </w:rPr>
        <w:t xml:space="preserve"> “Further rises in interest rates, possible price adjustments and a low number of reference transactions will make the decision-making process more difficult in the long term, especially for investors with borrowing requirements.</w:t>
      </w:r>
      <w:r>
        <w:rPr>
          <w:rFonts w:ascii="Source Sans Pro" w:hAnsi="Source Sans Pro"/>
          <w:sz w:val="22"/>
          <w:szCs w:val="22"/>
        </w:rPr>
        <w:t xml:space="preserve"> </w:t>
      </w:r>
      <w:r>
        <w:rPr>
          <w:rFonts w:ascii="Source Sans Pro" w:hAnsi="Source Sans Pro"/>
          <w:i/>
          <w:sz w:val="22"/>
          <w:szCs w:val="22"/>
        </w:rPr>
        <w:t>A spectacular year-end rally is thus unlikely.”</w:t>
      </w:r>
      <w:r>
        <w:rPr>
          <w:rFonts w:ascii="Source Sans Pro" w:hAnsi="Source Sans Pro"/>
          <w:sz w:val="22"/>
          <w:szCs w:val="22"/>
        </w:rPr>
        <w:br/>
      </w:r>
    </w:p>
    <w:p w14:paraId="568BE1E4" w14:textId="438F634C" w:rsidR="00184AA3" w:rsidRDefault="00184AA3" w:rsidP="00BF5E1D">
      <w:pPr>
        <w:pStyle w:val="EinfAbs"/>
        <w:tabs>
          <w:tab w:val="left" w:pos="200"/>
        </w:tabs>
        <w:snapToGrid w:val="0"/>
        <w:spacing w:line="280" w:lineRule="exact"/>
        <w:jc w:val="both"/>
        <w:rPr>
          <w:rFonts w:ascii="Source Sans Pro" w:hAnsi="Source Sans Pro" w:cs="Source Sans Pro"/>
          <w:sz w:val="22"/>
          <w:szCs w:val="22"/>
        </w:rPr>
      </w:pPr>
      <w:r>
        <w:rPr>
          <w:rFonts w:ascii="Source Sans Pro" w:hAnsi="Source Sans Pro"/>
          <w:sz w:val="22"/>
          <w:szCs w:val="22"/>
        </w:rPr>
        <w:t>Some large-volume core transactions are likely to be concluded this year, particularly in Cologne, Frankfurt, Stuttgart and Munich. GPP forecasts that the volume of transactions will total some €27bn by the end of the year - well below the five-year average of €34.2bn.</w:t>
      </w:r>
      <w:r>
        <w:rPr>
          <w:rFonts w:ascii="Source Sans Pro" w:hAnsi="Source Sans Pro"/>
          <w:sz w:val="22"/>
          <w:szCs w:val="22"/>
        </w:rPr>
        <w:br/>
      </w:r>
    </w:p>
    <w:p w14:paraId="6EE12589" w14:textId="77777777" w:rsidR="004B1B59" w:rsidRPr="00000F50" w:rsidRDefault="004B1B59" w:rsidP="00BF5E1D">
      <w:pPr>
        <w:pStyle w:val="EinfAbs"/>
        <w:tabs>
          <w:tab w:val="left" w:pos="200"/>
        </w:tabs>
        <w:snapToGrid w:val="0"/>
        <w:spacing w:line="280" w:lineRule="exact"/>
        <w:jc w:val="both"/>
        <w:rPr>
          <w:rFonts w:ascii="Source Sans Pro" w:hAnsi="Source Sans Pro" w:cs="Source Sans Pro"/>
          <w:sz w:val="22"/>
          <w:szCs w:val="22"/>
        </w:rPr>
      </w:pPr>
    </w:p>
    <w:p w14:paraId="5CED34B8" w14:textId="63A77A51" w:rsidR="00161817" w:rsidRPr="00161817" w:rsidRDefault="001C0C8F" w:rsidP="00EF0944">
      <w:pPr>
        <w:overflowPunct/>
        <w:autoSpaceDE/>
        <w:autoSpaceDN/>
        <w:adjustRightInd/>
        <w:textAlignment w:val="auto"/>
        <w:rPr>
          <w:rFonts w:ascii="Source Sans Pro" w:hAnsi="Source Sans Pro" w:cs="Arial"/>
          <w:b/>
          <w:sz w:val="20"/>
        </w:rPr>
      </w:pPr>
      <w:r>
        <w:rPr>
          <w:rFonts w:ascii="Source Sans Pro" w:hAnsi="Source Sans Pro"/>
          <w:b/>
          <w:sz w:val="20"/>
        </w:rPr>
        <w:lastRenderedPageBreak/>
        <w:t xml:space="preserve">Top 10 known agreements | top 7 </w:t>
      </w:r>
      <w:r w:rsidR="00490237">
        <w:rPr>
          <w:rFonts w:ascii="Source Sans Pro" w:hAnsi="Source Sans Pro"/>
          <w:b/>
          <w:sz w:val="20"/>
        </w:rPr>
        <w:t>cities</w:t>
      </w:r>
      <w:r>
        <w:rPr>
          <w:rFonts w:ascii="Source Sans Pro" w:hAnsi="Source Sans Pro"/>
          <w:b/>
          <w:sz w:val="20"/>
        </w:rPr>
        <w:t xml:space="preserve"> | </w:t>
      </w:r>
      <w:r w:rsidR="00490237">
        <w:rPr>
          <w:rFonts w:ascii="Source Sans Pro" w:hAnsi="Source Sans Pro"/>
          <w:b/>
          <w:sz w:val="20"/>
        </w:rPr>
        <w:t>Q1-3</w:t>
      </w:r>
      <w:r>
        <w:rPr>
          <w:rFonts w:ascii="Source Sans Pro" w:hAnsi="Source Sans Pro"/>
          <w:b/>
          <w:sz w:val="20"/>
        </w:rPr>
        <w:t xml:space="preserve"> 2022</w:t>
      </w:r>
    </w:p>
    <w:tbl>
      <w:tblPr>
        <w:tblStyle w:val="TableGrid1"/>
        <w:tblW w:w="9231" w:type="dxa"/>
        <w:tblLayout w:type="fixed"/>
        <w:tblLook w:val="04A0" w:firstRow="1" w:lastRow="0" w:firstColumn="1" w:lastColumn="0" w:noHBand="0" w:noVBand="1"/>
      </w:tblPr>
      <w:tblGrid>
        <w:gridCol w:w="687"/>
        <w:gridCol w:w="2682"/>
        <w:gridCol w:w="2658"/>
        <w:gridCol w:w="2190"/>
        <w:gridCol w:w="1014"/>
      </w:tblGrid>
      <w:tr w:rsidR="00161817" w:rsidRPr="00161817" w14:paraId="113FCC50" w14:textId="77777777" w:rsidTr="009E6C40">
        <w:trPr>
          <w:trHeight w:val="552"/>
        </w:trPr>
        <w:tc>
          <w:tcPr>
            <w:tcW w:w="687" w:type="dxa"/>
            <w:shd w:val="clear" w:color="auto" w:fill="auto"/>
            <w:vAlign w:val="center"/>
          </w:tcPr>
          <w:p w14:paraId="130C696A"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City</w:t>
            </w:r>
          </w:p>
        </w:tc>
        <w:tc>
          <w:tcPr>
            <w:tcW w:w="2682" w:type="dxa"/>
            <w:shd w:val="clear" w:color="auto" w:fill="auto"/>
            <w:vAlign w:val="center"/>
          </w:tcPr>
          <w:p w14:paraId="5E34B091"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Project/property</w:t>
            </w:r>
          </w:p>
        </w:tc>
        <w:tc>
          <w:tcPr>
            <w:tcW w:w="2658" w:type="dxa"/>
            <w:shd w:val="clear" w:color="auto" w:fill="auto"/>
            <w:vAlign w:val="center"/>
          </w:tcPr>
          <w:p w14:paraId="26669932"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Buyer/investor</w:t>
            </w:r>
          </w:p>
        </w:tc>
        <w:tc>
          <w:tcPr>
            <w:tcW w:w="2190" w:type="dxa"/>
            <w:shd w:val="clear" w:color="auto" w:fill="auto"/>
            <w:vAlign w:val="center"/>
          </w:tcPr>
          <w:p w14:paraId="490FE9EE"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Vendor</w:t>
            </w:r>
          </w:p>
        </w:tc>
        <w:tc>
          <w:tcPr>
            <w:tcW w:w="1014" w:type="dxa"/>
            <w:shd w:val="clear" w:color="auto" w:fill="auto"/>
            <w:vAlign w:val="center"/>
          </w:tcPr>
          <w:p w14:paraId="028E3657" w14:textId="77777777" w:rsidR="00161817" w:rsidRPr="00161817" w:rsidRDefault="00161817" w:rsidP="009E6C40">
            <w:pPr>
              <w:widowControl w:val="0"/>
              <w:jc w:val="center"/>
              <w:rPr>
                <w:rFonts w:ascii="Source Sans Pro" w:hAnsi="Source Sans Pro" w:cs="Arial"/>
                <w:b/>
                <w:sz w:val="16"/>
                <w:szCs w:val="16"/>
              </w:rPr>
            </w:pPr>
            <w:proofErr w:type="spellStart"/>
            <w:r>
              <w:rPr>
                <w:rFonts w:ascii="Source Sans Pro" w:hAnsi="Source Sans Pro"/>
                <w:b/>
                <w:sz w:val="16"/>
                <w:szCs w:val="16"/>
              </w:rPr>
              <w:t>Pur</w:t>
            </w:r>
            <w:proofErr w:type="spellEnd"/>
            <w:r>
              <w:rPr>
                <w:rFonts w:ascii="Source Sans Pro" w:hAnsi="Source Sans Pro"/>
                <w:b/>
                <w:sz w:val="16"/>
                <w:szCs w:val="16"/>
              </w:rPr>
              <w:t>. price*</w:t>
            </w:r>
          </w:p>
          <w:p w14:paraId="24C76A25"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sz w:val="16"/>
                <w:szCs w:val="16"/>
              </w:rPr>
              <w:t>(about €m)</w:t>
            </w:r>
          </w:p>
        </w:tc>
      </w:tr>
      <w:tr w:rsidR="008E0A69" w:rsidRPr="00161817" w14:paraId="27C03D98" w14:textId="77777777" w:rsidTr="00F40B12">
        <w:trPr>
          <w:trHeight w:val="552"/>
        </w:trPr>
        <w:tc>
          <w:tcPr>
            <w:tcW w:w="687" w:type="dxa"/>
            <w:shd w:val="clear" w:color="auto" w:fill="auto"/>
            <w:vAlign w:val="center"/>
          </w:tcPr>
          <w:p w14:paraId="70E96E9C" w14:textId="3E586529" w:rsidR="008E0A69" w:rsidRDefault="00462200" w:rsidP="009E6C40">
            <w:pPr>
              <w:widowControl w:val="0"/>
              <w:jc w:val="center"/>
              <w:rPr>
                <w:rFonts w:ascii="Source Sans Pro" w:hAnsi="Source Sans Pro" w:cs="Arial"/>
                <w:sz w:val="16"/>
                <w:szCs w:val="16"/>
              </w:rPr>
            </w:pPr>
            <w:r>
              <w:rPr>
                <w:rFonts w:ascii="Source Sans Pro" w:hAnsi="Source Sans Pro"/>
                <w:sz w:val="16"/>
                <w:szCs w:val="16"/>
              </w:rPr>
              <w:t>FFM</w:t>
            </w:r>
          </w:p>
        </w:tc>
        <w:tc>
          <w:tcPr>
            <w:tcW w:w="2682" w:type="dxa"/>
            <w:shd w:val="clear" w:color="auto" w:fill="auto"/>
            <w:vAlign w:val="center"/>
          </w:tcPr>
          <w:p w14:paraId="464553CD" w14:textId="0D42BA5C" w:rsidR="008E0A69" w:rsidRDefault="00462200" w:rsidP="009E6C40">
            <w:pPr>
              <w:widowControl w:val="0"/>
              <w:jc w:val="center"/>
              <w:rPr>
                <w:rFonts w:ascii="Source Sans Pro" w:hAnsi="Source Sans Pro" w:cs="Arial"/>
                <w:sz w:val="16"/>
                <w:szCs w:val="16"/>
              </w:rPr>
            </w:pPr>
            <w:proofErr w:type="spellStart"/>
            <w:r>
              <w:rPr>
                <w:rFonts w:ascii="Source Sans Pro" w:hAnsi="Source Sans Pro"/>
                <w:sz w:val="16"/>
                <w:szCs w:val="16"/>
              </w:rPr>
              <w:t>Marienturm</w:t>
            </w:r>
            <w:proofErr w:type="spellEnd"/>
            <w:r>
              <w:rPr>
                <w:rFonts w:ascii="Source Sans Pro" w:hAnsi="Source Sans Pro"/>
                <w:sz w:val="16"/>
                <w:szCs w:val="16"/>
              </w:rPr>
              <w:t xml:space="preserve">, </w:t>
            </w:r>
            <w:proofErr w:type="spellStart"/>
            <w:r>
              <w:rPr>
                <w:rFonts w:ascii="Source Sans Pro" w:hAnsi="Source Sans Pro"/>
                <w:sz w:val="16"/>
                <w:szCs w:val="16"/>
              </w:rPr>
              <w:t>Taunusanlage</w:t>
            </w:r>
            <w:proofErr w:type="spellEnd"/>
            <w:r>
              <w:rPr>
                <w:rFonts w:ascii="Source Sans Pro" w:hAnsi="Source Sans Pro"/>
                <w:sz w:val="16"/>
                <w:szCs w:val="16"/>
              </w:rPr>
              <w:t xml:space="preserve"> 9+10</w:t>
            </w:r>
          </w:p>
        </w:tc>
        <w:tc>
          <w:tcPr>
            <w:tcW w:w="2658" w:type="dxa"/>
            <w:shd w:val="clear" w:color="auto" w:fill="auto"/>
            <w:vAlign w:val="center"/>
          </w:tcPr>
          <w:p w14:paraId="6CACC67F" w14:textId="530CD1E5" w:rsidR="008E0A69" w:rsidRDefault="00462200" w:rsidP="009E6C40">
            <w:pPr>
              <w:widowControl w:val="0"/>
              <w:jc w:val="center"/>
              <w:rPr>
                <w:rFonts w:ascii="Source Sans Pro" w:hAnsi="Source Sans Pro" w:cs="Arial"/>
                <w:sz w:val="16"/>
                <w:szCs w:val="16"/>
              </w:rPr>
            </w:pPr>
            <w:r>
              <w:rPr>
                <w:rFonts w:ascii="Source Sans Pro" w:hAnsi="Source Sans Pro"/>
                <w:sz w:val="16"/>
                <w:szCs w:val="16"/>
              </w:rPr>
              <w:t>DWS for the National Pension Service of Korea (NPS)</w:t>
            </w:r>
          </w:p>
        </w:tc>
        <w:tc>
          <w:tcPr>
            <w:tcW w:w="2190" w:type="dxa"/>
            <w:shd w:val="clear" w:color="auto" w:fill="auto"/>
            <w:vAlign w:val="center"/>
          </w:tcPr>
          <w:p w14:paraId="3B47ECF9" w14:textId="585902FF" w:rsidR="008E0A69" w:rsidRDefault="00462200" w:rsidP="009E6C40">
            <w:pPr>
              <w:widowControl w:val="0"/>
              <w:jc w:val="center"/>
              <w:rPr>
                <w:rFonts w:ascii="Source Sans Pro" w:hAnsi="Source Sans Pro" w:cs="Arial"/>
                <w:sz w:val="16"/>
                <w:szCs w:val="16"/>
              </w:rPr>
            </w:pPr>
            <w:proofErr w:type="spellStart"/>
            <w:r>
              <w:rPr>
                <w:rFonts w:ascii="Source Sans Pro" w:hAnsi="Source Sans Pro"/>
                <w:sz w:val="16"/>
                <w:szCs w:val="16"/>
              </w:rPr>
              <w:t>Aermont</w:t>
            </w:r>
            <w:proofErr w:type="spellEnd"/>
            <w:r>
              <w:rPr>
                <w:rFonts w:ascii="Source Sans Pro" w:hAnsi="Source Sans Pro"/>
                <w:sz w:val="16"/>
                <w:szCs w:val="16"/>
              </w:rPr>
              <w:t xml:space="preserve"> Capital /  PWREF II fund managed by </w:t>
            </w:r>
            <w:proofErr w:type="spellStart"/>
            <w:r>
              <w:rPr>
                <w:rFonts w:ascii="Source Sans Pro" w:hAnsi="Source Sans Pro"/>
                <w:sz w:val="16"/>
                <w:szCs w:val="16"/>
              </w:rPr>
              <w:t>Perella</w:t>
            </w:r>
            <w:proofErr w:type="spellEnd"/>
            <w:r>
              <w:rPr>
                <w:rFonts w:ascii="Source Sans Pro" w:hAnsi="Source Sans Pro"/>
                <w:sz w:val="16"/>
                <w:szCs w:val="16"/>
              </w:rPr>
              <w:t xml:space="preserve"> Weinberg</w:t>
            </w:r>
          </w:p>
        </w:tc>
        <w:tc>
          <w:tcPr>
            <w:tcW w:w="1014" w:type="dxa"/>
            <w:shd w:val="clear" w:color="auto" w:fill="auto"/>
            <w:vAlign w:val="center"/>
          </w:tcPr>
          <w:p w14:paraId="515AE998" w14:textId="2C408512" w:rsidR="008E0A69" w:rsidRDefault="00462200" w:rsidP="00462200">
            <w:pPr>
              <w:widowControl w:val="0"/>
              <w:jc w:val="center"/>
              <w:rPr>
                <w:rFonts w:ascii="Source Sans Pro" w:hAnsi="Source Sans Pro" w:cs="Arial"/>
                <w:sz w:val="16"/>
                <w:szCs w:val="16"/>
              </w:rPr>
            </w:pPr>
            <w:r>
              <w:rPr>
                <w:rFonts w:ascii="Source Sans Pro" w:hAnsi="Source Sans Pro"/>
                <w:sz w:val="16"/>
                <w:szCs w:val="16"/>
              </w:rPr>
              <w:t>±800</w:t>
            </w:r>
          </w:p>
        </w:tc>
      </w:tr>
      <w:tr w:rsidR="00FD0B89" w:rsidRPr="00161817" w14:paraId="62157268" w14:textId="77777777" w:rsidTr="00E10C5C">
        <w:trPr>
          <w:trHeight w:val="552"/>
        </w:trPr>
        <w:tc>
          <w:tcPr>
            <w:tcW w:w="687" w:type="dxa"/>
            <w:shd w:val="clear" w:color="auto" w:fill="auto"/>
            <w:vAlign w:val="center"/>
          </w:tcPr>
          <w:p w14:paraId="5341C31F" w14:textId="7C6596D4" w:rsidR="00FD0B89" w:rsidRDefault="00FD0B89" w:rsidP="009E6C40">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auto"/>
            <w:vAlign w:val="center"/>
          </w:tcPr>
          <w:p w14:paraId="1CE76131" w14:textId="7EEE1730" w:rsidR="00FD0B89" w:rsidRPr="00462200" w:rsidRDefault="00A15A25" w:rsidP="009E6C40">
            <w:pPr>
              <w:widowControl w:val="0"/>
              <w:jc w:val="center"/>
              <w:rPr>
                <w:rFonts w:ascii="Source Sans Pro" w:hAnsi="Source Sans Pro" w:cs="Arial"/>
                <w:sz w:val="16"/>
                <w:szCs w:val="16"/>
              </w:rPr>
            </w:pPr>
            <w:r>
              <w:rPr>
                <w:rFonts w:ascii="Source Sans Pro" w:hAnsi="Source Sans Pro"/>
                <w:sz w:val="16"/>
                <w:szCs w:val="16"/>
              </w:rPr>
              <w:t xml:space="preserve">Sony </w:t>
            </w:r>
            <w:proofErr w:type="spellStart"/>
            <w:r>
              <w:rPr>
                <w:rFonts w:ascii="Source Sans Pro" w:hAnsi="Source Sans Pro"/>
                <w:sz w:val="16"/>
                <w:szCs w:val="16"/>
              </w:rPr>
              <w:t>Center</w:t>
            </w:r>
            <w:proofErr w:type="spellEnd"/>
            <w:r>
              <w:rPr>
                <w:rFonts w:ascii="Source Sans Pro" w:hAnsi="Source Sans Pro"/>
                <w:sz w:val="16"/>
                <w:szCs w:val="16"/>
              </w:rPr>
              <w:t xml:space="preserve">, </w:t>
            </w:r>
            <w:r>
              <w:rPr>
                <w:rFonts w:ascii="Source Sans Pro" w:hAnsi="Source Sans Pro"/>
                <w:sz w:val="16"/>
                <w:szCs w:val="16"/>
              </w:rPr>
              <w:br/>
            </w:r>
            <w:proofErr w:type="spellStart"/>
            <w:r>
              <w:rPr>
                <w:rFonts w:ascii="Source Sans Pro" w:hAnsi="Source Sans Pro"/>
                <w:sz w:val="16"/>
                <w:szCs w:val="16"/>
              </w:rPr>
              <w:t>Potsdamer</w:t>
            </w:r>
            <w:proofErr w:type="spellEnd"/>
            <w:r>
              <w:rPr>
                <w:rFonts w:ascii="Source Sans Pro" w:hAnsi="Source Sans Pro"/>
                <w:sz w:val="16"/>
                <w:szCs w:val="16"/>
              </w:rPr>
              <w:t xml:space="preserve"> </w:t>
            </w:r>
            <w:proofErr w:type="spellStart"/>
            <w:r>
              <w:rPr>
                <w:rFonts w:ascii="Source Sans Pro" w:hAnsi="Source Sans Pro"/>
                <w:sz w:val="16"/>
                <w:szCs w:val="16"/>
              </w:rPr>
              <w:t>Platz</w:t>
            </w:r>
            <w:proofErr w:type="spellEnd"/>
            <w:r>
              <w:rPr>
                <w:rFonts w:ascii="Source Sans Pro" w:hAnsi="Source Sans Pro"/>
                <w:sz w:val="16"/>
                <w:szCs w:val="16"/>
              </w:rPr>
              <w:t xml:space="preserve"> 2</w:t>
            </w:r>
          </w:p>
        </w:tc>
        <w:tc>
          <w:tcPr>
            <w:tcW w:w="2658" w:type="dxa"/>
            <w:shd w:val="clear" w:color="auto" w:fill="auto"/>
            <w:vAlign w:val="center"/>
          </w:tcPr>
          <w:p w14:paraId="738861F9" w14:textId="0225D86C" w:rsidR="00FD0B89" w:rsidRPr="00462200" w:rsidRDefault="00FD0B89" w:rsidP="009E6C40">
            <w:pPr>
              <w:widowControl w:val="0"/>
              <w:jc w:val="center"/>
              <w:rPr>
                <w:rFonts w:ascii="Source Sans Pro" w:hAnsi="Source Sans Pro" w:cs="Arial"/>
                <w:sz w:val="16"/>
                <w:szCs w:val="16"/>
              </w:rPr>
            </w:pPr>
            <w:r>
              <w:rPr>
                <w:rFonts w:ascii="Source Sans Pro" w:hAnsi="Source Sans Pro"/>
                <w:sz w:val="16"/>
                <w:szCs w:val="16"/>
              </w:rPr>
              <w:t>Norwegian Government Pension Fund Global</w:t>
            </w:r>
          </w:p>
        </w:tc>
        <w:tc>
          <w:tcPr>
            <w:tcW w:w="2190" w:type="dxa"/>
            <w:shd w:val="clear" w:color="auto" w:fill="auto"/>
            <w:vAlign w:val="center"/>
          </w:tcPr>
          <w:p w14:paraId="5223911B" w14:textId="66405227" w:rsidR="00FD0B89" w:rsidRPr="00462200" w:rsidRDefault="00FD0B89" w:rsidP="009E6C40">
            <w:pPr>
              <w:widowControl w:val="0"/>
              <w:jc w:val="center"/>
              <w:rPr>
                <w:rFonts w:ascii="Source Sans Pro" w:hAnsi="Source Sans Pro" w:cs="Arial"/>
                <w:sz w:val="16"/>
                <w:szCs w:val="16"/>
              </w:rPr>
            </w:pPr>
            <w:r>
              <w:rPr>
                <w:rFonts w:ascii="Source Sans Pro" w:hAnsi="Source Sans Pro"/>
                <w:sz w:val="16"/>
                <w:szCs w:val="16"/>
              </w:rPr>
              <w:t>Oxford Properties</w:t>
            </w:r>
            <w:r w:rsidR="00490237">
              <w:rPr>
                <w:rFonts w:ascii="Source Sans Pro" w:hAnsi="Source Sans Pro"/>
                <w:sz w:val="16"/>
                <w:szCs w:val="16"/>
              </w:rPr>
              <w:t xml:space="preserve"> </w:t>
            </w:r>
            <w:r>
              <w:rPr>
                <w:rFonts w:ascii="Source Sans Pro" w:hAnsi="Source Sans Pro"/>
                <w:sz w:val="16"/>
                <w:szCs w:val="16"/>
              </w:rPr>
              <w:t>/</w:t>
            </w:r>
            <w:r w:rsidR="00490237">
              <w:rPr>
                <w:rFonts w:ascii="Source Sans Pro" w:hAnsi="Source Sans Pro"/>
                <w:sz w:val="16"/>
                <w:szCs w:val="16"/>
              </w:rPr>
              <w:t xml:space="preserve"> </w:t>
            </w:r>
            <w:r>
              <w:rPr>
                <w:rFonts w:ascii="Source Sans Pro" w:hAnsi="Source Sans Pro"/>
                <w:sz w:val="16"/>
                <w:szCs w:val="16"/>
              </w:rPr>
              <w:t>Madison International Realty for institutional investor</w:t>
            </w:r>
          </w:p>
        </w:tc>
        <w:tc>
          <w:tcPr>
            <w:tcW w:w="1014" w:type="dxa"/>
            <w:shd w:val="clear" w:color="auto" w:fill="auto"/>
            <w:vAlign w:val="center"/>
          </w:tcPr>
          <w:p w14:paraId="39829831" w14:textId="54D4D5D2" w:rsidR="00FD0B89" w:rsidRDefault="00FD0B89" w:rsidP="009E6C40">
            <w:pPr>
              <w:widowControl w:val="0"/>
              <w:jc w:val="center"/>
              <w:rPr>
                <w:rFonts w:ascii="Source Sans Pro" w:hAnsi="Source Sans Pro" w:cs="Arial"/>
                <w:sz w:val="16"/>
                <w:szCs w:val="16"/>
              </w:rPr>
            </w:pPr>
            <w:r>
              <w:rPr>
                <w:rFonts w:ascii="Source Sans Pro" w:hAnsi="Source Sans Pro"/>
                <w:sz w:val="16"/>
                <w:szCs w:val="16"/>
              </w:rPr>
              <w:t>677</w:t>
            </w:r>
          </w:p>
        </w:tc>
      </w:tr>
      <w:tr w:rsidR="00E10C5C" w:rsidRPr="00161817" w14:paraId="55D8309A" w14:textId="77777777" w:rsidTr="00490237">
        <w:trPr>
          <w:trHeight w:val="552"/>
        </w:trPr>
        <w:tc>
          <w:tcPr>
            <w:tcW w:w="687" w:type="dxa"/>
            <w:shd w:val="clear" w:color="auto" w:fill="D9D9D9" w:themeFill="background1" w:themeFillShade="D9"/>
            <w:vAlign w:val="center"/>
          </w:tcPr>
          <w:p w14:paraId="1D787A5E" w14:textId="515F4A9A" w:rsidR="00E10C5C" w:rsidRDefault="00E10C5C" w:rsidP="009E6C40">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D9D9D9" w:themeFill="background1" w:themeFillShade="D9"/>
            <w:vAlign w:val="center"/>
          </w:tcPr>
          <w:p w14:paraId="31FB249E" w14:textId="2DB57783" w:rsidR="00E10C5C" w:rsidRPr="00462200" w:rsidRDefault="00E10C5C" w:rsidP="009E6C40">
            <w:pPr>
              <w:widowControl w:val="0"/>
              <w:jc w:val="center"/>
              <w:rPr>
                <w:rFonts w:ascii="Source Sans Pro" w:hAnsi="Source Sans Pro" w:cs="Arial"/>
                <w:sz w:val="16"/>
                <w:szCs w:val="16"/>
              </w:rPr>
            </w:pPr>
            <w:proofErr w:type="spellStart"/>
            <w:r>
              <w:rPr>
                <w:rFonts w:ascii="Source Sans Pro" w:hAnsi="Source Sans Pro"/>
                <w:sz w:val="16"/>
                <w:szCs w:val="16"/>
              </w:rPr>
              <w:t>Voltair</w:t>
            </w:r>
            <w:proofErr w:type="spellEnd"/>
          </w:p>
        </w:tc>
        <w:tc>
          <w:tcPr>
            <w:tcW w:w="2658" w:type="dxa"/>
            <w:shd w:val="clear" w:color="auto" w:fill="D9D9D9" w:themeFill="background1" w:themeFillShade="D9"/>
            <w:vAlign w:val="center"/>
          </w:tcPr>
          <w:p w14:paraId="0AB88B48" w14:textId="47B6ED05" w:rsidR="00E10C5C" w:rsidRPr="00462200" w:rsidRDefault="00E10C5C" w:rsidP="00164FEC">
            <w:pPr>
              <w:widowControl w:val="0"/>
              <w:jc w:val="center"/>
              <w:rPr>
                <w:rFonts w:ascii="Source Sans Pro" w:hAnsi="Source Sans Pro" w:cs="Arial"/>
                <w:sz w:val="16"/>
                <w:szCs w:val="16"/>
              </w:rPr>
            </w:pPr>
            <w:r>
              <w:rPr>
                <w:rFonts w:ascii="Source Sans Pro" w:hAnsi="Source Sans Pro"/>
                <w:sz w:val="16"/>
                <w:szCs w:val="16"/>
              </w:rPr>
              <w:t>Norwegian Government Pension Fund Global / Swiss Life</w:t>
            </w:r>
          </w:p>
        </w:tc>
        <w:tc>
          <w:tcPr>
            <w:tcW w:w="2190" w:type="dxa"/>
            <w:shd w:val="clear" w:color="auto" w:fill="D9D9D9" w:themeFill="background1" w:themeFillShade="D9"/>
            <w:vAlign w:val="center"/>
          </w:tcPr>
          <w:p w14:paraId="64C40060" w14:textId="2B5D54A8" w:rsidR="00E10C5C" w:rsidRPr="00462200" w:rsidRDefault="00E10C5C" w:rsidP="009E6C40">
            <w:pPr>
              <w:widowControl w:val="0"/>
              <w:jc w:val="center"/>
              <w:rPr>
                <w:rFonts w:ascii="Source Sans Pro" w:hAnsi="Source Sans Pro" w:cs="Arial"/>
                <w:sz w:val="16"/>
                <w:szCs w:val="16"/>
              </w:rPr>
            </w:pPr>
            <w:proofErr w:type="spellStart"/>
            <w:r>
              <w:rPr>
                <w:rFonts w:ascii="Source Sans Pro" w:hAnsi="Source Sans Pro"/>
                <w:sz w:val="16"/>
                <w:szCs w:val="16"/>
              </w:rPr>
              <w:t>Gädeke</w:t>
            </w:r>
            <w:proofErr w:type="spellEnd"/>
            <w:r>
              <w:rPr>
                <w:rFonts w:ascii="Source Sans Pro" w:hAnsi="Source Sans Pro"/>
                <w:sz w:val="16"/>
                <w:szCs w:val="16"/>
              </w:rPr>
              <w:t xml:space="preserve"> &amp; Sons / ABG</w:t>
            </w:r>
          </w:p>
        </w:tc>
        <w:tc>
          <w:tcPr>
            <w:tcW w:w="1014" w:type="dxa"/>
            <w:shd w:val="clear" w:color="auto" w:fill="D9D9D9" w:themeFill="background1" w:themeFillShade="D9"/>
            <w:vAlign w:val="center"/>
          </w:tcPr>
          <w:p w14:paraId="4E4F5E0E" w14:textId="526EBBD3" w:rsidR="00E10C5C" w:rsidRDefault="00E10C5C" w:rsidP="009E6C40">
            <w:pPr>
              <w:widowControl w:val="0"/>
              <w:jc w:val="center"/>
              <w:rPr>
                <w:rFonts w:ascii="Source Sans Pro" w:hAnsi="Source Sans Pro" w:cs="Arial"/>
                <w:sz w:val="16"/>
                <w:szCs w:val="16"/>
              </w:rPr>
            </w:pPr>
            <w:r>
              <w:rPr>
                <w:rFonts w:ascii="Source Sans Pro" w:hAnsi="Source Sans Pro"/>
                <w:sz w:val="16"/>
                <w:szCs w:val="16"/>
              </w:rPr>
              <w:t>457</w:t>
            </w:r>
          </w:p>
        </w:tc>
      </w:tr>
      <w:tr w:rsidR="00E10C5C" w:rsidRPr="00161817" w14:paraId="63B677D5" w14:textId="77777777" w:rsidTr="00490237">
        <w:trPr>
          <w:trHeight w:val="552"/>
        </w:trPr>
        <w:tc>
          <w:tcPr>
            <w:tcW w:w="687" w:type="dxa"/>
            <w:shd w:val="clear" w:color="auto" w:fill="D9D9D9" w:themeFill="background1" w:themeFillShade="D9"/>
            <w:vAlign w:val="center"/>
          </w:tcPr>
          <w:p w14:paraId="1A2659AD" w14:textId="1A2C72F0" w:rsidR="00E10C5C" w:rsidRDefault="00E10C5C" w:rsidP="009E6C40">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D9D9D9" w:themeFill="background1" w:themeFillShade="D9"/>
            <w:vAlign w:val="center"/>
          </w:tcPr>
          <w:p w14:paraId="4C4B116C" w14:textId="06D9B9FD" w:rsidR="00E10C5C" w:rsidRPr="00462200" w:rsidRDefault="00E10C5C" w:rsidP="009E6C40">
            <w:pPr>
              <w:widowControl w:val="0"/>
              <w:jc w:val="center"/>
              <w:rPr>
                <w:rFonts w:ascii="Source Sans Pro" w:hAnsi="Source Sans Pro" w:cs="Arial"/>
                <w:sz w:val="16"/>
                <w:szCs w:val="16"/>
              </w:rPr>
            </w:pPr>
            <w:r>
              <w:rPr>
                <w:rFonts w:ascii="Source Sans Pro" w:hAnsi="Source Sans Pro"/>
                <w:sz w:val="16"/>
                <w:szCs w:val="16"/>
              </w:rPr>
              <w:t>QH Spring / QH Track</w:t>
            </w:r>
          </w:p>
        </w:tc>
        <w:tc>
          <w:tcPr>
            <w:tcW w:w="2658" w:type="dxa"/>
            <w:shd w:val="clear" w:color="auto" w:fill="D9D9D9" w:themeFill="background1" w:themeFillShade="D9"/>
            <w:vAlign w:val="center"/>
          </w:tcPr>
          <w:p w14:paraId="76E83253" w14:textId="214EFDAD" w:rsidR="00E10C5C" w:rsidRPr="00462200" w:rsidRDefault="00E10C5C" w:rsidP="009E6C40">
            <w:pPr>
              <w:widowControl w:val="0"/>
              <w:jc w:val="center"/>
              <w:rPr>
                <w:rFonts w:ascii="Source Sans Pro" w:hAnsi="Source Sans Pro" w:cs="Arial"/>
                <w:sz w:val="16"/>
                <w:szCs w:val="16"/>
              </w:rPr>
            </w:pPr>
            <w:proofErr w:type="spellStart"/>
            <w:r>
              <w:rPr>
                <w:rFonts w:ascii="Source Sans Pro" w:hAnsi="Source Sans Pro"/>
                <w:sz w:val="16"/>
                <w:szCs w:val="16"/>
              </w:rPr>
              <w:t>Vivion</w:t>
            </w:r>
            <w:proofErr w:type="spellEnd"/>
            <w:r>
              <w:rPr>
                <w:rFonts w:ascii="Source Sans Pro" w:hAnsi="Source Sans Pro"/>
                <w:sz w:val="16"/>
                <w:szCs w:val="16"/>
              </w:rPr>
              <w:t xml:space="preserve"> Group</w:t>
            </w:r>
          </w:p>
        </w:tc>
        <w:tc>
          <w:tcPr>
            <w:tcW w:w="2190" w:type="dxa"/>
            <w:shd w:val="clear" w:color="auto" w:fill="D9D9D9" w:themeFill="background1" w:themeFillShade="D9"/>
            <w:vAlign w:val="center"/>
          </w:tcPr>
          <w:p w14:paraId="44DF8F0A" w14:textId="60C0D72A" w:rsidR="00E10C5C" w:rsidRPr="00462200" w:rsidRDefault="00E10C5C" w:rsidP="009E6C40">
            <w:pPr>
              <w:widowControl w:val="0"/>
              <w:jc w:val="center"/>
              <w:rPr>
                <w:rFonts w:ascii="Source Sans Pro" w:hAnsi="Source Sans Pro" w:cs="Arial"/>
                <w:sz w:val="16"/>
                <w:szCs w:val="16"/>
              </w:rPr>
            </w:pPr>
            <w:r>
              <w:rPr>
                <w:rFonts w:ascii="Source Sans Pro" w:hAnsi="Source Sans Pro"/>
                <w:sz w:val="16"/>
                <w:szCs w:val="16"/>
              </w:rPr>
              <w:t>Aggregate Holdings</w:t>
            </w:r>
          </w:p>
        </w:tc>
        <w:tc>
          <w:tcPr>
            <w:tcW w:w="1014" w:type="dxa"/>
            <w:shd w:val="clear" w:color="auto" w:fill="D9D9D9" w:themeFill="background1" w:themeFillShade="D9"/>
            <w:vAlign w:val="center"/>
          </w:tcPr>
          <w:p w14:paraId="4F7F5A42" w14:textId="40F84E7E" w:rsidR="00E10C5C" w:rsidRDefault="00E10C5C" w:rsidP="009E6C40">
            <w:pPr>
              <w:widowControl w:val="0"/>
              <w:jc w:val="center"/>
              <w:rPr>
                <w:rFonts w:ascii="Source Sans Pro" w:hAnsi="Source Sans Pro" w:cs="Arial"/>
                <w:sz w:val="16"/>
                <w:szCs w:val="16"/>
              </w:rPr>
            </w:pPr>
            <w:r>
              <w:rPr>
                <w:rFonts w:ascii="Source Sans Pro" w:hAnsi="Source Sans Pro"/>
                <w:sz w:val="16"/>
                <w:szCs w:val="16"/>
              </w:rPr>
              <w:t>456</w:t>
            </w:r>
          </w:p>
        </w:tc>
      </w:tr>
      <w:tr w:rsidR="00E10C5C" w:rsidRPr="00161817" w14:paraId="16D7A264" w14:textId="77777777" w:rsidTr="00490237">
        <w:trPr>
          <w:trHeight w:val="552"/>
        </w:trPr>
        <w:tc>
          <w:tcPr>
            <w:tcW w:w="687" w:type="dxa"/>
            <w:shd w:val="clear" w:color="auto" w:fill="D9D9D9" w:themeFill="background1" w:themeFillShade="D9"/>
            <w:vAlign w:val="center"/>
          </w:tcPr>
          <w:p w14:paraId="79A76E7B" w14:textId="260BEE8C" w:rsidR="00E10C5C" w:rsidRDefault="00E10C5C" w:rsidP="009E6C40">
            <w:pPr>
              <w:widowControl w:val="0"/>
              <w:jc w:val="center"/>
              <w:rPr>
                <w:rFonts w:ascii="Source Sans Pro" w:hAnsi="Source Sans Pro" w:cs="Arial"/>
                <w:sz w:val="16"/>
                <w:szCs w:val="16"/>
              </w:rPr>
            </w:pPr>
            <w:r>
              <w:rPr>
                <w:rFonts w:ascii="Source Sans Pro" w:hAnsi="Source Sans Pro"/>
                <w:sz w:val="16"/>
                <w:szCs w:val="16"/>
              </w:rPr>
              <w:t>HAM</w:t>
            </w:r>
          </w:p>
        </w:tc>
        <w:tc>
          <w:tcPr>
            <w:tcW w:w="2682" w:type="dxa"/>
            <w:shd w:val="clear" w:color="auto" w:fill="D9D9D9" w:themeFill="background1" w:themeFillShade="D9"/>
            <w:vAlign w:val="center"/>
          </w:tcPr>
          <w:p w14:paraId="27464CFC" w14:textId="6D82A892" w:rsidR="00E10C5C" w:rsidRPr="00462200" w:rsidRDefault="00E10C5C" w:rsidP="009E6C40">
            <w:pPr>
              <w:widowControl w:val="0"/>
              <w:jc w:val="center"/>
              <w:rPr>
                <w:rFonts w:ascii="Source Sans Pro" w:hAnsi="Source Sans Pro" w:cs="Arial"/>
                <w:sz w:val="16"/>
                <w:szCs w:val="16"/>
              </w:rPr>
            </w:pPr>
            <w:proofErr w:type="spellStart"/>
            <w:r>
              <w:rPr>
                <w:rFonts w:ascii="Source Sans Pro" w:hAnsi="Source Sans Pro"/>
                <w:sz w:val="16"/>
                <w:szCs w:val="16"/>
              </w:rPr>
              <w:t>Altes</w:t>
            </w:r>
            <w:proofErr w:type="spellEnd"/>
            <w:r>
              <w:rPr>
                <w:rFonts w:ascii="Source Sans Pro" w:hAnsi="Source Sans Pro"/>
                <w:sz w:val="16"/>
                <w:szCs w:val="16"/>
              </w:rPr>
              <w:t xml:space="preserve"> </w:t>
            </w:r>
            <w:proofErr w:type="spellStart"/>
            <w:r>
              <w:rPr>
                <w:rFonts w:ascii="Source Sans Pro" w:hAnsi="Source Sans Pro"/>
                <w:sz w:val="16"/>
                <w:szCs w:val="16"/>
              </w:rPr>
              <w:t>Fernmeldeamt</w:t>
            </w:r>
            <w:proofErr w:type="spellEnd"/>
            <w:r>
              <w:rPr>
                <w:rFonts w:ascii="Source Sans Pro" w:hAnsi="Source Sans Pro"/>
                <w:sz w:val="16"/>
                <w:szCs w:val="16"/>
              </w:rPr>
              <w:t xml:space="preserve">, </w:t>
            </w:r>
            <w:r>
              <w:rPr>
                <w:rFonts w:ascii="Source Sans Pro" w:hAnsi="Source Sans Pro"/>
                <w:sz w:val="16"/>
                <w:szCs w:val="16"/>
              </w:rPr>
              <w:br/>
            </w:r>
            <w:proofErr w:type="spellStart"/>
            <w:r>
              <w:rPr>
                <w:rFonts w:ascii="Source Sans Pro" w:hAnsi="Source Sans Pro"/>
                <w:sz w:val="16"/>
                <w:szCs w:val="16"/>
              </w:rPr>
              <w:t>Schlüterstrasse</w:t>
            </w:r>
            <w:proofErr w:type="spellEnd"/>
            <w:r>
              <w:rPr>
                <w:rFonts w:ascii="Source Sans Pro" w:hAnsi="Source Sans Pro"/>
                <w:sz w:val="16"/>
                <w:szCs w:val="16"/>
              </w:rPr>
              <w:t xml:space="preserve"> 51-55</w:t>
            </w:r>
          </w:p>
        </w:tc>
        <w:tc>
          <w:tcPr>
            <w:tcW w:w="2658" w:type="dxa"/>
            <w:shd w:val="clear" w:color="auto" w:fill="D9D9D9" w:themeFill="background1" w:themeFillShade="D9"/>
            <w:vAlign w:val="center"/>
          </w:tcPr>
          <w:p w14:paraId="4F043364" w14:textId="6D89F2B2" w:rsidR="00E10C5C" w:rsidRPr="00462200" w:rsidRDefault="00E10C5C" w:rsidP="009E6C40">
            <w:pPr>
              <w:widowControl w:val="0"/>
              <w:jc w:val="center"/>
              <w:rPr>
                <w:rFonts w:ascii="Source Sans Pro" w:hAnsi="Source Sans Pro" w:cs="Arial"/>
                <w:sz w:val="16"/>
                <w:szCs w:val="16"/>
              </w:rPr>
            </w:pPr>
            <w:r>
              <w:rPr>
                <w:rFonts w:ascii="Source Sans Pro" w:hAnsi="Source Sans Pro"/>
                <w:sz w:val="16"/>
                <w:szCs w:val="16"/>
              </w:rPr>
              <w:t>Values Real Estate</w:t>
            </w:r>
          </w:p>
        </w:tc>
        <w:tc>
          <w:tcPr>
            <w:tcW w:w="2190" w:type="dxa"/>
            <w:shd w:val="clear" w:color="auto" w:fill="D9D9D9" w:themeFill="background1" w:themeFillShade="D9"/>
            <w:vAlign w:val="center"/>
          </w:tcPr>
          <w:p w14:paraId="6F3466FB" w14:textId="11D92E4C" w:rsidR="00E10C5C" w:rsidRPr="00462200" w:rsidRDefault="00E10C5C" w:rsidP="009E6C40">
            <w:pPr>
              <w:widowControl w:val="0"/>
              <w:jc w:val="center"/>
              <w:rPr>
                <w:rFonts w:ascii="Source Sans Pro" w:hAnsi="Source Sans Pro" w:cs="Arial"/>
                <w:sz w:val="16"/>
                <w:szCs w:val="16"/>
              </w:rPr>
            </w:pPr>
            <w:proofErr w:type="spellStart"/>
            <w:r>
              <w:rPr>
                <w:rFonts w:ascii="Source Sans Pro" w:hAnsi="Source Sans Pro"/>
                <w:sz w:val="16"/>
                <w:szCs w:val="16"/>
              </w:rPr>
              <w:t>Peakside</w:t>
            </w:r>
            <w:proofErr w:type="spellEnd"/>
            <w:r>
              <w:rPr>
                <w:rFonts w:ascii="Source Sans Pro" w:hAnsi="Source Sans Pro"/>
                <w:sz w:val="16"/>
                <w:szCs w:val="16"/>
              </w:rPr>
              <w:t xml:space="preserve"> Capital</w:t>
            </w:r>
          </w:p>
        </w:tc>
        <w:tc>
          <w:tcPr>
            <w:tcW w:w="1014" w:type="dxa"/>
            <w:shd w:val="clear" w:color="auto" w:fill="D9D9D9" w:themeFill="background1" w:themeFillShade="D9"/>
            <w:vAlign w:val="center"/>
          </w:tcPr>
          <w:p w14:paraId="485F9B5A" w14:textId="428B352E" w:rsidR="00E10C5C" w:rsidRDefault="00E10C5C" w:rsidP="009E6C40">
            <w:pPr>
              <w:widowControl w:val="0"/>
              <w:jc w:val="center"/>
              <w:rPr>
                <w:rFonts w:ascii="Source Sans Pro" w:hAnsi="Source Sans Pro" w:cs="Arial"/>
                <w:sz w:val="16"/>
                <w:szCs w:val="16"/>
              </w:rPr>
            </w:pPr>
            <w:r>
              <w:rPr>
                <w:rFonts w:ascii="Source Sans Pro" w:hAnsi="Source Sans Pro"/>
                <w:sz w:val="16"/>
                <w:szCs w:val="16"/>
              </w:rPr>
              <w:t>400</w:t>
            </w:r>
          </w:p>
        </w:tc>
      </w:tr>
      <w:tr w:rsidR="00E10C5C" w:rsidRPr="00161817" w14:paraId="2C38F723" w14:textId="77777777" w:rsidTr="00490237">
        <w:trPr>
          <w:trHeight w:val="552"/>
        </w:trPr>
        <w:tc>
          <w:tcPr>
            <w:tcW w:w="687" w:type="dxa"/>
            <w:shd w:val="clear" w:color="auto" w:fill="D9D9D9" w:themeFill="background1" w:themeFillShade="D9"/>
            <w:vAlign w:val="center"/>
          </w:tcPr>
          <w:p w14:paraId="1F345E13" w14:textId="6DAEB893" w:rsidR="00E10C5C" w:rsidRDefault="00E10C5C"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D9D9D9" w:themeFill="background1" w:themeFillShade="D9"/>
            <w:vAlign w:val="center"/>
          </w:tcPr>
          <w:p w14:paraId="3709B719" w14:textId="4C6299F9" w:rsidR="00E10C5C" w:rsidRPr="00462200" w:rsidRDefault="00E10C5C" w:rsidP="00B03DB5">
            <w:pPr>
              <w:widowControl w:val="0"/>
              <w:jc w:val="center"/>
              <w:rPr>
                <w:rFonts w:ascii="Source Sans Pro" w:hAnsi="Source Sans Pro" w:cs="Arial"/>
                <w:sz w:val="16"/>
                <w:szCs w:val="16"/>
              </w:rPr>
            </w:pPr>
            <w:proofErr w:type="spellStart"/>
            <w:r>
              <w:rPr>
                <w:rFonts w:ascii="Source Sans Pro" w:hAnsi="Source Sans Pro"/>
                <w:sz w:val="16"/>
                <w:szCs w:val="16"/>
              </w:rPr>
              <w:t>Brienner</w:t>
            </w:r>
            <w:proofErr w:type="spellEnd"/>
            <w:r>
              <w:rPr>
                <w:rFonts w:ascii="Source Sans Pro" w:hAnsi="Source Sans Pro"/>
                <w:sz w:val="16"/>
                <w:szCs w:val="16"/>
              </w:rPr>
              <w:t xml:space="preserve"> </w:t>
            </w:r>
            <w:proofErr w:type="spellStart"/>
            <w:r>
              <w:rPr>
                <w:rFonts w:ascii="Source Sans Pro" w:hAnsi="Source Sans Pro"/>
                <w:sz w:val="16"/>
                <w:szCs w:val="16"/>
              </w:rPr>
              <w:t>Strasse</w:t>
            </w:r>
            <w:proofErr w:type="spellEnd"/>
            <w:r>
              <w:rPr>
                <w:rFonts w:ascii="Source Sans Pro" w:hAnsi="Source Sans Pro"/>
                <w:sz w:val="16"/>
                <w:szCs w:val="16"/>
              </w:rPr>
              <w:t xml:space="preserve"> 22-28</w:t>
            </w:r>
          </w:p>
        </w:tc>
        <w:tc>
          <w:tcPr>
            <w:tcW w:w="2658" w:type="dxa"/>
            <w:shd w:val="clear" w:color="auto" w:fill="D9D9D9" w:themeFill="background1" w:themeFillShade="D9"/>
            <w:vAlign w:val="center"/>
          </w:tcPr>
          <w:p w14:paraId="0AC21CC4" w14:textId="0075674A" w:rsidR="00E10C5C" w:rsidRPr="00462200" w:rsidRDefault="00B03DB5" w:rsidP="009E6C40">
            <w:pPr>
              <w:widowControl w:val="0"/>
              <w:jc w:val="center"/>
              <w:rPr>
                <w:rFonts w:ascii="Source Sans Pro" w:hAnsi="Source Sans Pro" w:cs="Arial"/>
                <w:sz w:val="16"/>
                <w:szCs w:val="16"/>
              </w:rPr>
            </w:pPr>
            <w:proofErr w:type="spellStart"/>
            <w:r>
              <w:rPr>
                <w:rFonts w:ascii="Source Sans Pro" w:hAnsi="Source Sans Pro"/>
                <w:sz w:val="16"/>
                <w:szCs w:val="16"/>
              </w:rPr>
              <w:t>Doblinger</w:t>
            </w:r>
            <w:proofErr w:type="spellEnd"/>
            <w:r>
              <w:rPr>
                <w:rFonts w:ascii="Source Sans Pro" w:hAnsi="Source Sans Pro"/>
                <w:sz w:val="16"/>
                <w:szCs w:val="16"/>
              </w:rPr>
              <w:t xml:space="preserve"> </w:t>
            </w:r>
            <w:proofErr w:type="spellStart"/>
            <w:r>
              <w:rPr>
                <w:rFonts w:ascii="Source Sans Pro" w:hAnsi="Source Sans Pro"/>
                <w:sz w:val="16"/>
                <w:szCs w:val="16"/>
              </w:rPr>
              <w:t>Unternehmensgruppe</w:t>
            </w:r>
            <w:proofErr w:type="spellEnd"/>
          </w:p>
        </w:tc>
        <w:tc>
          <w:tcPr>
            <w:tcW w:w="2190" w:type="dxa"/>
            <w:shd w:val="clear" w:color="auto" w:fill="D9D9D9" w:themeFill="background1" w:themeFillShade="D9"/>
            <w:vAlign w:val="center"/>
          </w:tcPr>
          <w:p w14:paraId="53D64725" w14:textId="535A0DE4" w:rsidR="00E10C5C" w:rsidRPr="00462200" w:rsidRDefault="00B03DB5" w:rsidP="009E6C40">
            <w:pPr>
              <w:widowControl w:val="0"/>
              <w:jc w:val="center"/>
              <w:rPr>
                <w:rFonts w:ascii="Source Sans Pro" w:hAnsi="Source Sans Pro" w:cs="Arial"/>
                <w:sz w:val="16"/>
                <w:szCs w:val="16"/>
              </w:rPr>
            </w:pPr>
            <w:proofErr w:type="spellStart"/>
            <w:r>
              <w:rPr>
                <w:rFonts w:ascii="Source Sans Pro" w:hAnsi="Source Sans Pro"/>
                <w:sz w:val="16"/>
                <w:szCs w:val="16"/>
              </w:rPr>
              <w:t>Bayerische</w:t>
            </w:r>
            <w:proofErr w:type="spellEnd"/>
            <w:r>
              <w:rPr>
                <w:rFonts w:ascii="Source Sans Pro" w:hAnsi="Source Sans Pro"/>
                <w:sz w:val="16"/>
                <w:szCs w:val="16"/>
              </w:rPr>
              <w:t xml:space="preserve"> </w:t>
            </w:r>
            <w:proofErr w:type="spellStart"/>
            <w:r>
              <w:rPr>
                <w:rFonts w:ascii="Source Sans Pro" w:hAnsi="Source Sans Pro"/>
                <w:sz w:val="16"/>
                <w:szCs w:val="16"/>
              </w:rPr>
              <w:t>Landesbank</w:t>
            </w:r>
            <w:proofErr w:type="spellEnd"/>
          </w:p>
        </w:tc>
        <w:tc>
          <w:tcPr>
            <w:tcW w:w="1014" w:type="dxa"/>
            <w:shd w:val="clear" w:color="auto" w:fill="D9D9D9" w:themeFill="background1" w:themeFillShade="D9"/>
            <w:vAlign w:val="center"/>
          </w:tcPr>
          <w:p w14:paraId="5E743C44" w14:textId="4973EE26" w:rsidR="00E10C5C" w:rsidRDefault="00B03DB5" w:rsidP="009E6C40">
            <w:pPr>
              <w:widowControl w:val="0"/>
              <w:jc w:val="center"/>
              <w:rPr>
                <w:rFonts w:ascii="Source Sans Pro" w:hAnsi="Source Sans Pro" w:cs="Arial"/>
                <w:sz w:val="16"/>
                <w:szCs w:val="16"/>
              </w:rPr>
            </w:pPr>
            <w:r>
              <w:rPr>
                <w:rFonts w:ascii="Source Sans Pro" w:hAnsi="Source Sans Pro"/>
                <w:sz w:val="16"/>
                <w:szCs w:val="16"/>
              </w:rPr>
              <w:t>360</w:t>
            </w:r>
          </w:p>
        </w:tc>
      </w:tr>
      <w:tr w:rsidR="00462200" w:rsidRPr="00161817" w14:paraId="3B1D8DB4" w14:textId="77777777" w:rsidTr="00F40B12">
        <w:trPr>
          <w:trHeight w:val="552"/>
        </w:trPr>
        <w:tc>
          <w:tcPr>
            <w:tcW w:w="687" w:type="dxa"/>
            <w:shd w:val="clear" w:color="auto" w:fill="auto"/>
            <w:vAlign w:val="center"/>
          </w:tcPr>
          <w:p w14:paraId="4D10972E" w14:textId="536DCCF2" w:rsidR="00462200" w:rsidRDefault="00E10C5C"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auto"/>
            <w:vAlign w:val="center"/>
          </w:tcPr>
          <w:p w14:paraId="10848B51" w14:textId="25FCF876" w:rsidR="00462200" w:rsidRDefault="00462200" w:rsidP="009E6C40">
            <w:pPr>
              <w:widowControl w:val="0"/>
              <w:jc w:val="center"/>
              <w:rPr>
                <w:rFonts w:ascii="Source Sans Pro" w:hAnsi="Source Sans Pro" w:cs="Arial"/>
                <w:sz w:val="16"/>
                <w:szCs w:val="16"/>
              </w:rPr>
            </w:pPr>
            <w:r>
              <w:rPr>
                <w:rFonts w:ascii="Source Sans Pro" w:hAnsi="Source Sans Pro"/>
                <w:sz w:val="16"/>
                <w:szCs w:val="16"/>
              </w:rPr>
              <w:t xml:space="preserve">Olympia Business </w:t>
            </w:r>
            <w:proofErr w:type="spellStart"/>
            <w:r>
              <w:rPr>
                <w:rFonts w:ascii="Source Sans Pro" w:hAnsi="Source Sans Pro"/>
                <w:sz w:val="16"/>
                <w:szCs w:val="16"/>
              </w:rPr>
              <w:t>Center</w:t>
            </w:r>
            <w:proofErr w:type="spellEnd"/>
            <w:r>
              <w:rPr>
                <w:rFonts w:ascii="Source Sans Pro" w:hAnsi="Source Sans Pro"/>
                <w:sz w:val="16"/>
                <w:szCs w:val="16"/>
              </w:rPr>
              <w:t xml:space="preserve"> (OBC), Georg-</w:t>
            </w:r>
            <w:proofErr w:type="spellStart"/>
            <w:r>
              <w:rPr>
                <w:rFonts w:ascii="Source Sans Pro" w:hAnsi="Source Sans Pro"/>
                <w:sz w:val="16"/>
                <w:szCs w:val="16"/>
              </w:rPr>
              <w:t>Brauchle</w:t>
            </w:r>
            <w:proofErr w:type="spellEnd"/>
            <w:r>
              <w:rPr>
                <w:rFonts w:ascii="Source Sans Pro" w:hAnsi="Source Sans Pro"/>
                <w:sz w:val="16"/>
                <w:szCs w:val="16"/>
              </w:rPr>
              <w:t>-Ring 23-25</w:t>
            </w:r>
          </w:p>
        </w:tc>
        <w:tc>
          <w:tcPr>
            <w:tcW w:w="2658" w:type="dxa"/>
            <w:shd w:val="clear" w:color="auto" w:fill="auto"/>
            <w:vAlign w:val="center"/>
          </w:tcPr>
          <w:p w14:paraId="47E16077" w14:textId="2548F1F1" w:rsidR="00462200" w:rsidRDefault="00462200" w:rsidP="009E6C40">
            <w:pPr>
              <w:widowControl w:val="0"/>
              <w:jc w:val="center"/>
              <w:rPr>
                <w:rFonts w:ascii="Source Sans Pro" w:hAnsi="Source Sans Pro" w:cs="Arial"/>
                <w:sz w:val="16"/>
                <w:szCs w:val="16"/>
              </w:rPr>
            </w:pPr>
            <w:r>
              <w:rPr>
                <w:rFonts w:ascii="Source Sans Pro" w:hAnsi="Source Sans Pro"/>
                <w:sz w:val="16"/>
                <w:szCs w:val="16"/>
              </w:rPr>
              <w:t>Athos Family Office</w:t>
            </w:r>
          </w:p>
        </w:tc>
        <w:tc>
          <w:tcPr>
            <w:tcW w:w="2190" w:type="dxa"/>
            <w:shd w:val="clear" w:color="auto" w:fill="auto"/>
            <w:vAlign w:val="center"/>
          </w:tcPr>
          <w:p w14:paraId="2C3E9E5B" w14:textId="584FD21C" w:rsidR="00462200" w:rsidRPr="005E260C" w:rsidRDefault="00462200" w:rsidP="009E6C40">
            <w:pPr>
              <w:widowControl w:val="0"/>
              <w:jc w:val="center"/>
              <w:rPr>
                <w:rFonts w:ascii="Source Sans Pro" w:hAnsi="Source Sans Pro" w:cs="Arial"/>
                <w:sz w:val="16"/>
                <w:szCs w:val="16"/>
                <w:lang w:val="de-DE"/>
              </w:rPr>
            </w:pPr>
            <w:r w:rsidRPr="005E260C">
              <w:rPr>
                <w:rFonts w:ascii="Source Sans Pro" w:hAnsi="Source Sans Pro"/>
                <w:sz w:val="16"/>
                <w:szCs w:val="16"/>
                <w:lang w:val="de-DE"/>
              </w:rPr>
              <w:t>Europa Capital /</w:t>
            </w:r>
            <w:r w:rsidR="00490237">
              <w:rPr>
                <w:rFonts w:ascii="Source Sans Pro" w:hAnsi="Source Sans Pro"/>
                <w:sz w:val="16"/>
                <w:szCs w:val="16"/>
                <w:lang w:val="de-DE"/>
              </w:rPr>
              <w:t xml:space="preserve"> </w:t>
            </w:r>
            <w:r w:rsidRPr="005E260C">
              <w:rPr>
                <w:rFonts w:ascii="Source Sans Pro" w:hAnsi="Source Sans Pro"/>
                <w:sz w:val="16"/>
                <w:szCs w:val="16"/>
                <w:lang w:val="de-DE"/>
              </w:rPr>
              <w:t>Bayern Projekt (</w:t>
            </w:r>
            <w:proofErr w:type="spellStart"/>
            <w:r w:rsidRPr="005E260C">
              <w:rPr>
                <w:rFonts w:ascii="Source Sans Pro" w:hAnsi="Source Sans Pro"/>
                <w:sz w:val="16"/>
                <w:szCs w:val="16"/>
                <w:lang w:val="de-DE"/>
              </w:rPr>
              <w:t>joint</w:t>
            </w:r>
            <w:proofErr w:type="spellEnd"/>
            <w:r w:rsidRPr="005E260C">
              <w:rPr>
                <w:rFonts w:ascii="Source Sans Pro" w:hAnsi="Source Sans Pro"/>
                <w:sz w:val="16"/>
                <w:szCs w:val="16"/>
                <w:lang w:val="de-DE"/>
              </w:rPr>
              <w:t xml:space="preserve"> </w:t>
            </w:r>
            <w:proofErr w:type="spellStart"/>
            <w:r w:rsidRPr="005E260C">
              <w:rPr>
                <w:rFonts w:ascii="Source Sans Pro" w:hAnsi="Source Sans Pro"/>
                <w:sz w:val="16"/>
                <w:szCs w:val="16"/>
                <w:lang w:val="de-DE"/>
              </w:rPr>
              <w:t>venture</w:t>
            </w:r>
            <w:proofErr w:type="spellEnd"/>
            <w:r w:rsidRPr="005E260C">
              <w:rPr>
                <w:rFonts w:ascii="Source Sans Pro" w:hAnsi="Source Sans Pro"/>
                <w:sz w:val="16"/>
                <w:szCs w:val="16"/>
                <w:lang w:val="de-DE"/>
              </w:rPr>
              <w:t>)</w:t>
            </w:r>
          </w:p>
        </w:tc>
        <w:tc>
          <w:tcPr>
            <w:tcW w:w="1014" w:type="dxa"/>
            <w:shd w:val="clear" w:color="auto" w:fill="auto"/>
            <w:vAlign w:val="center"/>
          </w:tcPr>
          <w:p w14:paraId="794DDCD3" w14:textId="0D7A6C7A" w:rsidR="00462200" w:rsidRDefault="00462200" w:rsidP="009E6C40">
            <w:pPr>
              <w:widowControl w:val="0"/>
              <w:jc w:val="center"/>
              <w:rPr>
                <w:rFonts w:ascii="Source Sans Pro" w:hAnsi="Source Sans Pro" w:cs="Arial"/>
                <w:sz w:val="16"/>
                <w:szCs w:val="16"/>
              </w:rPr>
            </w:pPr>
            <w:r>
              <w:rPr>
                <w:rFonts w:ascii="Source Sans Pro" w:hAnsi="Source Sans Pro"/>
                <w:sz w:val="16"/>
                <w:szCs w:val="16"/>
              </w:rPr>
              <w:t>300</w:t>
            </w:r>
          </w:p>
        </w:tc>
      </w:tr>
      <w:tr w:rsidR="00E10C5C" w:rsidRPr="00161817" w14:paraId="0A144D4B" w14:textId="77777777" w:rsidTr="00490237">
        <w:trPr>
          <w:trHeight w:val="552"/>
        </w:trPr>
        <w:tc>
          <w:tcPr>
            <w:tcW w:w="687" w:type="dxa"/>
            <w:shd w:val="clear" w:color="auto" w:fill="D9D9D9" w:themeFill="background1" w:themeFillShade="D9"/>
            <w:vAlign w:val="center"/>
          </w:tcPr>
          <w:p w14:paraId="02CDCE15" w14:textId="46A1803D" w:rsidR="00E10C5C" w:rsidRDefault="00B03DB5" w:rsidP="009E6C40">
            <w:pPr>
              <w:widowControl w:val="0"/>
              <w:jc w:val="center"/>
              <w:rPr>
                <w:rFonts w:ascii="Source Sans Pro" w:hAnsi="Source Sans Pro" w:cs="Arial"/>
                <w:sz w:val="16"/>
                <w:szCs w:val="16"/>
              </w:rPr>
            </w:pPr>
            <w:r>
              <w:rPr>
                <w:rFonts w:ascii="Source Sans Pro" w:hAnsi="Source Sans Pro"/>
                <w:sz w:val="16"/>
                <w:szCs w:val="16"/>
              </w:rPr>
              <w:t>MUC</w:t>
            </w:r>
          </w:p>
        </w:tc>
        <w:tc>
          <w:tcPr>
            <w:tcW w:w="2682" w:type="dxa"/>
            <w:shd w:val="clear" w:color="auto" w:fill="D9D9D9" w:themeFill="background1" w:themeFillShade="D9"/>
            <w:vAlign w:val="center"/>
          </w:tcPr>
          <w:p w14:paraId="2C67A2BE" w14:textId="3AA7C971" w:rsidR="00E10C5C" w:rsidRPr="00462200" w:rsidRDefault="00B03DB5" w:rsidP="009E6C40">
            <w:pPr>
              <w:widowControl w:val="0"/>
              <w:jc w:val="center"/>
              <w:rPr>
                <w:rFonts w:ascii="Source Sans Pro" w:hAnsi="Source Sans Pro" w:cs="Arial"/>
                <w:sz w:val="16"/>
                <w:szCs w:val="16"/>
              </w:rPr>
            </w:pPr>
            <w:r>
              <w:rPr>
                <w:rFonts w:ascii="Source Sans Pro" w:hAnsi="Source Sans Pro"/>
                <w:sz w:val="16"/>
                <w:szCs w:val="16"/>
              </w:rPr>
              <w:t xml:space="preserve">New headquarter Wacker </w:t>
            </w:r>
            <w:proofErr w:type="spellStart"/>
            <w:r>
              <w:rPr>
                <w:rFonts w:ascii="Source Sans Pro" w:hAnsi="Source Sans Pro"/>
                <w:sz w:val="16"/>
                <w:szCs w:val="16"/>
              </w:rPr>
              <w:t>Chemie</w:t>
            </w:r>
            <w:proofErr w:type="spellEnd"/>
            <w:r>
              <w:rPr>
                <w:rFonts w:ascii="Source Sans Pro" w:hAnsi="Source Sans Pro"/>
                <w:sz w:val="16"/>
                <w:szCs w:val="16"/>
              </w:rPr>
              <w:t>, Gisela-Stein-</w:t>
            </w:r>
            <w:proofErr w:type="spellStart"/>
            <w:r>
              <w:rPr>
                <w:rFonts w:ascii="Source Sans Pro" w:hAnsi="Source Sans Pro"/>
                <w:sz w:val="16"/>
                <w:szCs w:val="16"/>
              </w:rPr>
              <w:t>Strasse</w:t>
            </w:r>
            <w:proofErr w:type="spellEnd"/>
          </w:p>
        </w:tc>
        <w:tc>
          <w:tcPr>
            <w:tcW w:w="2658" w:type="dxa"/>
            <w:shd w:val="clear" w:color="auto" w:fill="D9D9D9" w:themeFill="background1" w:themeFillShade="D9"/>
            <w:vAlign w:val="center"/>
          </w:tcPr>
          <w:p w14:paraId="1EDB25D3" w14:textId="53112E21" w:rsidR="00E10C5C" w:rsidRPr="00462200" w:rsidRDefault="00B03DB5" w:rsidP="009E6C40">
            <w:pPr>
              <w:widowControl w:val="0"/>
              <w:jc w:val="center"/>
              <w:rPr>
                <w:rFonts w:ascii="Source Sans Pro" w:hAnsi="Source Sans Pro" w:cs="Arial"/>
                <w:sz w:val="16"/>
                <w:szCs w:val="16"/>
              </w:rPr>
            </w:pPr>
            <w:r>
              <w:rPr>
                <w:rFonts w:ascii="Source Sans Pro" w:hAnsi="Source Sans Pro"/>
                <w:sz w:val="16"/>
                <w:szCs w:val="16"/>
              </w:rPr>
              <w:t xml:space="preserve">Wacker </w:t>
            </w:r>
            <w:proofErr w:type="spellStart"/>
            <w:r>
              <w:rPr>
                <w:rFonts w:ascii="Source Sans Pro" w:hAnsi="Source Sans Pro"/>
                <w:sz w:val="16"/>
                <w:szCs w:val="16"/>
              </w:rPr>
              <w:t>Chemie</w:t>
            </w:r>
            <w:proofErr w:type="spellEnd"/>
            <w:r>
              <w:rPr>
                <w:rFonts w:ascii="Source Sans Pro" w:hAnsi="Source Sans Pro"/>
                <w:sz w:val="16"/>
                <w:szCs w:val="16"/>
              </w:rPr>
              <w:t xml:space="preserve"> pension fund</w:t>
            </w:r>
          </w:p>
        </w:tc>
        <w:tc>
          <w:tcPr>
            <w:tcW w:w="2190" w:type="dxa"/>
            <w:shd w:val="clear" w:color="auto" w:fill="D9D9D9" w:themeFill="background1" w:themeFillShade="D9"/>
            <w:vAlign w:val="center"/>
          </w:tcPr>
          <w:p w14:paraId="5846CF1E" w14:textId="4C83DA55" w:rsidR="00E10C5C" w:rsidRPr="00462200" w:rsidRDefault="00B03DB5" w:rsidP="009E6C40">
            <w:pPr>
              <w:widowControl w:val="0"/>
              <w:jc w:val="center"/>
              <w:rPr>
                <w:rFonts w:ascii="Source Sans Pro" w:hAnsi="Source Sans Pro" w:cs="Arial"/>
                <w:sz w:val="16"/>
                <w:szCs w:val="16"/>
              </w:rPr>
            </w:pPr>
            <w:proofErr w:type="spellStart"/>
            <w:r>
              <w:rPr>
                <w:rFonts w:ascii="Source Sans Pro" w:hAnsi="Source Sans Pro"/>
                <w:sz w:val="16"/>
                <w:szCs w:val="16"/>
              </w:rPr>
              <w:t>Patrizia</w:t>
            </w:r>
            <w:proofErr w:type="spellEnd"/>
          </w:p>
        </w:tc>
        <w:tc>
          <w:tcPr>
            <w:tcW w:w="1014" w:type="dxa"/>
            <w:shd w:val="clear" w:color="auto" w:fill="D9D9D9" w:themeFill="background1" w:themeFillShade="D9"/>
            <w:vAlign w:val="center"/>
          </w:tcPr>
          <w:p w14:paraId="2F8485F8" w14:textId="1564F193" w:rsidR="00E10C5C" w:rsidRDefault="00B03DB5" w:rsidP="009E6C40">
            <w:pPr>
              <w:widowControl w:val="0"/>
              <w:jc w:val="center"/>
              <w:rPr>
                <w:rFonts w:ascii="Source Sans Pro" w:hAnsi="Source Sans Pro" w:cs="Arial"/>
                <w:sz w:val="16"/>
                <w:szCs w:val="16"/>
              </w:rPr>
            </w:pPr>
            <w:r>
              <w:rPr>
                <w:rFonts w:ascii="Source Sans Pro" w:hAnsi="Source Sans Pro"/>
                <w:sz w:val="16"/>
                <w:szCs w:val="16"/>
              </w:rPr>
              <w:t>250</w:t>
            </w:r>
          </w:p>
        </w:tc>
      </w:tr>
      <w:tr w:rsidR="00B03DB5" w:rsidRPr="00161817" w14:paraId="33B536AA" w14:textId="77777777" w:rsidTr="00490237">
        <w:trPr>
          <w:trHeight w:val="552"/>
        </w:trPr>
        <w:tc>
          <w:tcPr>
            <w:tcW w:w="687" w:type="dxa"/>
            <w:shd w:val="clear" w:color="auto" w:fill="D9D9D9" w:themeFill="background1" w:themeFillShade="D9"/>
            <w:vAlign w:val="center"/>
          </w:tcPr>
          <w:p w14:paraId="7C00AC54" w14:textId="3A54777E" w:rsidR="00B03DB5" w:rsidRDefault="00B03DB5" w:rsidP="009C2D11">
            <w:pPr>
              <w:widowControl w:val="0"/>
              <w:jc w:val="center"/>
              <w:rPr>
                <w:rFonts w:ascii="Source Sans Pro" w:hAnsi="Source Sans Pro" w:cs="Arial"/>
                <w:sz w:val="16"/>
                <w:szCs w:val="16"/>
              </w:rPr>
            </w:pPr>
            <w:r>
              <w:rPr>
                <w:rFonts w:ascii="Source Sans Pro" w:hAnsi="Source Sans Pro"/>
                <w:sz w:val="16"/>
                <w:szCs w:val="16"/>
              </w:rPr>
              <w:t>DUS</w:t>
            </w:r>
          </w:p>
        </w:tc>
        <w:tc>
          <w:tcPr>
            <w:tcW w:w="2682" w:type="dxa"/>
            <w:shd w:val="clear" w:color="auto" w:fill="D9D9D9" w:themeFill="background1" w:themeFillShade="D9"/>
            <w:vAlign w:val="center"/>
          </w:tcPr>
          <w:p w14:paraId="40DFFA11" w14:textId="5D7AFBAB" w:rsidR="00B03DB5" w:rsidRDefault="00B03DB5" w:rsidP="009C2D11">
            <w:pPr>
              <w:widowControl w:val="0"/>
              <w:jc w:val="center"/>
              <w:rPr>
                <w:rFonts w:ascii="Source Sans Pro" w:hAnsi="Source Sans Pro" w:cs="Arial"/>
                <w:sz w:val="16"/>
                <w:szCs w:val="16"/>
              </w:rPr>
            </w:pPr>
            <w:r>
              <w:rPr>
                <w:rFonts w:ascii="Source Sans Pro" w:hAnsi="Source Sans Pro"/>
                <w:sz w:val="16"/>
                <w:szCs w:val="16"/>
              </w:rPr>
              <w:t xml:space="preserve">Eclipse, </w:t>
            </w:r>
            <w:r>
              <w:rPr>
                <w:rFonts w:ascii="Source Sans Pro" w:hAnsi="Source Sans Pro"/>
                <w:sz w:val="16"/>
                <w:szCs w:val="16"/>
              </w:rPr>
              <w:br/>
              <w:t>Georg-Glock-</w:t>
            </w:r>
            <w:proofErr w:type="spellStart"/>
            <w:r>
              <w:rPr>
                <w:rFonts w:ascii="Source Sans Pro" w:hAnsi="Source Sans Pro"/>
                <w:sz w:val="16"/>
                <w:szCs w:val="16"/>
              </w:rPr>
              <w:t>Strase</w:t>
            </w:r>
            <w:proofErr w:type="spellEnd"/>
            <w:r>
              <w:rPr>
                <w:rFonts w:ascii="Source Sans Pro" w:hAnsi="Source Sans Pro"/>
                <w:sz w:val="16"/>
                <w:szCs w:val="16"/>
              </w:rPr>
              <w:t xml:space="preserve"> 22</w:t>
            </w:r>
          </w:p>
        </w:tc>
        <w:tc>
          <w:tcPr>
            <w:tcW w:w="2658" w:type="dxa"/>
            <w:shd w:val="clear" w:color="auto" w:fill="D9D9D9" w:themeFill="background1" w:themeFillShade="D9"/>
            <w:vAlign w:val="center"/>
          </w:tcPr>
          <w:p w14:paraId="6B893936" w14:textId="0D9848CA" w:rsidR="00B03DB5" w:rsidRPr="00FD0B89" w:rsidRDefault="00B03DB5" w:rsidP="009C2D11">
            <w:pPr>
              <w:widowControl w:val="0"/>
              <w:jc w:val="center"/>
              <w:rPr>
                <w:rFonts w:ascii="Source Sans Pro" w:hAnsi="Source Sans Pro" w:cs="Arial"/>
                <w:sz w:val="16"/>
                <w:szCs w:val="16"/>
              </w:rPr>
            </w:pPr>
            <w:r>
              <w:rPr>
                <w:rFonts w:ascii="Source Sans Pro" w:hAnsi="Source Sans Pro"/>
                <w:sz w:val="16"/>
                <w:szCs w:val="16"/>
              </w:rPr>
              <w:t>Union Investment  for “</w:t>
            </w:r>
            <w:proofErr w:type="spellStart"/>
            <w:r>
              <w:rPr>
                <w:rFonts w:ascii="Source Sans Pro" w:hAnsi="Source Sans Pro"/>
                <w:sz w:val="16"/>
                <w:szCs w:val="16"/>
              </w:rPr>
              <w:t>UniImmo</w:t>
            </w:r>
            <w:proofErr w:type="spellEnd"/>
            <w:r>
              <w:rPr>
                <w:rFonts w:ascii="Source Sans Pro" w:hAnsi="Source Sans Pro"/>
                <w:sz w:val="16"/>
                <w:szCs w:val="16"/>
              </w:rPr>
              <w:t>: Deutschland"</w:t>
            </w:r>
          </w:p>
        </w:tc>
        <w:tc>
          <w:tcPr>
            <w:tcW w:w="2190" w:type="dxa"/>
            <w:shd w:val="clear" w:color="auto" w:fill="D9D9D9" w:themeFill="background1" w:themeFillShade="D9"/>
            <w:vAlign w:val="center"/>
          </w:tcPr>
          <w:p w14:paraId="0A64C10F" w14:textId="7127991A" w:rsidR="00B03DB5" w:rsidRPr="00FD0B89" w:rsidRDefault="00B03DB5" w:rsidP="009C2D11">
            <w:pPr>
              <w:widowControl w:val="0"/>
              <w:jc w:val="center"/>
              <w:rPr>
                <w:rFonts w:ascii="Source Sans Pro" w:hAnsi="Source Sans Pro" w:cs="Arial"/>
                <w:sz w:val="16"/>
                <w:szCs w:val="16"/>
              </w:rPr>
            </w:pPr>
            <w:r>
              <w:rPr>
                <w:rFonts w:ascii="Source Sans Pro" w:hAnsi="Source Sans Pro"/>
                <w:sz w:val="16"/>
                <w:szCs w:val="16"/>
              </w:rPr>
              <w:t>die developer</w:t>
            </w:r>
          </w:p>
        </w:tc>
        <w:tc>
          <w:tcPr>
            <w:tcW w:w="1014" w:type="dxa"/>
            <w:shd w:val="clear" w:color="auto" w:fill="D9D9D9" w:themeFill="background1" w:themeFillShade="D9"/>
            <w:vAlign w:val="center"/>
          </w:tcPr>
          <w:p w14:paraId="564F1A6A" w14:textId="6573C3BE" w:rsidR="00B03DB5" w:rsidRDefault="00B03DB5" w:rsidP="009C2D11">
            <w:pPr>
              <w:widowControl w:val="0"/>
              <w:jc w:val="center"/>
              <w:rPr>
                <w:rFonts w:ascii="Source Sans Pro" w:hAnsi="Source Sans Pro" w:cs="Arial"/>
                <w:sz w:val="16"/>
                <w:szCs w:val="16"/>
              </w:rPr>
            </w:pPr>
            <w:r>
              <w:rPr>
                <w:rFonts w:ascii="Source Sans Pro" w:hAnsi="Source Sans Pro"/>
                <w:sz w:val="16"/>
                <w:szCs w:val="16"/>
              </w:rPr>
              <w:t>250</w:t>
            </w:r>
          </w:p>
        </w:tc>
      </w:tr>
      <w:tr w:rsidR="00164FEC" w:rsidRPr="00161817" w14:paraId="5A521CA0" w14:textId="77777777" w:rsidTr="00490237">
        <w:trPr>
          <w:trHeight w:val="56"/>
        </w:trPr>
        <w:tc>
          <w:tcPr>
            <w:tcW w:w="687" w:type="dxa"/>
            <w:shd w:val="clear" w:color="auto" w:fill="AEAAAA" w:themeFill="background2" w:themeFillShade="BF"/>
            <w:vAlign w:val="center"/>
          </w:tcPr>
          <w:p w14:paraId="7D26CEC7" w14:textId="77777777" w:rsidR="00164FEC" w:rsidRDefault="00164FEC" w:rsidP="009C2D11">
            <w:pPr>
              <w:widowControl w:val="0"/>
              <w:jc w:val="center"/>
              <w:rPr>
                <w:rFonts w:ascii="Source Sans Pro" w:hAnsi="Source Sans Pro" w:cs="Arial"/>
                <w:sz w:val="16"/>
                <w:szCs w:val="16"/>
              </w:rPr>
            </w:pPr>
          </w:p>
        </w:tc>
        <w:tc>
          <w:tcPr>
            <w:tcW w:w="2682" w:type="dxa"/>
            <w:shd w:val="clear" w:color="auto" w:fill="AEAAAA" w:themeFill="background2" w:themeFillShade="BF"/>
            <w:vAlign w:val="center"/>
          </w:tcPr>
          <w:p w14:paraId="54D79E4E" w14:textId="77777777" w:rsidR="00164FEC" w:rsidRPr="00B03DB5" w:rsidRDefault="00164FEC" w:rsidP="009C2D11">
            <w:pPr>
              <w:widowControl w:val="0"/>
              <w:jc w:val="center"/>
              <w:rPr>
                <w:rFonts w:ascii="Source Sans Pro" w:hAnsi="Source Sans Pro" w:cs="Arial"/>
                <w:sz w:val="16"/>
                <w:szCs w:val="16"/>
              </w:rPr>
            </w:pPr>
          </w:p>
        </w:tc>
        <w:tc>
          <w:tcPr>
            <w:tcW w:w="2658" w:type="dxa"/>
            <w:shd w:val="clear" w:color="auto" w:fill="AEAAAA" w:themeFill="background2" w:themeFillShade="BF"/>
            <w:vAlign w:val="center"/>
          </w:tcPr>
          <w:p w14:paraId="6EE0FF02" w14:textId="77777777" w:rsidR="00164FEC" w:rsidRPr="00B03DB5" w:rsidRDefault="00164FEC" w:rsidP="009C2D11">
            <w:pPr>
              <w:widowControl w:val="0"/>
              <w:jc w:val="center"/>
              <w:rPr>
                <w:rFonts w:ascii="Source Sans Pro" w:hAnsi="Source Sans Pro" w:cs="Arial"/>
                <w:sz w:val="16"/>
                <w:szCs w:val="16"/>
              </w:rPr>
            </w:pPr>
          </w:p>
        </w:tc>
        <w:tc>
          <w:tcPr>
            <w:tcW w:w="2190" w:type="dxa"/>
            <w:shd w:val="clear" w:color="auto" w:fill="AEAAAA" w:themeFill="background2" w:themeFillShade="BF"/>
            <w:vAlign w:val="center"/>
          </w:tcPr>
          <w:p w14:paraId="48A3E66A" w14:textId="77777777" w:rsidR="00164FEC" w:rsidRPr="00B03DB5" w:rsidRDefault="00164FEC" w:rsidP="009C2D11">
            <w:pPr>
              <w:widowControl w:val="0"/>
              <w:jc w:val="center"/>
              <w:rPr>
                <w:rFonts w:ascii="Source Sans Pro" w:hAnsi="Source Sans Pro" w:cs="Arial"/>
                <w:sz w:val="16"/>
                <w:szCs w:val="16"/>
              </w:rPr>
            </w:pPr>
          </w:p>
        </w:tc>
        <w:tc>
          <w:tcPr>
            <w:tcW w:w="1014" w:type="dxa"/>
            <w:shd w:val="clear" w:color="auto" w:fill="AEAAAA" w:themeFill="background2" w:themeFillShade="BF"/>
            <w:vAlign w:val="center"/>
          </w:tcPr>
          <w:p w14:paraId="52CB3F8E" w14:textId="77777777" w:rsidR="00164FEC" w:rsidRDefault="00164FEC" w:rsidP="009C2D11">
            <w:pPr>
              <w:widowControl w:val="0"/>
              <w:jc w:val="center"/>
              <w:rPr>
                <w:rFonts w:ascii="Source Sans Pro" w:hAnsi="Source Sans Pro" w:cs="Arial"/>
                <w:sz w:val="16"/>
                <w:szCs w:val="16"/>
              </w:rPr>
            </w:pPr>
          </w:p>
        </w:tc>
      </w:tr>
      <w:tr w:rsidR="00164FEC" w:rsidRPr="00161817" w14:paraId="0A1D279A" w14:textId="77777777" w:rsidTr="00490237">
        <w:trPr>
          <w:trHeight w:val="552"/>
        </w:trPr>
        <w:tc>
          <w:tcPr>
            <w:tcW w:w="687" w:type="dxa"/>
            <w:shd w:val="clear" w:color="auto" w:fill="D9D9D9" w:themeFill="background1" w:themeFillShade="D9"/>
            <w:vAlign w:val="center"/>
          </w:tcPr>
          <w:p w14:paraId="6D796694" w14:textId="18849F2A" w:rsidR="00164FEC" w:rsidRDefault="00164FEC" w:rsidP="00164FEC">
            <w:pPr>
              <w:widowControl w:val="0"/>
              <w:jc w:val="center"/>
              <w:rPr>
                <w:rFonts w:ascii="Source Sans Pro" w:hAnsi="Source Sans Pro" w:cs="Arial"/>
                <w:sz w:val="16"/>
                <w:szCs w:val="16"/>
              </w:rPr>
            </w:pPr>
            <w:r>
              <w:rPr>
                <w:rFonts w:ascii="Source Sans Pro" w:hAnsi="Source Sans Pro"/>
                <w:sz w:val="16"/>
                <w:szCs w:val="16"/>
              </w:rPr>
              <w:t>BER</w:t>
            </w:r>
          </w:p>
        </w:tc>
        <w:tc>
          <w:tcPr>
            <w:tcW w:w="2682" w:type="dxa"/>
            <w:shd w:val="clear" w:color="auto" w:fill="D9D9D9" w:themeFill="background1" w:themeFillShade="D9"/>
            <w:vAlign w:val="center"/>
          </w:tcPr>
          <w:p w14:paraId="6561288F" w14:textId="32DABE5D" w:rsidR="00164FEC" w:rsidRPr="00B03DB5" w:rsidRDefault="00164FEC" w:rsidP="00164FEC">
            <w:pPr>
              <w:widowControl w:val="0"/>
              <w:jc w:val="center"/>
              <w:rPr>
                <w:rFonts w:ascii="Source Sans Pro" w:hAnsi="Source Sans Pro" w:cs="Arial"/>
                <w:sz w:val="16"/>
                <w:szCs w:val="16"/>
              </w:rPr>
            </w:pPr>
            <w:r>
              <w:rPr>
                <w:rFonts w:ascii="Source Sans Pro" w:hAnsi="Source Sans Pro"/>
                <w:sz w:val="16"/>
                <w:szCs w:val="16"/>
              </w:rPr>
              <w:t>Techno Campus</w:t>
            </w:r>
          </w:p>
        </w:tc>
        <w:tc>
          <w:tcPr>
            <w:tcW w:w="2658" w:type="dxa"/>
            <w:shd w:val="clear" w:color="auto" w:fill="D9D9D9" w:themeFill="background1" w:themeFillShade="D9"/>
            <w:vAlign w:val="center"/>
          </w:tcPr>
          <w:p w14:paraId="5B5DEC42" w14:textId="0CC5C0CB" w:rsidR="00164FEC" w:rsidRPr="00B03DB5" w:rsidRDefault="00164FEC" w:rsidP="00164FEC">
            <w:pPr>
              <w:widowControl w:val="0"/>
              <w:jc w:val="center"/>
              <w:rPr>
                <w:rFonts w:ascii="Source Sans Pro" w:hAnsi="Source Sans Pro" w:cs="Arial"/>
                <w:sz w:val="16"/>
                <w:szCs w:val="16"/>
              </w:rPr>
            </w:pPr>
            <w:proofErr w:type="spellStart"/>
            <w:r>
              <w:rPr>
                <w:rFonts w:ascii="Source Sans Pro" w:hAnsi="Source Sans Pro"/>
                <w:sz w:val="16"/>
                <w:szCs w:val="16"/>
              </w:rPr>
              <w:t>Caleus</w:t>
            </w:r>
            <w:proofErr w:type="spellEnd"/>
            <w:r>
              <w:rPr>
                <w:rFonts w:ascii="Source Sans Pro" w:hAnsi="Source Sans Pro"/>
                <w:sz w:val="16"/>
                <w:szCs w:val="16"/>
              </w:rPr>
              <w:t xml:space="preserve">  Capital Partners for Singapore State Fund</w:t>
            </w:r>
          </w:p>
        </w:tc>
        <w:tc>
          <w:tcPr>
            <w:tcW w:w="2190" w:type="dxa"/>
            <w:shd w:val="clear" w:color="auto" w:fill="D9D9D9" w:themeFill="background1" w:themeFillShade="D9"/>
            <w:vAlign w:val="center"/>
          </w:tcPr>
          <w:p w14:paraId="3D3D98E9" w14:textId="1981D868" w:rsidR="00164FEC" w:rsidRPr="00B03DB5" w:rsidRDefault="00164FEC" w:rsidP="00164FEC">
            <w:pPr>
              <w:widowControl w:val="0"/>
              <w:jc w:val="center"/>
              <w:rPr>
                <w:rFonts w:ascii="Source Sans Pro" w:hAnsi="Source Sans Pro" w:cs="Arial"/>
                <w:sz w:val="16"/>
                <w:szCs w:val="16"/>
              </w:rPr>
            </w:pPr>
            <w:r>
              <w:rPr>
                <w:rFonts w:ascii="Source Sans Pro" w:hAnsi="Source Sans Pro"/>
                <w:sz w:val="16"/>
                <w:szCs w:val="16"/>
              </w:rPr>
              <w:t>AXA IM</w:t>
            </w:r>
          </w:p>
        </w:tc>
        <w:tc>
          <w:tcPr>
            <w:tcW w:w="1014" w:type="dxa"/>
            <w:shd w:val="clear" w:color="auto" w:fill="D9D9D9" w:themeFill="background1" w:themeFillShade="D9"/>
            <w:vAlign w:val="center"/>
          </w:tcPr>
          <w:p w14:paraId="7F2002ED" w14:textId="3DB6C419" w:rsidR="00164FEC" w:rsidRDefault="009B3DF9" w:rsidP="00164FEC">
            <w:pPr>
              <w:widowControl w:val="0"/>
              <w:jc w:val="center"/>
              <w:rPr>
                <w:rFonts w:ascii="Source Sans Pro" w:hAnsi="Source Sans Pro" w:cs="Arial"/>
                <w:sz w:val="16"/>
                <w:szCs w:val="16"/>
              </w:rPr>
            </w:pPr>
            <w:proofErr w:type="spellStart"/>
            <w:r>
              <w:rPr>
                <w:rFonts w:ascii="Source Sans Pro" w:hAnsi="Source Sans Pro"/>
                <w:sz w:val="16"/>
                <w:szCs w:val="16"/>
              </w:rPr>
              <w:t>C</w:t>
            </w:r>
            <w:r w:rsidR="00164FEC">
              <w:rPr>
                <w:rFonts w:ascii="Source Sans Pro" w:hAnsi="Source Sans Pro"/>
                <w:sz w:val="16"/>
                <w:szCs w:val="16"/>
              </w:rPr>
              <w:t>onfiden</w:t>
            </w:r>
            <w:r>
              <w:rPr>
                <w:rFonts w:ascii="Source Sans Pro" w:hAnsi="Source Sans Pro"/>
                <w:sz w:val="16"/>
                <w:szCs w:val="16"/>
              </w:rPr>
              <w:t>-</w:t>
            </w:r>
            <w:r w:rsidR="00164FEC">
              <w:rPr>
                <w:rFonts w:ascii="Source Sans Pro" w:hAnsi="Source Sans Pro"/>
                <w:sz w:val="16"/>
                <w:szCs w:val="16"/>
              </w:rPr>
              <w:t>tial</w:t>
            </w:r>
            <w:proofErr w:type="spellEnd"/>
          </w:p>
        </w:tc>
      </w:tr>
    </w:tbl>
    <w:p w14:paraId="42561C64" w14:textId="7751DD71" w:rsidR="00966A04" w:rsidRDefault="00BF5E1D" w:rsidP="00EF0944">
      <w:pPr>
        <w:widowControl w:val="0"/>
        <w:rPr>
          <w:rFonts w:ascii="Source Sans Pro" w:hAnsi="Source Sans Pro" w:cs="Arial"/>
          <w:sz w:val="16"/>
          <w:szCs w:val="16"/>
        </w:rPr>
      </w:pPr>
      <w:r>
        <w:rPr>
          <w:rFonts w:ascii="Source Sans Pro" w:hAnsi="Source Sans Pro"/>
          <w:sz w:val="16"/>
          <w:szCs w:val="16"/>
        </w:rPr>
        <w:t>Transactions occurring in the quarter covered by this report are highlighted. Source: German Property Partners (GPP)</w:t>
      </w:r>
    </w:p>
    <w:p w14:paraId="69DE2892" w14:textId="77777777" w:rsidR="00490237" w:rsidRDefault="00490237" w:rsidP="00EF0944">
      <w:pPr>
        <w:widowControl w:val="0"/>
        <w:rPr>
          <w:rFonts w:ascii="Source Sans Pro" w:hAnsi="Source Sans Pro"/>
          <w:b/>
          <w:sz w:val="20"/>
        </w:rPr>
      </w:pPr>
    </w:p>
    <w:p w14:paraId="42791304" w14:textId="5A7F8A01" w:rsidR="00161817" w:rsidRPr="00EF0944" w:rsidRDefault="00073A63" w:rsidP="00EF0944">
      <w:pPr>
        <w:widowControl w:val="0"/>
        <w:rPr>
          <w:rFonts w:ascii="Source Sans Pro" w:hAnsi="Source Sans Pro" w:cs="Arial"/>
          <w:sz w:val="16"/>
          <w:szCs w:val="16"/>
        </w:rPr>
      </w:pPr>
      <w:r>
        <w:rPr>
          <w:rFonts w:ascii="Source Sans Pro" w:hAnsi="Source Sans Pro"/>
          <w:b/>
          <w:sz w:val="20"/>
        </w:rPr>
        <w:br/>
        <w:t xml:space="preserve">Top 7 cities | </w:t>
      </w:r>
      <w:r w:rsidR="00490237">
        <w:rPr>
          <w:rFonts w:ascii="Source Sans Pro" w:hAnsi="Source Sans Pro"/>
          <w:b/>
          <w:sz w:val="20"/>
        </w:rPr>
        <w:t>Q1-3</w:t>
      </w:r>
      <w:r>
        <w:rPr>
          <w:rFonts w:ascii="Source Sans Pro" w:hAnsi="Source Sans Pro"/>
          <w:b/>
          <w:sz w:val="20"/>
        </w:rPr>
        <w:t xml:space="preserve"> 2022</w:t>
      </w:r>
    </w:p>
    <w:tbl>
      <w:tblPr>
        <w:tblStyle w:val="TableGrid2"/>
        <w:tblW w:w="0" w:type="auto"/>
        <w:tblLook w:val="04A0" w:firstRow="1" w:lastRow="0" w:firstColumn="1" w:lastColumn="0" w:noHBand="0" w:noVBand="1"/>
      </w:tblPr>
      <w:tblGrid>
        <w:gridCol w:w="1809"/>
        <w:gridCol w:w="947"/>
        <w:gridCol w:w="816"/>
        <w:gridCol w:w="933"/>
        <w:gridCol w:w="937"/>
        <w:gridCol w:w="937"/>
        <w:gridCol w:w="932"/>
        <w:gridCol w:w="936"/>
        <w:gridCol w:w="800"/>
      </w:tblGrid>
      <w:tr w:rsidR="00161817" w:rsidRPr="00161817" w14:paraId="22958352" w14:textId="77777777" w:rsidTr="00490237">
        <w:tc>
          <w:tcPr>
            <w:tcW w:w="1809" w:type="dxa"/>
          </w:tcPr>
          <w:p w14:paraId="39DB6921" w14:textId="77777777" w:rsidR="00161817" w:rsidRPr="00161817" w:rsidRDefault="00161817" w:rsidP="009E6C40">
            <w:pPr>
              <w:widowControl w:val="0"/>
              <w:jc w:val="both"/>
              <w:rPr>
                <w:rFonts w:ascii="Source Sans Pro" w:hAnsi="Source Sans Pro" w:cs="Arial"/>
                <w:b/>
                <w:sz w:val="16"/>
                <w:szCs w:val="16"/>
              </w:rPr>
            </w:pPr>
          </w:p>
        </w:tc>
        <w:tc>
          <w:tcPr>
            <w:tcW w:w="947" w:type="dxa"/>
          </w:tcPr>
          <w:p w14:paraId="315CE750"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HAM</w:t>
            </w:r>
          </w:p>
        </w:tc>
        <w:tc>
          <w:tcPr>
            <w:tcW w:w="816" w:type="dxa"/>
          </w:tcPr>
          <w:p w14:paraId="5422B71C"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BER</w:t>
            </w:r>
          </w:p>
        </w:tc>
        <w:tc>
          <w:tcPr>
            <w:tcW w:w="933" w:type="dxa"/>
          </w:tcPr>
          <w:p w14:paraId="52D79F36"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DUS</w:t>
            </w:r>
          </w:p>
        </w:tc>
        <w:tc>
          <w:tcPr>
            <w:tcW w:w="937" w:type="dxa"/>
          </w:tcPr>
          <w:p w14:paraId="3503C5FE"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CGN</w:t>
            </w:r>
          </w:p>
        </w:tc>
        <w:tc>
          <w:tcPr>
            <w:tcW w:w="937" w:type="dxa"/>
          </w:tcPr>
          <w:p w14:paraId="6CCF5FE9"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FFM</w:t>
            </w:r>
          </w:p>
        </w:tc>
        <w:tc>
          <w:tcPr>
            <w:tcW w:w="932" w:type="dxa"/>
          </w:tcPr>
          <w:p w14:paraId="6A9F6826"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STU</w:t>
            </w:r>
          </w:p>
        </w:tc>
        <w:tc>
          <w:tcPr>
            <w:tcW w:w="936" w:type="dxa"/>
          </w:tcPr>
          <w:p w14:paraId="006B7969"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MUC</w:t>
            </w:r>
          </w:p>
        </w:tc>
        <w:tc>
          <w:tcPr>
            <w:tcW w:w="800" w:type="dxa"/>
          </w:tcPr>
          <w:p w14:paraId="361D716F" w14:textId="77777777" w:rsidR="00161817" w:rsidRPr="00161817" w:rsidRDefault="00161817" w:rsidP="009E6C40">
            <w:pPr>
              <w:widowControl w:val="0"/>
              <w:jc w:val="center"/>
              <w:rPr>
                <w:rFonts w:ascii="Source Sans Pro" w:hAnsi="Source Sans Pro" w:cs="Arial"/>
                <w:b/>
                <w:sz w:val="16"/>
                <w:szCs w:val="16"/>
              </w:rPr>
            </w:pPr>
            <w:r>
              <w:rPr>
                <w:rFonts w:ascii="Source Sans Pro" w:hAnsi="Source Sans Pro"/>
                <w:b/>
                <w:sz w:val="16"/>
                <w:szCs w:val="16"/>
              </w:rPr>
              <w:t>Top 7</w:t>
            </w:r>
          </w:p>
        </w:tc>
      </w:tr>
      <w:tr w:rsidR="00161817" w:rsidRPr="00161817" w14:paraId="5211E41C" w14:textId="77777777" w:rsidTr="00490237">
        <w:tc>
          <w:tcPr>
            <w:tcW w:w="1809" w:type="dxa"/>
          </w:tcPr>
          <w:p w14:paraId="5CDBB77B"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Transaction volume</w:t>
            </w:r>
          </w:p>
          <w:p w14:paraId="741AC997" w14:textId="298E11E1" w:rsidR="00161817" w:rsidRPr="00161817" w:rsidRDefault="00490237" w:rsidP="009E6C40">
            <w:pPr>
              <w:widowControl w:val="0"/>
              <w:jc w:val="both"/>
              <w:rPr>
                <w:rFonts w:ascii="Source Sans Pro" w:hAnsi="Source Sans Pro" w:cs="Arial"/>
                <w:b/>
                <w:sz w:val="16"/>
                <w:szCs w:val="16"/>
              </w:rPr>
            </w:pPr>
            <w:r>
              <w:rPr>
                <w:rFonts w:ascii="Source Sans Pro" w:hAnsi="Source Sans Pro"/>
                <w:sz w:val="16"/>
                <w:szCs w:val="16"/>
              </w:rPr>
              <w:t>i</w:t>
            </w:r>
            <w:r w:rsidR="00161817">
              <w:rPr>
                <w:rFonts w:ascii="Source Sans Pro" w:hAnsi="Source Sans Pro"/>
                <w:sz w:val="16"/>
                <w:szCs w:val="16"/>
              </w:rPr>
              <w:t>n €m</w:t>
            </w:r>
          </w:p>
        </w:tc>
        <w:tc>
          <w:tcPr>
            <w:tcW w:w="947" w:type="dxa"/>
            <w:vAlign w:val="center"/>
          </w:tcPr>
          <w:p w14:paraId="42B492E0" w14:textId="65981FA8" w:rsidR="00161817" w:rsidRPr="00161817" w:rsidRDefault="00E22C71" w:rsidP="009E6C40">
            <w:pPr>
              <w:widowControl w:val="0"/>
              <w:jc w:val="center"/>
              <w:rPr>
                <w:rFonts w:ascii="Source Sans Pro" w:hAnsi="Source Sans Pro" w:cs="Arial"/>
                <w:sz w:val="16"/>
                <w:szCs w:val="16"/>
              </w:rPr>
            </w:pPr>
            <w:r>
              <w:rPr>
                <w:rFonts w:ascii="Source Sans Pro" w:hAnsi="Source Sans Pro"/>
                <w:sz w:val="16"/>
                <w:szCs w:val="16"/>
              </w:rPr>
              <w:t>3,900</w:t>
            </w:r>
          </w:p>
        </w:tc>
        <w:tc>
          <w:tcPr>
            <w:tcW w:w="816" w:type="dxa"/>
            <w:vAlign w:val="center"/>
          </w:tcPr>
          <w:p w14:paraId="2473804E" w14:textId="724DA5B9" w:rsidR="00161817" w:rsidRPr="00490237" w:rsidRDefault="00594FAC" w:rsidP="009E6C40">
            <w:pPr>
              <w:widowControl w:val="0"/>
              <w:jc w:val="center"/>
              <w:rPr>
                <w:rFonts w:ascii="Source Sans Pro" w:hAnsi="Source Sans Pro" w:cs="Arial"/>
                <w:sz w:val="16"/>
                <w:szCs w:val="16"/>
                <w:u w:val="single"/>
              </w:rPr>
            </w:pPr>
            <w:r w:rsidRPr="00490237">
              <w:rPr>
                <w:rFonts w:ascii="Source Sans Pro" w:hAnsi="Source Sans Pro"/>
                <w:sz w:val="16"/>
                <w:szCs w:val="16"/>
                <w:u w:val="single"/>
              </w:rPr>
              <w:t>6,300</w:t>
            </w:r>
          </w:p>
        </w:tc>
        <w:tc>
          <w:tcPr>
            <w:tcW w:w="933" w:type="dxa"/>
            <w:vAlign w:val="center"/>
          </w:tcPr>
          <w:p w14:paraId="7E0DFD82" w14:textId="716D0ABC" w:rsidR="00161817" w:rsidRPr="00EC4845" w:rsidRDefault="00E22C71" w:rsidP="009E6C40">
            <w:pPr>
              <w:widowControl w:val="0"/>
              <w:jc w:val="center"/>
              <w:rPr>
                <w:rFonts w:ascii="Source Sans Pro" w:hAnsi="Source Sans Pro" w:cs="Arial"/>
                <w:sz w:val="16"/>
                <w:szCs w:val="16"/>
              </w:rPr>
            </w:pPr>
            <w:r>
              <w:rPr>
                <w:rFonts w:ascii="Source Sans Pro" w:hAnsi="Source Sans Pro"/>
                <w:sz w:val="16"/>
                <w:szCs w:val="16"/>
              </w:rPr>
              <w:t>2,400</w:t>
            </w:r>
          </w:p>
        </w:tc>
        <w:tc>
          <w:tcPr>
            <w:tcW w:w="937" w:type="dxa"/>
            <w:vAlign w:val="center"/>
          </w:tcPr>
          <w:p w14:paraId="79C367DF" w14:textId="3C3DB855" w:rsidR="00161817" w:rsidRPr="00161817" w:rsidRDefault="00E22C71" w:rsidP="009E6C40">
            <w:pPr>
              <w:widowControl w:val="0"/>
              <w:jc w:val="center"/>
              <w:rPr>
                <w:rFonts w:ascii="Source Sans Pro" w:hAnsi="Source Sans Pro" w:cs="Arial"/>
                <w:sz w:val="16"/>
                <w:szCs w:val="16"/>
              </w:rPr>
            </w:pPr>
            <w:r>
              <w:rPr>
                <w:rFonts w:ascii="Source Sans Pro" w:hAnsi="Source Sans Pro"/>
                <w:sz w:val="16"/>
                <w:szCs w:val="16"/>
              </w:rPr>
              <w:t>850</w:t>
            </w:r>
          </w:p>
        </w:tc>
        <w:tc>
          <w:tcPr>
            <w:tcW w:w="937" w:type="dxa"/>
            <w:vAlign w:val="center"/>
          </w:tcPr>
          <w:p w14:paraId="5874DBC2" w14:textId="7D7438C6" w:rsidR="00161817" w:rsidRPr="00161817" w:rsidRDefault="00E22C71" w:rsidP="009E6C40">
            <w:pPr>
              <w:widowControl w:val="0"/>
              <w:jc w:val="center"/>
              <w:rPr>
                <w:rFonts w:ascii="Source Sans Pro" w:hAnsi="Source Sans Pro" w:cs="Arial"/>
                <w:sz w:val="16"/>
                <w:szCs w:val="16"/>
              </w:rPr>
            </w:pPr>
            <w:r>
              <w:rPr>
                <w:rFonts w:ascii="Source Sans Pro" w:hAnsi="Source Sans Pro"/>
                <w:sz w:val="16"/>
                <w:szCs w:val="16"/>
              </w:rPr>
              <w:t>4,162</w:t>
            </w:r>
          </w:p>
        </w:tc>
        <w:tc>
          <w:tcPr>
            <w:tcW w:w="932" w:type="dxa"/>
            <w:vAlign w:val="center"/>
          </w:tcPr>
          <w:p w14:paraId="161F8429" w14:textId="3A5F4288" w:rsidR="00161817" w:rsidRPr="00E06757" w:rsidRDefault="00E22C71" w:rsidP="009E6C40">
            <w:pPr>
              <w:widowControl w:val="0"/>
              <w:jc w:val="center"/>
              <w:rPr>
                <w:rFonts w:ascii="Source Sans Pro" w:hAnsi="Source Sans Pro" w:cs="Arial"/>
                <w:sz w:val="16"/>
                <w:szCs w:val="16"/>
              </w:rPr>
            </w:pPr>
            <w:r>
              <w:rPr>
                <w:rFonts w:ascii="Source Sans Pro" w:hAnsi="Source Sans Pro"/>
                <w:sz w:val="16"/>
                <w:szCs w:val="16"/>
              </w:rPr>
              <w:t>841</w:t>
            </w:r>
          </w:p>
        </w:tc>
        <w:tc>
          <w:tcPr>
            <w:tcW w:w="936" w:type="dxa"/>
            <w:shd w:val="clear" w:color="auto" w:fill="auto"/>
            <w:vAlign w:val="center"/>
          </w:tcPr>
          <w:p w14:paraId="521DD4D6" w14:textId="1DA436F5" w:rsidR="00161817" w:rsidRPr="00E06757" w:rsidRDefault="00E22C71" w:rsidP="009E6C40">
            <w:pPr>
              <w:widowControl w:val="0"/>
              <w:jc w:val="center"/>
              <w:rPr>
                <w:rFonts w:ascii="Source Sans Pro" w:hAnsi="Source Sans Pro" w:cs="Arial"/>
                <w:sz w:val="16"/>
                <w:szCs w:val="16"/>
              </w:rPr>
            </w:pPr>
            <w:r>
              <w:rPr>
                <w:rFonts w:ascii="Source Sans Pro" w:hAnsi="Source Sans Pro"/>
                <w:sz w:val="16"/>
                <w:szCs w:val="16"/>
              </w:rPr>
              <w:t>2,449</w:t>
            </w:r>
          </w:p>
        </w:tc>
        <w:tc>
          <w:tcPr>
            <w:tcW w:w="800" w:type="dxa"/>
            <w:vAlign w:val="center"/>
          </w:tcPr>
          <w:p w14:paraId="5D7AFB91" w14:textId="5FD466D7" w:rsidR="00161817" w:rsidRPr="00E06757" w:rsidRDefault="008B03FB" w:rsidP="00594FAC">
            <w:pPr>
              <w:widowControl w:val="0"/>
              <w:jc w:val="center"/>
              <w:rPr>
                <w:rFonts w:ascii="Source Sans Pro" w:hAnsi="Source Sans Pro" w:cs="Arial"/>
                <w:b/>
                <w:sz w:val="16"/>
                <w:szCs w:val="16"/>
              </w:rPr>
            </w:pPr>
            <w:r>
              <w:rPr>
                <w:rFonts w:ascii="Source Sans Pro" w:hAnsi="Source Sans Pro"/>
                <w:b/>
                <w:sz w:val="16"/>
                <w:szCs w:val="16"/>
              </w:rPr>
              <w:t>20,902</w:t>
            </w:r>
          </w:p>
        </w:tc>
      </w:tr>
      <w:tr w:rsidR="00161817" w:rsidRPr="00161817" w14:paraId="6B0F06BC" w14:textId="77777777" w:rsidTr="00490237">
        <w:tc>
          <w:tcPr>
            <w:tcW w:w="1809" w:type="dxa"/>
          </w:tcPr>
          <w:p w14:paraId="1368D85F"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Change</w:t>
            </w:r>
          </w:p>
          <w:p w14:paraId="384171F4"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 xml:space="preserve">against prior </w:t>
            </w:r>
            <w:proofErr w:type="spellStart"/>
            <w:r>
              <w:rPr>
                <w:rFonts w:ascii="Source Sans Pro" w:hAnsi="Source Sans Pro"/>
                <w:sz w:val="16"/>
                <w:szCs w:val="16"/>
              </w:rPr>
              <w:t>yr</w:t>
            </w:r>
            <w:proofErr w:type="spellEnd"/>
            <w:r>
              <w:rPr>
                <w:rFonts w:ascii="Source Sans Pro" w:hAnsi="Source Sans Pro"/>
                <w:sz w:val="16"/>
                <w:szCs w:val="16"/>
              </w:rPr>
              <w:t xml:space="preserve"> in %</w:t>
            </w:r>
          </w:p>
        </w:tc>
        <w:tc>
          <w:tcPr>
            <w:tcW w:w="947" w:type="dxa"/>
            <w:vAlign w:val="center"/>
          </w:tcPr>
          <w:p w14:paraId="41BD7562" w14:textId="0AAC43BA" w:rsidR="00161817" w:rsidRPr="00490237" w:rsidRDefault="00FB563F" w:rsidP="00E22C71">
            <w:pPr>
              <w:widowControl w:val="0"/>
              <w:jc w:val="center"/>
              <w:rPr>
                <w:rFonts w:ascii="Source Sans Pro" w:hAnsi="Source Sans Pro" w:cs="Arial"/>
                <w:sz w:val="16"/>
                <w:szCs w:val="16"/>
                <w:u w:val="single"/>
              </w:rPr>
            </w:pPr>
            <w:r w:rsidRPr="00490237">
              <w:rPr>
                <w:rFonts w:ascii="Source Sans Pro" w:hAnsi="Source Sans Pro"/>
                <w:sz w:val="16"/>
                <w:szCs w:val="16"/>
                <w:u w:val="single"/>
              </w:rPr>
              <w:t>+86</w:t>
            </w:r>
          </w:p>
        </w:tc>
        <w:tc>
          <w:tcPr>
            <w:tcW w:w="816" w:type="dxa"/>
            <w:vAlign w:val="center"/>
          </w:tcPr>
          <w:p w14:paraId="1C4CFEFB" w14:textId="746C04EC" w:rsidR="00161817" w:rsidRPr="000610DA" w:rsidRDefault="00E22C71" w:rsidP="00594FAC">
            <w:pPr>
              <w:widowControl w:val="0"/>
              <w:jc w:val="center"/>
              <w:rPr>
                <w:rFonts w:ascii="Source Sans Pro" w:hAnsi="Source Sans Pro" w:cs="Arial"/>
                <w:sz w:val="16"/>
                <w:szCs w:val="16"/>
              </w:rPr>
            </w:pPr>
            <w:r>
              <w:rPr>
                <w:rFonts w:ascii="Source Sans Pro" w:hAnsi="Source Sans Pro"/>
                <w:sz w:val="16"/>
                <w:szCs w:val="16"/>
              </w:rPr>
              <w:t>-2</w:t>
            </w:r>
          </w:p>
        </w:tc>
        <w:tc>
          <w:tcPr>
            <w:tcW w:w="933" w:type="dxa"/>
            <w:vAlign w:val="center"/>
          </w:tcPr>
          <w:p w14:paraId="50DE9682" w14:textId="1FB438F0" w:rsidR="00161817" w:rsidRPr="00EC4845" w:rsidRDefault="00FB563F" w:rsidP="00E22C71">
            <w:pPr>
              <w:widowControl w:val="0"/>
              <w:jc w:val="center"/>
              <w:rPr>
                <w:rFonts w:ascii="Source Sans Pro" w:hAnsi="Source Sans Pro" w:cs="Arial"/>
                <w:sz w:val="16"/>
                <w:szCs w:val="16"/>
              </w:rPr>
            </w:pPr>
            <w:r>
              <w:rPr>
                <w:rFonts w:ascii="Source Sans Pro" w:hAnsi="Source Sans Pro"/>
                <w:sz w:val="16"/>
                <w:szCs w:val="16"/>
              </w:rPr>
              <w:t>+79</w:t>
            </w:r>
          </w:p>
        </w:tc>
        <w:tc>
          <w:tcPr>
            <w:tcW w:w="937" w:type="dxa"/>
            <w:vAlign w:val="center"/>
          </w:tcPr>
          <w:p w14:paraId="0640E354" w14:textId="5581B826" w:rsidR="00161817" w:rsidRPr="00073A63" w:rsidRDefault="00E22C71" w:rsidP="009E6C40">
            <w:pPr>
              <w:widowControl w:val="0"/>
              <w:jc w:val="center"/>
              <w:rPr>
                <w:rFonts w:ascii="Source Sans Pro" w:hAnsi="Source Sans Pro" w:cs="Arial"/>
                <w:sz w:val="16"/>
                <w:szCs w:val="16"/>
              </w:rPr>
            </w:pPr>
            <w:r>
              <w:rPr>
                <w:rFonts w:ascii="Source Sans Pro" w:hAnsi="Source Sans Pro"/>
                <w:sz w:val="16"/>
                <w:szCs w:val="16"/>
              </w:rPr>
              <w:t>-29</w:t>
            </w:r>
          </w:p>
        </w:tc>
        <w:tc>
          <w:tcPr>
            <w:tcW w:w="937" w:type="dxa"/>
            <w:vAlign w:val="center"/>
          </w:tcPr>
          <w:p w14:paraId="025DC8CA" w14:textId="4D6371F4" w:rsidR="00161817" w:rsidRPr="00073A63" w:rsidRDefault="00E22C71" w:rsidP="009E6C40">
            <w:pPr>
              <w:widowControl w:val="0"/>
              <w:jc w:val="center"/>
              <w:rPr>
                <w:rFonts w:ascii="Source Sans Pro" w:hAnsi="Source Sans Pro" w:cs="Arial"/>
                <w:sz w:val="16"/>
                <w:szCs w:val="16"/>
              </w:rPr>
            </w:pPr>
            <w:r>
              <w:rPr>
                <w:rFonts w:ascii="Source Sans Pro" w:hAnsi="Source Sans Pro"/>
                <w:sz w:val="16"/>
                <w:szCs w:val="16"/>
              </w:rPr>
              <w:t>-4</w:t>
            </w:r>
          </w:p>
        </w:tc>
        <w:tc>
          <w:tcPr>
            <w:tcW w:w="932" w:type="dxa"/>
            <w:vAlign w:val="center"/>
          </w:tcPr>
          <w:p w14:paraId="62EC947E" w14:textId="323460ED" w:rsidR="00161817" w:rsidRPr="00E06757" w:rsidRDefault="00FB563F" w:rsidP="00E22C71">
            <w:pPr>
              <w:widowControl w:val="0"/>
              <w:jc w:val="center"/>
              <w:rPr>
                <w:rFonts w:ascii="Source Sans Pro" w:hAnsi="Source Sans Pro" w:cs="Arial"/>
                <w:sz w:val="16"/>
                <w:szCs w:val="16"/>
              </w:rPr>
            </w:pPr>
            <w:r>
              <w:rPr>
                <w:rFonts w:ascii="Source Sans Pro" w:hAnsi="Source Sans Pro"/>
                <w:sz w:val="16"/>
                <w:szCs w:val="16"/>
              </w:rPr>
              <w:t>+7</w:t>
            </w:r>
          </w:p>
        </w:tc>
        <w:tc>
          <w:tcPr>
            <w:tcW w:w="936" w:type="dxa"/>
            <w:shd w:val="clear" w:color="auto" w:fill="auto"/>
            <w:vAlign w:val="center"/>
          </w:tcPr>
          <w:p w14:paraId="29099EF0" w14:textId="6E04582C" w:rsidR="00161817" w:rsidRPr="00E06757" w:rsidRDefault="00FB563F" w:rsidP="00E22C71">
            <w:pPr>
              <w:widowControl w:val="0"/>
              <w:jc w:val="center"/>
              <w:rPr>
                <w:rFonts w:ascii="Source Sans Pro" w:hAnsi="Source Sans Pro" w:cs="Arial"/>
                <w:sz w:val="16"/>
                <w:szCs w:val="16"/>
              </w:rPr>
            </w:pPr>
            <w:r>
              <w:rPr>
                <w:rFonts w:ascii="Source Sans Pro" w:hAnsi="Source Sans Pro"/>
                <w:sz w:val="16"/>
                <w:szCs w:val="16"/>
              </w:rPr>
              <w:t>-33</w:t>
            </w:r>
          </w:p>
        </w:tc>
        <w:tc>
          <w:tcPr>
            <w:tcW w:w="800" w:type="dxa"/>
            <w:vAlign w:val="center"/>
          </w:tcPr>
          <w:p w14:paraId="71231CA6" w14:textId="5A51924B" w:rsidR="00161817" w:rsidRPr="00E06757" w:rsidRDefault="008B03FB" w:rsidP="009F488A">
            <w:pPr>
              <w:widowControl w:val="0"/>
              <w:jc w:val="center"/>
              <w:rPr>
                <w:rFonts w:ascii="Source Sans Pro" w:hAnsi="Source Sans Pro" w:cs="Arial"/>
                <w:b/>
                <w:sz w:val="16"/>
                <w:szCs w:val="16"/>
              </w:rPr>
            </w:pPr>
            <w:r>
              <w:rPr>
                <w:rFonts w:ascii="Source Sans Pro" w:hAnsi="Source Sans Pro"/>
                <w:b/>
                <w:sz w:val="16"/>
                <w:szCs w:val="16"/>
              </w:rPr>
              <w:t>+5</w:t>
            </w:r>
          </w:p>
        </w:tc>
      </w:tr>
      <w:tr w:rsidR="00161817" w:rsidRPr="00161817" w14:paraId="7F708548" w14:textId="77777777" w:rsidTr="00490237">
        <w:tc>
          <w:tcPr>
            <w:tcW w:w="1809" w:type="dxa"/>
          </w:tcPr>
          <w:p w14:paraId="3A825302"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b/>
                <w:sz w:val="16"/>
                <w:szCs w:val="16"/>
              </w:rPr>
              <w:t>Prime yield*, offices</w:t>
            </w:r>
          </w:p>
          <w:p w14:paraId="34B73F2E" w14:textId="77777777" w:rsidR="00161817" w:rsidRPr="00161817" w:rsidRDefault="00161817" w:rsidP="009E6C40">
            <w:pPr>
              <w:widowControl w:val="0"/>
              <w:jc w:val="both"/>
              <w:rPr>
                <w:rFonts w:ascii="Source Sans Pro" w:hAnsi="Source Sans Pro" w:cs="Arial"/>
                <w:b/>
                <w:sz w:val="16"/>
                <w:szCs w:val="16"/>
              </w:rPr>
            </w:pPr>
            <w:r>
              <w:rPr>
                <w:rFonts w:ascii="Source Sans Pro" w:hAnsi="Source Sans Pro"/>
                <w:sz w:val="16"/>
                <w:szCs w:val="16"/>
              </w:rPr>
              <w:t>in %</w:t>
            </w:r>
          </w:p>
        </w:tc>
        <w:tc>
          <w:tcPr>
            <w:tcW w:w="947" w:type="dxa"/>
            <w:vAlign w:val="center"/>
          </w:tcPr>
          <w:p w14:paraId="74FF9E2D" w14:textId="7BC43298" w:rsidR="00161817" w:rsidRPr="000610DA" w:rsidRDefault="00E22C71" w:rsidP="009E6C40">
            <w:pPr>
              <w:widowControl w:val="0"/>
              <w:jc w:val="center"/>
              <w:rPr>
                <w:rFonts w:ascii="Source Sans Pro" w:hAnsi="Source Sans Pro" w:cs="Arial"/>
                <w:sz w:val="16"/>
                <w:szCs w:val="16"/>
              </w:rPr>
            </w:pPr>
            <w:r>
              <w:rPr>
                <w:rFonts w:ascii="Source Sans Pro" w:hAnsi="Source Sans Pro"/>
                <w:sz w:val="16"/>
                <w:szCs w:val="16"/>
              </w:rPr>
              <w:t>2.90</w:t>
            </w:r>
          </w:p>
        </w:tc>
        <w:tc>
          <w:tcPr>
            <w:tcW w:w="816" w:type="dxa"/>
            <w:vAlign w:val="center"/>
          </w:tcPr>
          <w:p w14:paraId="0D6415B8" w14:textId="285563A5" w:rsidR="00161817" w:rsidRPr="000610DA" w:rsidRDefault="00E22C71" w:rsidP="009E6C40">
            <w:pPr>
              <w:widowControl w:val="0"/>
              <w:jc w:val="center"/>
              <w:rPr>
                <w:rFonts w:ascii="Source Sans Pro" w:hAnsi="Source Sans Pro" w:cs="Arial"/>
                <w:sz w:val="16"/>
                <w:szCs w:val="16"/>
              </w:rPr>
            </w:pPr>
            <w:r>
              <w:rPr>
                <w:rFonts w:ascii="Source Sans Pro" w:hAnsi="Source Sans Pro"/>
                <w:sz w:val="16"/>
                <w:szCs w:val="16"/>
              </w:rPr>
              <w:t>2.90</w:t>
            </w:r>
          </w:p>
        </w:tc>
        <w:tc>
          <w:tcPr>
            <w:tcW w:w="933" w:type="dxa"/>
            <w:vAlign w:val="center"/>
          </w:tcPr>
          <w:p w14:paraId="53A1E093" w14:textId="36CF1E0D" w:rsidR="00161817" w:rsidRPr="00EC4845" w:rsidRDefault="00E22C71" w:rsidP="009E6C40">
            <w:pPr>
              <w:widowControl w:val="0"/>
              <w:jc w:val="center"/>
              <w:rPr>
                <w:rFonts w:ascii="Source Sans Pro" w:hAnsi="Source Sans Pro" w:cs="Arial"/>
                <w:sz w:val="16"/>
                <w:szCs w:val="16"/>
              </w:rPr>
            </w:pPr>
            <w:r>
              <w:rPr>
                <w:rFonts w:ascii="Source Sans Pro" w:hAnsi="Source Sans Pro"/>
                <w:sz w:val="16"/>
                <w:szCs w:val="16"/>
              </w:rPr>
              <w:t>3.20</w:t>
            </w:r>
          </w:p>
        </w:tc>
        <w:tc>
          <w:tcPr>
            <w:tcW w:w="937" w:type="dxa"/>
            <w:vAlign w:val="center"/>
          </w:tcPr>
          <w:p w14:paraId="0431521B" w14:textId="03BB3CF0" w:rsidR="00161817" w:rsidRPr="00073A63" w:rsidRDefault="00E22C71" w:rsidP="009E6C40">
            <w:pPr>
              <w:widowControl w:val="0"/>
              <w:jc w:val="center"/>
              <w:rPr>
                <w:rFonts w:ascii="Source Sans Pro" w:hAnsi="Source Sans Pro" w:cs="Arial"/>
                <w:sz w:val="16"/>
                <w:szCs w:val="16"/>
              </w:rPr>
            </w:pPr>
            <w:r>
              <w:rPr>
                <w:rFonts w:ascii="Source Sans Pro" w:hAnsi="Source Sans Pro"/>
                <w:sz w:val="16"/>
                <w:szCs w:val="16"/>
              </w:rPr>
              <w:t>3.00</w:t>
            </w:r>
          </w:p>
        </w:tc>
        <w:tc>
          <w:tcPr>
            <w:tcW w:w="937" w:type="dxa"/>
            <w:vAlign w:val="center"/>
          </w:tcPr>
          <w:p w14:paraId="73277C18" w14:textId="5F7EA777" w:rsidR="00161817" w:rsidRPr="00073A63" w:rsidRDefault="00E22C71" w:rsidP="009E6C40">
            <w:pPr>
              <w:widowControl w:val="0"/>
              <w:jc w:val="center"/>
              <w:rPr>
                <w:rFonts w:ascii="Source Sans Pro" w:hAnsi="Source Sans Pro" w:cs="Arial"/>
                <w:sz w:val="16"/>
                <w:szCs w:val="16"/>
              </w:rPr>
            </w:pPr>
            <w:r>
              <w:rPr>
                <w:rFonts w:ascii="Source Sans Pro" w:hAnsi="Source Sans Pro"/>
                <w:sz w:val="16"/>
                <w:szCs w:val="16"/>
              </w:rPr>
              <w:t>3.20</w:t>
            </w:r>
          </w:p>
        </w:tc>
        <w:tc>
          <w:tcPr>
            <w:tcW w:w="932" w:type="dxa"/>
            <w:vAlign w:val="center"/>
          </w:tcPr>
          <w:p w14:paraId="4CD09DF4" w14:textId="54C875FE" w:rsidR="00161817" w:rsidRPr="00490237" w:rsidRDefault="00E22C71" w:rsidP="009E6C40">
            <w:pPr>
              <w:widowControl w:val="0"/>
              <w:jc w:val="center"/>
              <w:rPr>
                <w:rFonts w:ascii="Source Sans Pro" w:hAnsi="Source Sans Pro" w:cs="Arial"/>
                <w:sz w:val="16"/>
                <w:szCs w:val="16"/>
                <w:u w:val="single"/>
              </w:rPr>
            </w:pPr>
            <w:r w:rsidRPr="00490237">
              <w:rPr>
                <w:rFonts w:ascii="Source Sans Pro" w:hAnsi="Source Sans Pro"/>
                <w:sz w:val="16"/>
                <w:szCs w:val="16"/>
                <w:u w:val="single"/>
              </w:rPr>
              <w:t>3.50</w:t>
            </w:r>
          </w:p>
        </w:tc>
        <w:tc>
          <w:tcPr>
            <w:tcW w:w="936" w:type="dxa"/>
            <w:shd w:val="clear" w:color="auto" w:fill="auto"/>
            <w:vAlign w:val="center"/>
          </w:tcPr>
          <w:p w14:paraId="7A486F95" w14:textId="4097B404" w:rsidR="00161817" w:rsidRPr="00E06757" w:rsidRDefault="00E22C71" w:rsidP="009E6C40">
            <w:pPr>
              <w:widowControl w:val="0"/>
              <w:jc w:val="center"/>
              <w:rPr>
                <w:rFonts w:ascii="Source Sans Pro" w:hAnsi="Source Sans Pro" w:cs="Arial"/>
                <w:sz w:val="16"/>
                <w:szCs w:val="16"/>
              </w:rPr>
            </w:pPr>
            <w:r>
              <w:rPr>
                <w:rFonts w:ascii="Source Sans Pro" w:hAnsi="Source Sans Pro"/>
                <w:sz w:val="16"/>
                <w:szCs w:val="16"/>
              </w:rPr>
              <w:t>3.10</w:t>
            </w:r>
          </w:p>
        </w:tc>
        <w:tc>
          <w:tcPr>
            <w:tcW w:w="800" w:type="dxa"/>
            <w:vAlign w:val="center"/>
          </w:tcPr>
          <w:p w14:paraId="47ED8E15" w14:textId="7267F278" w:rsidR="00161817" w:rsidRPr="00E06757" w:rsidRDefault="008B03FB" w:rsidP="009E6C40">
            <w:pPr>
              <w:widowControl w:val="0"/>
              <w:jc w:val="center"/>
              <w:rPr>
                <w:rFonts w:ascii="Source Sans Pro" w:hAnsi="Source Sans Pro" w:cs="Arial"/>
                <w:b/>
                <w:sz w:val="16"/>
                <w:szCs w:val="16"/>
              </w:rPr>
            </w:pPr>
            <w:r>
              <w:rPr>
                <w:rFonts w:ascii="Source Sans Pro" w:hAnsi="Source Sans Pro"/>
                <w:b/>
                <w:sz w:val="16"/>
                <w:szCs w:val="16"/>
              </w:rPr>
              <w:t>3.11</w:t>
            </w:r>
          </w:p>
        </w:tc>
      </w:tr>
      <w:tr w:rsidR="00161817" w:rsidRPr="00161817" w14:paraId="24583354" w14:textId="77777777" w:rsidTr="00490237">
        <w:tc>
          <w:tcPr>
            <w:tcW w:w="1809" w:type="dxa"/>
          </w:tcPr>
          <w:p w14:paraId="5B2126E2" w14:textId="77777777" w:rsidR="00490237" w:rsidRDefault="00161817" w:rsidP="00490237">
            <w:pPr>
              <w:widowControl w:val="0"/>
              <w:rPr>
                <w:rFonts w:ascii="Source Sans Pro" w:hAnsi="Source Sans Pro"/>
                <w:sz w:val="16"/>
                <w:szCs w:val="16"/>
              </w:rPr>
            </w:pPr>
            <w:r>
              <w:rPr>
                <w:rFonts w:ascii="Source Sans Pro" w:hAnsi="Source Sans Pro"/>
                <w:b/>
                <w:sz w:val="16"/>
                <w:szCs w:val="16"/>
              </w:rPr>
              <w:t xml:space="preserve">against prior </w:t>
            </w:r>
            <w:proofErr w:type="spellStart"/>
            <w:r>
              <w:rPr>
                <w:rFonts w:ascii="Source Sans Pro" w:hAnsi="Source Sans Pro"/>
                <w:b/>
                <w:sz w:val="16"/>
                <w:szCs w:val="16"/>
              </w:rPr>
              <w:t>yr</w:t>
            </w:r>
          </w:p>
          <w:p w14:paraId="1AB60A34" w14:textId="37A8A07A" w:rsidR="00161817" w:rsidRPr="00161817" w:rsidRDefault="00161817" w:rsidP="00490237">
            <w:pPr>
              <w:widowControl w:val="0"/>
              <w:rPr>
                <w:rFonts w:ascii="Source Sans Pro" w:hAnsi="Source Sans Pro" w:cs="Arial"/>
                <w:b/>
                <w:sz w:val="16"/>
                <w:szCs w:val="16"/>
              </w:rPr>
            </w:pPr>
            <w:proofErr w:type="spellEnd"/>
            <w:r>
              <w:rPr>
                <w:rFonts w:ascii="Source Sans Pro" w:hAnsi="Source Sans Pro"/>
                <w:sz w:val="16"/>
                <w:szCs w:val="16"/>
              </w:rPr>
              <w:t>in percentage points</w:t>
            </w:r>
          </w:p>
        </w:tc>
        <w:tc>
          <w:tcPr>
            <w:tcW w:w="947" w:type="dxa"/>
            <w:vAlign w:val="center"/>
          </w:tcPr>
          <w:p w14:paraId="54B227DC" w14:textId="75D3BFB4" w:rsidR="00161817" w:rsidRPr="00161817" w:rsidRDefault="00E22C71" w:rsidP="00E22C71">
            <w:pPr>
              <w:widowControl w:val="0"/>
              <w:jc w:val="center"/>
              <w:rPr>
                <w:rFonts w:ascii="Source Sans Pro" w:hAnsi="Source Sans Pro" w:cs="Arial"/>
                <w:sz w:val="16"/>
                <w:szCs w:val="16"/>
              </w:rPr>
            </w:pPr>
            <w:r>
              <w:rPr>
                <w:rFonts w:ascii="Source Sans Pro" w:hAnsi="Source Sans Pro"/>
                <w:sz w:val="16"/>
                <w:szCs w:val="16"/>
              </w:rPr>
              <w:t>+0.30</w:t>
            </w:r>
          </w:p>
        </w:tc>
        <w:tc>
          <w:tcPr>
            <w:tcW w:w="816" w:type="dxa"/>
            <w:vAlign w:val="center"/>
          </w:tcPr>
          <w:p w14:paraId="51AFFAE3" w14:textId="77779A8F" w:rsidR="00161817" w:rsidRPr="000610DA" w:rsidRDefault="005C0436" w:rsidP="009E6C40">
            <w:pPr>
              <w:widowControl w:val="0"/>
              <w:jc w:val="center"/>
              <w:rPr>
                <w:rFonts w:ascii="Source Sans Pro" w:hAnsi="Source Sans Pro" w:cs="Arial"/>
                <w:sz w:val="16"/>
                <w:szCs w:val="16"/>
              </w:rPr>
            </w:pPr>
            <w:r>
              <w:rPr>
                <w:rFonts w:ascii="Source Sans Pro" w:hAnsi="Source Sans Pro"/>
                <w:sz w:val="16"/>
                <w:szCs w:val="16"/>
              </w:rPr>
              <w:t>+0.25</w:t>
            </w:r>
          </w:p>
        </w:tc>
        <w:tc>
          <w:tcPr>
            <w:tcW w:w="933" w:type="dxa"/>
            <w:vAlign w:val="center"/>
          </w:tcPr>
          <w:p w14:paraId="6738B9BE" w14:textId="65949348" w:rsidR="00161817" w:rsidRPr="00161817" w:rsidRDefault="00E22C71" w:rsidP="00E22C71">
            <w:pPr>
              <w:widowControl w:val="0"/>
              <w:jc w:val="center"/>
              <w:rPr>
                <w:rFonts w:ascii="Source Sans Pro" w:hAnsi="Source Sans Pro" w:cs="Arial"/>
                <w:sz w:val="16"/>
                <w:szCs w:val="16"/>
              </w:rPr>
            </w:pPr>
            <w:r>
              <w:rPr>
                <w:rFonts w:ascii="Source Sans Pro" w:hAnsi="Source Sans Pro"/>
                <w:sz w:val="16"/>
                <w:szCs w:val="16"/>
              </w:rPr>
              <w:t>+0.30</w:t>
            </w:r>
          </w:p>
        </w:tc>
        <w:tc>
          <w:tcPr>
            <w:tcW w:w="937" w:type="dxa"/>
            <w:vAlign w:val="center"/>
          </w:tcPr>
          <w:p w14:paraId="063AA1B7" w14:textId="33DE1367" w:rsidR="00161817" w:rsidRPr="00073A63" w:rsidRDefault="00E22C71" w:rsidP="009E6C40">
            <w:pPr>
              <w:widowControl w:val="0"/>
              <w:jc w:val="center"/>
              <w:rPr>
                <w:rFonts w:ascii="Source Sans Pro" w:hAnsi="Source Sans Pro" w:cs="Arial"/>
                <w:sz w:val="16"/>
                <w:szCs w:val="16"/>
              </w:rPr>
            </w:pPr>
            <w:r>
              <w:rPr>
                <w:rFonts w:ascii="Source Sans Pro" w:hAnsi="Source Sans Pro"/>
                <w:sz w:val="16"/>
                <w:szCs w:val="16"/>
              </w:rPr>
              <w:t>±0.00</w:t>
            </w:r>
          </w:p>
        </w:tc>
        <w:tc>
          <w:tcPr>
            <w:tcW w:w="937" w:type="dxa"/>
            <w:vAlign w:val="center"/>
          </w:tcPr>
          <w:p w14:paraId="125AAE58" w14:textId="5DF55FCB" w:rsidR="00161817" w:rsidRPr="00073A63" w:rsidRDefault="005C0436" w:rsidP="00E22C71">
            <w:pPr>
              <w:widowControl w:val="0"/>
              <w:jc w:val="center"/>
              <w:rPr>
                <w:rFonts w:ascii="Source Sans Pro" w:hAnsi="Source Sans Pro" w:cs="Arial"/>
                <w:sz w:val="16"/>
                <w:szCs w:val="16"/>
              </w:rPr>
            </w:pPr>
            <w:r>
              <w:rPr>
                <w:rFonts w:ascii="Source Sans Pro" w:hAnsi="Source Sans Pro"/>
                <w:sz w:val="16"/>
                <w:szCs w:val="16"/>
              </w:rPr>
              <w:t>+0.30</w:t>
            </w:r>
          </w:p>
        </w:tc>
        <w:tc>
          <w:tcPr>
            <w:tcW w:w="932" w:type="dxa"/>
            <w:vAlign w:val="center"/>
          </w:tcPr>
          <w:p w14:paraId="3BDF16AC" w14:textId="4AE73CE7" w:rsidR="00161817" w:rsidRPr="00490237" w:rsidRDefault="00E22C71" w:rsidP="00E22C71">
            <w:pPr>
              <w:widowControl w:val="0"/>
              <w:jc w:val="center"/>
              <w:rPr>
                <w:rFonts w:ascii="Source Sans Pro" w:hAnsi="Source Sans Pro" w:cs="Arial"/>
                <w:sz w:val="16"/>
                <w:szCs w:val="16"/>
                <w:u w:val="single"/>
              </w:rPr>
            </w:pPr>
            <w:r w:rsidRPr="00490237">
              <w:rPr>
                <w:rFonts w:ascii="Source Sans Pro" w:hAnsi="Source Sans Pro"/>
                <w:sz w:val="16"/>
                <w:szCs w:val="16"/>
                <w:u w:val="single"/>
              </w:rPr>
              <w:t>+0.70</w:t>
            </w:r>
          </w:p>
        </w:tc>
        <w:tc>
          <w:tcPr>
            <w:tcW w:w="936" w:type="dxa"/>
            <w:shd w:val="clear" w:color="auto" w:fill="auto"/>
            <w:vAlign w:val="center"/>
          </w:tcPr>
          <w:p w14:paraId="7875A0DE" w14:textId="70C66836" w:rsidR="00161817" w:rsidRPr="00462200" w:rsidRDefault="00E22C71" w:rsidP="009E6C40">
            <w:pPr>
              <w:widowControl w:val="0"/>
              <w:jc w:val="center"/>
              <w:rPr>
                <w:rFonts w:ascii="Source Sans Pro" w:hAnsi="Source Sans Pro" w:cs="Arial"/>
                <w:sz w:val="16"/>
                <w:szCs w:val="16"/>
              </w:rPr>
            </w:pPr>
            <w:r>
              <w:rPr>
                <w:rFonts w:ascii="Source Sans Pro" w:hAnsi="Source Sans Pro"/>
                <w:sz w:val="16"/>
                <w:szCs w:val="16"/>
              </w:rPr>
              <w:t>+0.35</w:t>
            </w:r>
          </w:p>
        </w:tc>
        <w:tc>
          <w:tcPr>
            <w:tcW w:w="800" w:type="dxa"/>
            <w:vAlign w:val="center"/>
          </w:tcPr>
          <w:p w14:paraId="53A9636D" w14:textId="4456C5D6" w:rsidR="00161817" w:rsidRPr="00161817" w:rsidRDefault="008B03FB" w:rsidP="009E6C40">
            <w:pPr>
              <w:widowControl w:val="0"/>
              <w:jc w:val="center"/>
              <w:rPr>
                <w:rFonts w:ascii="Source Sans Pro" w:hAnsi="Source Sans Pro" w:cs="Arial"/>
                <w:b/>
                <w:sz w:val="16"/>
                <w:szCs w:val="16"/>
              </w:rPr>
            </w:pPr>
            <w:r>
              <w:rPr>
                <w:rFonts w:ascii="Source Sans Pro" w:hAnsi="Source Sans Pro"/>
                <w:b/>
                <w:sz w:val="16"/>
                <w:szCs w:val="16"/>
              </w:rPr>
              <w:t>+0.31</w:t>
            </w:r>
          </w:p>
        </w:tc>
      </w:tr>
      <w:tr w:rsidR="00161817" w:rsidRPr="00161817" w14:paraId="2D937C1C" w14:textId="77777777" w:rsidTr="00490237">
        <w:tc>
          <w:tcPr>
            <w:tcW w:w="1809" w:type="dxa"/>
          </w:tcPr>
          <w:p w14:paraId="362F4E78" w14:textId="77777777" w:rsidR="00490237" w:rsidRDefault="00161817" w:rsidP="00490237">
            <w:pPr>
              <w:widowControl w:val="0"/>
              <w:rPr>
                <w:rFonts w:ascii="Source Sans Pro" w:hAnsi="Source Sans Pro"/>
                <w:sz w:val="16"/>
                <w:szCs w:val="16"/>
              </w:rPr>
            </w:pPr>
            <w:r>
              <w:rPr>
                <w:rFonts w:ascii="Source Sans Pro" w:hAnsi="Source Sans Pro"/>
                <w:b/>
                <w:sz w:val="16"/>
                <w:szCs w:val="16"/>
              </w:rPr>
              <w:t>Prime yield*, logistics</w:t>
            </w:r>
          </w:p>
          <w:p w14:paraId="66B5D21D" w14:textId="40DB3FE7" w:rsidR="00161817" w:rsidRPr="00161817" w:rsidRDefault="00161817" w:rsidP="00490237">
            <w:pPr>
              <w:widowControl w:val="0"/>
              <w:rPr>
                <w:rFonts w:ascii="Source Sans Pro" w:hAnsi="Source Sans Pro" w:cs="Arial"/>
                <w:b/>
                <w:sz w:val="16"/>
                <w:szCs w:val="16"/>
              </w:rPr>
            </w:pPr>
            <w:r>
              <w:rPr>
                <w:rFonts w:ascii="Source Sans Pro" w:hAnsi="Source Sans Pro"/>
                <w:sz w:val="16"/>
                <w:szCs w:val="16"/>
              </w:rPr>
              <w:t>in %</w:t>
            </w:r>
          </w:p>
        </w:tc>
        <w:tc>
          <w:tcPr>
            <w:tcW w:w="947" w:type="dxa"/>
            <w:vAlign w:val="center"/>
          </w:tcPr>
          <w:p w14:paraId="684A9001" w14:textId="18539634" w:rsidR="00161817" w:rsidRPr="00FB551B" w:rsidRDefault="00E22C71" w:rsidP="009E6C40">
            <w:pPr>
              <w:widowControl w:val="0"/>
              <w:jc w:val="center"/>
              <w:rPr>
                <w:rFonts w:ascii="Source Sans Pro" w:hAnsi="Source Sans Pro" w:cs="Arial"/>
                <w:sz w:val="16"/>
                <w:szCs w:val="16"/>
              </w:rPr>
            </w:pPr>
            <w:r>
              <w:rPr>
                <w:rFonts w:ascii="Source Sans Pro" w:hAnsi="Source Sans Pro"/>
                <w:sz w:val="16"/>
                <w:szCs w:val="16"/>
              </w:rPr>
              <w:t>3.50</w:t>
            </w:r>
          </w:p>
        </w:tc>
        <w:tc>
          <w:tcPr>
            <w:tcW w:w="816" w:type="dxa"/>
            <w:vAlign w:val="center"/>
          </w:tcPr>
          <w:p w14:paraId="0F835EAB" w14:textId="0E49BBD7" w:rsidR="00161817" w:rsidRPr="005C0436" w:rsidRDefault="005C0436" w:rsidP="009E6C40">
            <w:pPr>
              <w:widowControl w:val="0"/>
              <w:jc w:val="center"/>
              <w:rPr>
                <w:rFonts w:ascii="Source Sans Pro" w:hAnsi="Source Sans Pro" w:cs="Arial"/>
                <w:sz w:val="16"/>
                <w:szCs w:val="16"/>
              </w:rPr>
            </w:pPr>
            <w:r>
              <w:rPr>
                <w:rFonts w:ascii="Source Sans Pro" w:hAnsi="Source Sans Pro"/>
                <w:sz w:val="16"/>
                <w:szCs w:val="16"/>
              </w:rPr>
              <w:t>3.25</w:t>
            </w:r>
          </w:p>
        </w:tc>
        <w:tc>
          <w:tcPr>
            <w:tcW w:w="933" w:type="dxa"/>
            <w:vAlign w:val="center"/>
          </w:tcPr>
          <w:p w14:paraId="3DD3739A" w14:textId="378FDC87" w:rsidR="00161817" w:rsidRPr="00161817" w:rsidRDefault="005C0436" w:rsidP="009E6C40">
            <w:pPr>
              <w:widowControl w:val="0"/>
              <w:jc w:val="center"/>
              <w:rPr>
                <w:rFonts w:ascii="Source Sans Pro" w:hAnsi="Source Sans Pro" w:cs="Arial"/>
                <w:sz w:val="16"/>
                <w:szCs w:val="16"/>
              </w:rPr>
            </w:pPr>
            <w:r>
              <w:rPr>
                <w:rFonts w:ascii="Source Sans Pro" w:hAnsi="Source Sans Pro"/>
                <w:sz w:val="16"/>
                <w:szCs w:val="16"/>
              </w:rPr>
              <w:t>3.45</w:t>
            </w:r>
          </w:p>
        </w:tc>
        <w:tc>
          <w:tcPr>
            <w:tcW w:w="937" w:type="dxa"/>
            <w:vAlign w:val="center"/>
          </w:tcPr>
          <w:p w14:paraId="7406BE99" w14:textId="58ED7B5A" w:rsidR="00161817" w:rsidRPr="00073A63" w:rsidRDefault="00E22C71" w:rsidP="009E6C40">
            <w:pPr>
              <w:widowControl w:val="0"/>
              <w:jc w:val="center"/>
              <w:rPr>
                <w:rFonts w:ascii="Source Sans Pro" w:hAnsi="Source Sans Pro" w:cs="Arial"/>
                <w:sz w:val="16"/>
                <w:szCs w:val="16"/>
              </w:rPr>
            </w:pPr>
            <w:r>
              <w:rPr>
                <w:rFonts w:ascii="Source Sans Pro" w:hAnsi="Source Sans Pro"/>
                <w:sz w:val="16"/>
                <w:szCs w:val="16"/>
              </w:rPr>
              <w:t>3.30</w:t>
            </w:r>
          </w:p>
        </w:tc>
        <w:tc>
          <w:tcPr>
            <w:tcW w:w="937" w:type="dxa"/>
            <w:vAlign w:val="center"/>
          </w:tcPr>
          <w:p w14:paraId="41CAE3C0" w14:textId="79CAC2B9" w:rsidR="00161817" w:rsidRPr="00073A63" w:rsidRDefault="00E22C71" w:rsidP="009E6C40">
            <w:pPr>
              <w:widowControl w:val="0"/>
              <w:jc w:val="center"/>
              <w:rPr>
                <w:rFonts w:ascii="Source Sans Pro" w:hAnsi="Source Sans Pro" w:cs="Arial"/>
                <w:sz w:val="16"/>
                <w:szCs w:val="16"/>
              </w:rPr>
            </w:pPr>
            <w:r>
              <w:rPr>
                <w:rFonts w:ascii="Source Sans Pro" w:hAnsi="Source Sans Pro"/>
                <w:sz w:val="16"/>
                <w:szCs w:val="16"/>
              </w:rPr>
              <w:t>3.90</w:t>
            </w:r>
          </w:p>
        </w:tc>
        <w:tc>
          <w:tcPr>
            <w:tcW w:w="932" w:type="dxa"/>
            <w:vAlign w:val="center"/>
          </w:tcPr>
          <w:p w14:paraId="1F901372" w14:textId="7BCC69B0" w:rsidR="00161817" w:rsidRPr="00490237" w:rsidRDefault="00E22C71" w:rsidP="009E6C40">
            <w:pPr>
              <w:widowControl w:val="0"/>
              <w:jc w:val="center"/>
              <w:rPr>
                <w:rFonts w:ascii="Source Sans Pro" w:hAnsi="Source Sans Pro" w:cs="Arial"/>
                <w:sz w:val="16"/>
                <w:szCs w:val="16"/>
                <w:u w:val="single"/>
              </w:rPr>
            </w:pPr>
            <w:r w:rsidRPr="00490237">
              <w:rPr>
                <w:rFonts w:ascii="Source Sans Pro" w:hAnsi="Source Sans Pro"/>
                <w:sz w:val="16"/>
                <w:szCs w:val="16"/>
                <w:u w:val="single"/>
              </w:rPr>
              <w:t>4.00</w:t>
            </w:r>
          </w:p>
        </w:tc>
        <w:tc>
          <w:tcPr>
            <w:tcW w:w="936" w:type="dxa"/>
            <w:shd w:val="clear" w:color="auto" w:fill="auto"/>
            <w:vAlign w:val="center"/>
          </w:tcPr>
          <w:p w14:paraId="7546B5F5" w14:textId="238132F1" w:rsidR="00161817" w:rsidRPr="00462200" w:rsidRDefault="008B03FB" w:rsidP="009E6C40">
            <w:pPr>
              <w:widowControl w:val="0"/>
              <w:jc w:val="center"/>
              <w:rPr>
                <w:rFonts w:ascii="Source Sans Pro" w:hAnsi="Source Sans Pro" w:cs="Arial"/>
                <w:sz w:val="16"/>
                <w:szCs w:val="16"/>
              </w:rPr>
            </w:pPr>
            <w:r>
              <w:rPr>
                <w:rFonts w:ascii="Source Sans Pro" w:hAnsi="Source Sans Pro"/>
                <w:sz w:val="16"/>
                <w:szCs w:val="16"/>
              </w:rPr>
              <w:t>3.50</w:t>
            </w:r>
          </w:p>
        </w:tc>
        <w:tc>
          <w:tcPr>
            <w:tcW w:w="800" w:type="dxa"/>
            <w:vAlign w:val="center"/>
          </w:tcPr>
          <w:p w14:paraId="34BF6507" w14:textId="070FF76F" w:rsidR="00161817" w:rsidRPr="00161817" w:rsidRDefault="008B03FB" w:rsidP="009E6C40">
            <w:pPr>
              <w:widowControl w:val="0"/>
              <w:jc w:val="center"/>
              <w:rPr>
                <w:rFonts w:ascii="Source Sans Pro" w:hAnsi="Source Sans Pro" w:cs="Arial"/>
                <w:b/>
                <w:sz w:val="16"/>
                <w:szCs w:val="16"/>
              </w:rPr>
            </w:pPr>
            <w:r>
              <w:rPr>
                <w:rFonts w:ascii="Source Sans Pro" w:hAnsi="Source Sans Pro"/>
                <w:b/>
                <w:sz w:val="16"/>
                <w:szCs w:val="16"/>
              </w:rPr>
              <w:t>3.56</w:t>
            </w:r>
          </w:p>
        </w:tc>
      </w:tr>
      <w:tr w:rsidR="00161817" w:rsidRPr="00161817" w14:paraId="5A0BD9F2" w14:textId="77777777" w:rsidTr="00490237">
        <w:tc>
          <w:tcPr>
            <w:tcW w:w="1809" w:type="dxa"/>
          </w:tcPr>
          <w:p w14:paraId="2A8704C0" w14:textId="77777777" w:rsidR="00490237" w:rsidRDefault="00161817" w:rsidP="00490237">
            <w:pPr>
              <w:widowControl w:val="0"/>
              <w:rPr>
                <w:rFonts w:ascii="Source Sans Pro" w:hAnsi="Source Sans Pro"/>
                <w:sz w:val="16"/>
                <w:szCs w:val="16"/>
              </w:rPr>
            </w:pPr>
            <w:r>
              <w:rPr>
                <w:rFonts w:ascii="Source Sans Pro" w:hAnsi="Source Sans Pro"/>
                <w:b/>
                <w:sz w:val="16"/>
                <w:szCs w:val="16"/>
              </w:rPr>
              <w:t xml:space="preserve">against prior </w:t>
            </w:r>
            <w:proofErr w:type="spellStart"/>
            <w:r>
              <w:rPr>
                <w:rFonts w:ascii="Source Sans Pro" w:hAnsi="Source Sans Pro"/>
                <w:b/>
                <w:sz w:val="16"/>
                <w:szCs w:val="16"/>
              </w:rPr>
              <w:t>yr</w:t>
            </w:r>
          </w:p>
          <w:p w14:paraId="0E0D0B5A" w14:textId="6CE86567" w:rsidR="00161817" w:rsidRPr="00161817" w:rsidRDefault="00161817" w:rsidP="00490237">
            <w:pPr>
              <w:widowControl w:val="0"/>
              <w:rPr>
                <w:rFonts w:ascii="Source Sans Pro" w:hAnsi="Source Sans Pro" w:cs="Arial"/>
                <w:b/>
                <w:sz w:val="16"/>
                <w:szCs w:val="16"/>
              </w:rPr>
            </w:pPr>
            <w:proofErr w:type="spellEnd"/>
            <w:r>
              <w:rPr>
                <w:rFonts w:ascii="Source Sans Pro" w:hAnsi="Source Sans Pro"/>
                <w:sz w:val="16"/>
                <w:szCs w:val="16"/>
              </w:rPr>
              <w:t>in percentage points</w:t>
            </w:r>
          </w:p>
        </w:tc>
        <w:tc>
          <w:tcPr>
            <w:tcW w:w="947" w:type="dxa"/>
            <w:vAlign w:val="center"/>
          </w:tcPr>
          <w:p w14:paraId="2579329F" w14:textId="5691C216" w:rsidR="00161817" w:rsidRPr="00072A30" w:rsidRDefault="00E22C71" w:rsidP="009E6C40">
            <w:pPr>
              <w:widowControl w:val="0"/>
              <w:jc w:val="center"/>
              <w:rPr>
                <w:rFonts w:ascii="Source Sans Pro" w:hAnsi="Source Sans Pro" w:cs="Arial"/>
                <w:sz w:val="16"/>
                <w:szCs w:val="16"/>
              </w:rPr>
            </w:pPr>
            <w:r>
              <w:rPr>
                <w:rFonts w:ascii="Source Sans Pro" w:hAnsi="Source Sans Pro"/>
                <w:sz w:val="16"/>
                <w:szCs w:val="16"/>
              </w:rPr>
              <w:t>±0.00</w:t>
            </w:r>
          </w:p>
        </w:tc>
        <w:tc>
          <w:tcPr>
            <w:tcW w:w="816" w:type="dxa"/>
            <w:vAlign w:val="center"/>
          </w:tcPr>
          <w:p w14:paraId="3597B6B5" w14:textId="7672879B" w:rsidR="00161817" w:rsidRPr="00161817" w:rsidRDefault="005C0436" w:rsidP="00E22C71">
            <w:pPr>
              <w:widowControl w:val="0"/>
              <w:jc w:val="center"/>
              <w:rPr>
                <w:rFonts w:ascii="Source Sans Pro" w:hAnsi="Source Sans Pro" w:cs="Arial"/>
                <w:sz w:val="16"/>
                <w:szCs w:val="16"/>
              </w:rPr>
            </w:pPr>
            <w:r>
              <w:rPr>
                <w:rFonts w:ascii="Source Sans Pro" w:hAnsi="Source Sans Pro"/>
                <w:sz w:val="16"/>
                <w:szCs w:val="16"/>
              </w:rPr>
              <w:t>-0.25</w:t>
            </w:r>
          </w:p>
        </w:tc>
        <w:tc>
          <w:tcPr>
            <w:tcW w:w="933" w:type="dxa"/>
            <w:vAlign w:val="center"/>
          </w:tcPr>
          <w:p w14:paraId="18491965" w14:textId="40D9DB28" w:rsidR="00161817" w:rsidRPr="00161817" w:rsidRDefault="005C0436" w:rsidP="009E6C40">
            <w:pPr>
              <w:widowControl w:val="0"/>
              <w:jc w:val="center"/>
              <w:rPr>
                <w:rFonts w:ascii="Source Sans Pro" w:hAnsi="Source Sans Pro" w:cs="Arial"/>
                <w:sz w:val="16"/>
                <w:szCs w:val="16"/>
              </w:rPr>
            </w:pPr>
            <w:r>
              <w:rPr>
                <w:rFonts w:ascii="Source Sans Pro" w:hAnsi="Source Sans Pro"/>
                <w:sz w:val="16"/>
                <w:szCs w:val="16"/>
              </w:rPr>
              <w:t>-0.30</w:t>
            </w:r>
          </w:p>
        </w:tc>
        <w:tc>
          <w:tcPr>
            <w:tcW w:w="937" w:type="dxa"/>
            <w:vAlign w:val="center"/>
          </w:tcPr>
          <w:p w14:paraId="475FF0C9" w14:textId="22E615BF" w:rsidR="00161817" w:rsidRPr="00073A63" w:rsidRDefault="00E22C71" w:rsidP="009E6C40">
            <w:pPr>
              <w:widowControl w:val="0"/>
              <w:jc w:val="center"/>
              <w:rPr>
                <w:rFonts w:ascii="Source Sans Pro" w:hAnsi="Source Sans Pro" w:cs="Arial"/>
                <w:sz w:val="16"/>
                <w:szCs w:val="16"/>
              </w:rPr>
            </w:pPr>
            <w:r>
              <w:rPr>
                <w:rFonts w:ascii="Source Sans Pro" w:hAnsi="Source Sans Pro"/>
                <w:sz w:val="16"/>
                <w:szCs w:val="16"/>
              </w:rPr>
              <w:t>-0.20</w:t>
            </w:r>
          </w:p>
        </w:tc>
        <w:tc>
          <w:tcPr>
            <w:tcW w:w="937" w:type="dxa"/>
            <w:vAlign w:val="center"/>
          </w:tcPr>
          <w:p w14:paraId="46A53898" w14:textId="12901AE0" w:rsidR="00161817" w:rsidRPr="00490237" w:rsidRDefault="00E22C71" w:rsidP="009E6C40">
            <w:pPr>
              <w:widowControl w:val="0"/>
              <w:jc w:val="center"/>
              <w:rPr>
                <w:rFonts w:ascii="Source Sans Pro" w:hAnsi="Source Sans Pro" w:cs="Arial"/>
                <w:sz w:val="16"/>
                <w:szCs w:val="16"/>
                <w:u w:val="single"/>
              </w:rPr>
            </w:pPr>
            <w:r w:rsidRPr="00490237">
              <w:rPr>
                <w:rFonts w:ascii="Source Sans Pro" w:hAnsi="Source Sans Pro"/>
                <w:sz w:val="16"/>
                <w:szCs w:val="16"/>
                <w:u w:val="single"/>
              </w:rPr>
              <w:t>+0.30</w:t>
            </w:r>
          </w:p>
        </w:tc>
        <w:tc>
          <w:tcPr>
            <w:tcW w:w="932" w:type="dxa"/>
            <w:vAlign w:val="center"/>
          </w:tcPr>
          <w:p w14:paraId="4B78F66F" w14:textId="3CB2FDFE" w:rsidR="00161817" w:rsidRPr="00490237" w:rsidRDefault="00E22C71" w:rsidP="009E6C40">
            <w:pPr>
              <w:widowControl w:val="0"/>
              <w:jc w:val="center"/>
              <w:rPr>
                <w:rFonts w:ascii="Source Sans Pro" w:hAnsi="Source Sans Pro" w:cs="Arial"/>
                <w:sz w:val="16"/>
                <w:szCs w:val="16"/>
                <w:u w:val="single"/>
              </w:rPr>
            </w:pPr>
            <w:r w:rsidRPr="00490237">
              <w:rPr>
                <w:rFonts w:ascii="Source Sans Pro" w:hAnsi="Source Sans Pro"/>
                <w:sz w:val="16"/>
                <w:szCs w:val="16"/>
                <w:u w:val="single"/>
              </w:rPr>
              <w:t>+0.30</w:t>
            </w:r>
          </w:p>
        </w:tc>
        <w:tc>
          <w:tcPr>
            <w:tcW w:w="936" w:type="dxa"/>
            <w:shd w:val="clear" w:color="auto" w:fill="auto"/>
            <w:vAlign w:val="center"/>
          </w:tcPr>
          <w:p w14:paraId="7A92EAA5" w14:textId="70788F2A" w:rsidR="00161817" w:rsidRPr="00462200" w:rsidRDefault="008B03FB" w:rsidP="009E6C40">
            <w:pPr>
              <w:widowControl w:val="0"/>
              <w:jc w:val="center"/>
              <w:rPr>
                <w:rFonts w:ascii="Source Sans Pro" w:hAnsi="Source Sans Pro" w:cs="Arial"/>
                <w:sz w:val="16"/>
                <w:szCs w:val="16"/>
              </w:rPr>
            </w:pPr>
            <w:r>
              <w:rPr>
                <w:rFonts w:ascii="Source Sans Pro" w:hAnsi="Source Sans Pro"/>
                <w:sz w:val="16"/>
                <w:szCs w:val="16"/>
              </w:rPr>
              <w:t>±0.00</w:t>
            </w:r>
          </w:p>
        </w:tc>
        <w:tc>
          <w:tcPr>
            <w:tcW w:w="800" w:type="dxa"/>
            <w:vAlign w:val="center"/>
          </w:tcPr>
          <w:p w14:paraId="7140B27A" w14:textId="53A849D3" w:rsidR="00161817" w:rsidRPr="00161817" w:rsidRDefault="005C0436" w:rsidP="008B03FB">
            <w:pPr>
              <w:widowControl w:val="0"/>
              <w:jc w:val="center"/>
              <w:rPr>
                <w:rFonts w:ascii="Source Sans Pro" w:hAnsi="Source Sans Pro" w:cs="Arial"/>
                <w:b/>
                <w:sz w:val="16"/>
                <w:szCs w:val="16"/>
              </w:rPr>
            </w:pPr>
            <w:r>
              <w:rPr>
                <w:rFonts w:ascii="Source Sans Pro" w:hAnsi="Source Sans Pro"/>
                <w:b/>
                <w:sz w:val="16"/>
                <w:szCs w:val="16"/>
              </w:rPr>
              <w:t>-0.02</w:t>
            </w:r>
          </w:p>
        </w:tc>
      </w:tr>
      <w:tr w:rsidR="00161817" w:rsidRPr="00161817" w14:paraId="57899BA9" w14:textId="77777777" w:rsidTr="00490237">
        <w:tc>
          <w:tcPr>
            <w:tcW w:w="1809" w:type="dxa"/>
          </w:tcPr>
          <w:p w14:paraId="210819D2" w14:textId="36BCF303" w:rsidR="00161817" w:rsidRPr="00161817" w:rsidRDefault="00161817" w:rsidP="00490237">
            <w:pPr>
              <w:widowControl w:val="0"/>
              <w:jc w:val="both"/>
              <w:rPr>
                <w:rFonts w:ascii="Source Sans Pro" w:hAnsi="Source Sans Pro" w:cs="Arial"/>
                <w:b/>
                <w:sz w:val="16"/>
                <w:szCs w:val="16"/>
              </w:rPr>
            </w:pPr>
            <w:r>
              <w:rPr>
                <w:rFonts w:ascii="Source Sans Pro" w:hAnsi="Source Sans Pro"/>
                <w:b/>
                <w:sz w:val="16"/>
                <w:szCs w:val="16"/>
              </w:rPr>
              <w:t>Strongest</w:t>
            </w:r>
            <w:r w:rsidR="00490237">
              <w:rPr>
                <w:rFonts w:ascii="Source Sans Pro" w:hAnsi="Source Sans Pro"/>
                <w:b/>
                <w:sz w:val="16"/>
                <w:szCs w:val="16"/>
              </w:rPr>
              <w:t xml:space="preserve"> a</w:t>
            </w:r>
            <w:r>
              <w:rPr>
                <w:rFonts w:ascii="Source Sans Pro" w:hAnsi="Source Sans Pro"/>
                <w:b/>
                <w:sz w:val="16"/>
                <w:szCs w:val="16"/>
              </w:rPr>
              <w:t>sset class</w:t>
            </w:r>
          </w:p>
        </w:tc>
        <w:tc>
          <w:tcPr>
            <w:tcW w:w="947" w:type="dxa"/>
            <w:vAlign w:val="center"/>
          </w:tcPr>
          <w:p w14:paraId="4ED34F9A" w14:textId="6A6BA43F" w:rsidR="00161817" w:rsidRPr="00161817" w:rsidRDefault="005C0436"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816" w:type="dxa"/>
            <w:vAlign w:val="center"/>
          </w:tcPr>
          <w:p w14:paraId="1BA19745" w14:textId="1B3A13FC" w:rsidR="00161817" w:rsidRPr="00161817" w:rsidRDefault="005C0436"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3" w:type="dxa"/>
            <w:vAlign w:val="center"/>
          </w:tcPr>
          <w:p w14:paraId="2135011E" w14:textId="41914708" w:rsidR="00161817" w:rsidRPr="00161817" w:rsidRDefault="005C0436"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7" w:type="dxa"/>
            <w:vAlign w:val="center"/>
          </w:tcPr>
          <w:p w14:paraId="0978A794" w14:textId="256C2373" w:rsidR="00161817" w:rsidRPr="00073A63" w:rsidRDefault="005C0436"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7" w:type="dxa"/>
            <w:vAlign w:val="center"/>
          </w:tcPr>
          <w:p w14:paraId="74C19DC6" w14:textId="1E058844" w:rsidR="00161817" w:rsidRPr="00073A63" w:rsidRDefault="005C0436"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2" w:type="dxa"/>
            <w:vAlign w:val="center"/>
          </w:tcPr>
          <w:p w14:paraId="42CE99EF" w14:textId="58A9F0D1" w:rsidR="00161817" w:rsidRPr="00073A63" w:rsidRDefault="005C0436"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936" w:type="dxa"/>
            <w:shd w:val="clear" w:color="auto" w:fill="auto"/>
            <w:vAlign w:val="center"/>
          </w:tcPr>
          <w:p w14:paraId="0AF439F9" w14:textId="7FD167E6" w:rsidR="00161817" w:rsidRPr="00462200" w:rsidRDefault="005C0436" w:rsidP="009E6C40">
            <w:pPr>
              <w:widowControl w:val="0"/>
              <w:jc w:val="center"/>
              <w:rPr>
                <w:rFonts w:ascii="Source Sans Pro" w:hAnsi="Source Sans Pro" w:cs="Arial"/>
                <w:sz w:val="16"/>
                <w:szCs w:val="16"/>
              </w:rPr>
            </w:pPr>
            <w:r>
              <w:rPr>
                <w:rFonts w:ascii="Source Sans Pro" w:hAnsi="Source Sans Pro"/>
                <w:sz w:val="16"/>
                <w:szCs w:val="16"/>
              </w:rPr>
              <w:t>Offices</w:t>
            </w:r>
          </w:p>
        </w:tc>
        <w:tc>
          <w:tcPr>
            <w:tcW w:w="800" w:type="dxa"/>
            <w:vAlign w:val="center"/>
          </w:tcPr>
          <w:p w14:paraId="5660B842" w14:textId="3884C365" w:rsidR="00161817" w:rsidRPr="005C0436" w:rsidRDefault="005C0436" w:rsidP="009E6C40">
            <w:pPr>
              <w:widowControl w:val="0"/>
              <w:jc w:val="center"/>
              <w:rPr>
                <w:rFonts w:ascii="Source Sans Pro" w:hAnsi="Source Sans Pro" w:cs="Arial"/>
                <w:b/>
                <w:sz w:val="16"/>
                <w:szCs w:val="16"/>
              </w:rPr>
            </w:pPr>
            <w:r>
              <w:rPr>
                <w:rFonts w:ascii="Source Sans Pro" w:hAnsi="Source Sans Pro"/>
                <w:b/>
                <w:sz w:val="16"/>
                <w:szCs w:val="16"/>
              </w:rPr>
              <w:t>Offices</w:t>
            </w:r>
          </w:p>
        </w:tc>
      </w:tr>
      <w:tr w:rsidR="00161817" w:rsidRPr="00161817" w14:paraId="7FF3344D" w14:textId="77777777" w:rsidTr="00490237">
        <w:tc>
          <w:tcPr>
            <w:tcW w:w="1809" w:type="dxa"/>
          </w:tcPr>
          <w:p w14:paraId="7AAF91CA" w14:textId="77777777" w:rsidR="00490237" w:rsidRDefault="00161817" w:rsidP="00490237">
            <w:pPr>
              <w:widowControl w:val="0"/>
              <w:rPr>
                <w:rFonts w:ascii="Source Sans Pro" w:hAnsi="Source Sans Pro"/>
                <w:b/>
                <w:sz w:val="16"/>
                <w:szCs w:val="16"/>
              </w:rPr>
            </w:pPr>
            <w:r>
              <w:rPr>
                <w:rFonts w:ascii="Source Sans Pro" w:hAnsi="Source Sans Pro"/>
                <w:b/>
                <w:sz w:val="16"/>
                <w:szCs w:val="16"/>
              </w:rPr>
              <w:t>Strongest</w:t>
            </w:r>
            <w:r w:rsidR="00490237">
              <w:rPr>
                <w:rFonts w:ascii="Source Sans Pro" w:hAnsi="Source Sans Pro"/>
                <w:b/>
                <w:sz w:val="16"/>
                <w:szCs w:val="16"/>
              </w:rPr>
              <w:t xml:space="preserve"> asset class</w:t>
            </w:r>
          </w:p>
          <w:p w14:paraId="19D9BE72" w14:textId="2256E583" w:rsidR="00161817" w:rsidRPr="00161817" w:rsidRDefault="00161817" w:rsidP="00490237">
            <w:pPr>
              <w:widowControl w:val="0"/>
              <w:rPr>
                <w:rFonts w:ascii="Source Sans Pro" w:hAnsi="Source Sans Pro" w:cs="Arial"/>
                <w:b/>
                <w:sz w:val="16"/>
                <w:szCs w:val="16"/>
              </w:rPr>
            </w:pPr>
            <w:r>
              <w:rPr>
                <w:rFonts w:ascii="Source Sans Pro" w:hAnsi="Source Sans Pro"/>
                <w:sz w:val="16"/>
                <w:szCs w:val="16"/>
              </w:rPr>
              <w:t>in %</w:t>
            </w:r>
          </w:p>
        </w:tc>
        <w:tc>
          <w:tcPr>
            <w:tcW w:w="947" w:type="dxa"/>
            <w:vAlign w:val="center"/>
          </w:tcPr>
          <w:p w14:paraId="516BE07F" w14:textId="7A5A3F38" w:rsidR="00161817" w:rsidRPr="00490237" w:rsidRDefault="00E22C71" w:rsidP="009E6C40">
            <w:pPr>
              <w:widowControl w:val="0"/>
              <w:jc w:val="center"/>
              <w:rPr>
                <w:rFonts w:ascii="Source Sans Pro" w:hAnsi="Source Sans Pro" w:cs="Arial"/>
                <w:sz w:val="16"/>
                <w:szCs w:val="16"/>
                <w:u w:val="single"/>
              </w:rPr>
            </w:pPr>
            <w:r w:rsidRPr="00490237">
              <w:rPr>
                <w:rFonts w:ascii="Source Sans Pro" w:hAnsi="Source Sans Pro"/>
                <w:sz w:val="16"/>
                <w:szCs w:val="16"/>
                <w:u w:val="single"/>
              </w:rPr>
              <w:t>80</w:t>
            </w:r>
          </w:p>
        </w:tc>
        <w:tc>
          <w:tcPr>
            <w:tcW w:w="816" w:type="dxa"/>
            <w:vAlign w:val="center"/>
          </w:tcPr>
          <w:p w14:paraId="3290541C" w14:textId="5EA6F13A" w:rsidR="00161817" w:rsidRPr="00161817" w:rsidRDefault="00E745BC" w:rsidP="009E6C40">
            <w:pPr>
              <w:widowControl w:val="0"/>
              <w:jc w:val="center"/>
              <w:rPr>
                <w:rFonts w:ascii="Source Sans Pro" w:hAnsi="Source Sans Pro" w:cs="Arial"/>
                <w:sz w:val="16"/>
                <w:szCs w:val="16"/>
              </w:rPr>
            </w:pPr>
            <w:r>
              <w:rPr>
                <w:rFonts w:ascii="Source Sans Pro" w:hAnsi="Source Sans Pro"/>
                <w:sz w:val="16"/>
                <w:szCs w:val="16"/>
              </w:rPr>
              <w:t>71</w:t>
            </w:r>
          </w:p>
        </w:tc>
        <w:tc>
          <w:tcPr>
            <w:tcW w:w="933" w:type="dxa"/>
            <w:vAlign w:val="center"/>
          </w:tcPr>
          <w:p w14:paraId="65F78631" w14:textId="402F729E" w:rsidR="00161817" w:rsidRPr="00161817" w:rsidRDefault="00E22C71" w:rsidP="009E6C40">
            <w:pPr>
              <w:widowControl w:val="0"/>
              <w:jc w:val="center"/>
              <w:rPr>
                <w:rFonts w:ascii="Source Sans Pro" w:hAnsi="Source Sans Pro" w:cs="Arial"/>
                <w:sz w:val="16"/>
                <w:szCs w:val="16"/>
              </w:rPr>
            </w:pPr>
            <w:r>
              <w:rPr>
                <w:rFonts w:ascii="Source Sans Pro" w:hAnsi="Source Sans Pro"/>
                <w:sz w:val="16"/>
                <w:szCs w:val="16"/>
              </w:rPr>
              <w:t>70</w:t>
            </w:r>
          </w:p>
        </w:tc>
        <w:tc>
          <w:tcPr>
            <w:tcW w:w="937" w:type="dxa"/>
            <w:vAlign w:val="center"/>
          </w:tcPr>
          <w:p w14:paraId="63E405B4" w14:textId="6869143D" w:rsidR="00161817" w:rsidRPr="00073A63" w:rsidRDefault="00E22C71" w:rsidP="009E6C40">
            <w:pPr>
              <w:widowControl w:val="0"/>
              <w:jc w:val="center"/>
              <w:rPr>
                <w:rFonts w:ascii="Source Sans Pro" w:hAnsi="Source Sans Pro" w:cs="Arial"/>
                <w:sz w:val="16"/>
                <w:szCs w:val="16"/>
              </w:rPr>
            </w:pPr>
            <w:r>
              <w:rPr>
                <w:rFonts w:ascii="Source Sans Pro" w:hAnsi="Source Sans Pro"/>
                <w:sz w:val="16"/>
                <w:szCs w:val="16"/>
              </w:rPr>
              <w:t>66</w:t>
            </w:r>
          </w:p>
        </w:tc>
        <w:tc>
          <w:tcPr>
            <w:tcW w:w="937" w:type="dxa"/>
            <w:vAlign w:val="center"/>
          </w:tcPr>
          <w:p w14:paraId="3DBBA68E" w14:textId="4ADF8765" w:rsidR="00161817" w:rsidRPr="00073A63" w:rsidRDefault="00E22C71" w:rsidP="009E6C40">
            <w:pPr>
              <w:widowControl w:val="0"/>
              <w:jc w:val="center"/>
              <w:rPr>
                <w:rFonts w:ascii="Source Sans Pro" w:hAnsi="Source Sans Pro" w:cs="Arial"/>
                <w:sz w:val="16"/>
                <w:szCs w:val="16"/>
              </w:rPr>
            </w:pPr>
            <w:r>
              <w:rPr>
                <w:rFonts w:ascii="Source Sans Pro" w:hAnsi="Source Sans Pro"/>
                <w:sz w:val="16"/>
                <w:szCs w:val="16"/>
              </w:rPr>
              <w:t>79</w:t>
            </w:r>
          </w:p>
        </w:tc>
        <w:tc>
          <w:tcPr>
            <w:tcW w:w="932" w:type="dxa"/>
            <w:vAlign w:val="center"/>
          </w:tcPr>
          <w:p w14:paraId="62F15918" w14:textId="0F974FA0" w:rsidR="00161817" w:rsidRPr="00073A63" w:rsidRDefault="005C0436" w:rsidP="009E6C40">
            <w:pPr>
              <w:widowControl w:val="0"/>
              <w:jc w:val="center"/>
              <w:rPr>
                <w:rFonts w:ascii="Source Sans Pro" w:hAnsi="Source Sans Pro" w:cs="Arial"/>
                <w:sz w:val="16"/>
                <w:szCs w:val="16"/>
              </w:rPr>
            </w:pPr>
            <w:r>
              <w:rPr>
                <w:rFonts w:ascii="Source Sans Pro" w:hAnsi="Source Sans Pro"/>
                <w:sz w:val="16"/>
                <w:szCs w:val="16"/>
              </w:rPr>
              <w:t>75</w:t>
            </w:r>
          </w:p>
        </w:tc>
        <w:tc>
          <w:tcPr>
            <w:tcW w:w="936" w:type="dxa"/>
            <w:shd w:val="clear" w:color="auto" w:fill="auto"/>
            <w:vAlign w:val="center"/>
          </w:tcPr>
          <w:p w14:paraId="5FF3E0CF" w14:textId="6CFB9EA5" w:rsidR="00161817" w:rsidRPr="00462200" w:rsidRDefault="008B03FB" w:rsidP="009E6C40">
            <w:pPr>
              <w:widowControl w:val="0"/>
              <w:jc w:val="center"/>
              <w:rPr>
                <w:rFonts w:ascii="Source Sans Pro" w:hAnsi="Source Sans Pro" w:cs="Arial"/>
                <w:sz w:val="16"/>
                <w:szCs w:val="16"/>
              </w:rPr>
            </w:pPr>
            <w:r>
              <w:rPr>
                <w:rFonts w:ascii="Source Sans Pro" w:hAnsi="Source Sans Pro"/>
                <w:sz w:val="16"/>
                <w:szCs w:val="16"/>
              </w:rPr>
              <w:t>70</w:t>
            </w:r>
          </w:p>
        </w:tc>
        <w:tc>
          <w:tcPr>
            <w:tcW w:w="800" w:type="dxa"/>
            <w:vAlign w:val="center"/>
          </w:tcPr>
          <w:p w14:paraId="2A043F0A" w14:textId="1E68FC09" w:rsidR="00161817" w:rsidRPr="00161817" w:rsidRDefault="005C0436" w:rsidP="008B03FB">
            <w:pPr>
              <w:widowControl w:val="0"/>
              <w:jc w:val="center"/>
              <w:rPr>
                <w:rFonts w:ascii="Source Sans Pro" w:hAnsi="Source Sans Pro" w:cs="Arial"/>
                <w:b/>
                <w:sz w:val="16"/>
                <w:szCs w:val="16"/>
              </w:rPr>
            </w:pPr>
            <w:r>
              <w:rPr>
                <w:rFonts w:ascii="Source Sans Pro" w:hAnsi="Source Sans Pro"/>
                <w:b/>
                <w:sz w:val="16"/>
                <w:szCs w:val="16"/>
              </w:rPr>
              <w:t>73</w:t>
            </w:r>
          </w:p>
        </w:tc>
      </w:tr>
    </w:tbl>
    <w:p w14:paraId="24F7C797" w14:textId="5003AE93" w:rsidR="00DA733A" w:rsidRPr="00161817" w:rsidRDefault="00161817" w:rsidP="00DA733A">
      <w:pPr>
        <w:pStyle w:val="EinfAbs"/>
        <w:tabs>
          <w:tab w:val="left" w:pos="200"/>
        </w:tabs>
        <w:jc w:val="both"/>
        <w:rPr>
          <w:rFonts w:ascii="Source Sans Pro" w:hAnsi="Source Sans Pro" w:cs="Arial"/>
          <w:sz w:val="16"/>
          <w:szCs w:val="16"/>
        </w:rPr>
      </w:pPr>
      <w:r>
        <w:rPr>
          <w:rFonts w:ascii="Source Sans Pro" w:hAnsi="Source Sans Pro"/>
          <w:sz w:val="16"/>
          <w:szCs w:val="16"/>
        </w:rPr>
        <w:t>* Net initial yield; Source: German Property Partners (GPP)</w:t>
      </w:r>
    </w:p>
    <w:p w14:paraId="384D0EB4" w14:textId="77777777" w:rsidR="00161817" w:rsidRDefault="00161817" w:rsidP="00DA733A">
      <w:pPr>
        <w:pStyle w:val="EinfAbs"/>
        <w:tabs>
          <w:tab w:val="left" w:pos="200"/>
        </w:tabs>
        <w:jc w:val="both"/>
        <w:rPr>
          <w:rFonts w:ascii="Source Sans Pro" w:hAnsi="Source Sans Pro" w:cs="Source Sans Pro"/>
          <w:sz w:val="22"/>
          <w:szCs w:val="22"/>
        </w:rPr>
      </w:pPr>
    </w:p>
    <w:p w14:paraId="1B94330A" w14:textId="77777777" w:rsidR="00FD7DD0" w:rsidRDefault="00FD7DD0" w:rsidP="00966A04">
      <w:pPr>
        <w:overflowPunct/>
        <w:autoSpaceDE/>
        <w:autoSpaceDN/>
        <w:adjustRightInd/>
        <w:textAlignment w:val="auto"/>
        <w:rPr>
          <w:rFonts w:ascii="Source Sans Pro SemiBold" w:hAnsi="Source Sans Pro SemiBold"/>
          <w:b/>
          <w:bCs/>
          <w:caps/>
          <w:color w:val="0087A8"/>
          <w:sz w:val="18"/>
          <w:szCs w:val="18"/>
        </w:rPr>
      </w:pPr>
    </w:p>
    <w:p w14:paraId="35817772" w14:textId="77777777" w:rsidR="00FD7DD0" w:rsidRDefault="00FD7DD0" w:rsidP="00966A04">
      <w:pPr>
        <w:overflowPunct/>
        <w:autoSpaceDE/>
        <w:autoSpaceDN/>
        <w:adjustRightInd/>
        <w:textAlignment w:val="auto"/>
        <w:rPr>
          <w:rFonts w:ascii="Source Sans Pro SemiBold" w:hAnsi="Source Sans Pro SemiBold"/>
          <w:b/>
          <w:bCs/>
          <w:caps/>
          <w:color w:val="0087A8"/>
          <w:sz w:val="18"/>
          <w:szCs w:val="18"/>
        </w:rPr>
      </w:pPr>
    </w:p>
    <w:p w14:paraId="4F94DF87" w14:textId="77777777" w:rsidR="00FD7DD0" w:rsidRDefault="00FD7DD0" w:rsidP="00966A04">
      <w:pPr>
        <w:overflowPunct/>
        <w:autoSpaceDE/>
        <w:autoSpaceDN/>
        <w:adjustRightInd/>
        <w:textAlignment w:val="auto"/>
        <w:rPr>
          <w:rFonts w:ascii="Source Sans Pro SemiBold" w:hAnsi="Source Sans Pro SemiBold"/>
          <w:b/>
          <w:bCs/>
          <w:caps/>
          <w:color w:val="0087A8"/>
          <w:sz w:val="18"/>
          <w:szCs w:val="18"/>
        </w:rPr>
      </w:pPr>
    </w:p>
    <w:p w14:paraId="50B0AF24" w14:textId="3CCE40B3" w:rsidR="00DA733A" w:rsidRPr="00966A04" w:rsidRDefault="00FD7DD0" w:rsidP="00966A04">
      <w:pPr>
        <w:overflowPunct/>
        <w:autoSpaceDE/>
        <w:autoSpaceDN/>
        <w:adjustRightInd/>
        <w:textAlignment w:val="auto"/>
        <w:rPr>
          <w:rFonts w:ascii="Source Sans Pro SemiBold" w:hAnsi="Source Sans Pro SemiBold" w:cs="Source Sans Pro SemiBold"/>
          <w:b/>
          <w:bCs/>
          <w:caps/>
          <w:color w:val="0087A8"/>
          <w:sz w:val="18"/>
          <w:szCs w:val="18"/>
        </w:rPr>
      </w:pPr>
      <w:bookmarkStart w:id="0" w:name="_GoBack"/>
      <w:bookmarkEnd w:id="0"/>
      <w:r>
        <w:rPr>
          <w:rFonts w:ascii="Source Sans Pro SemiBold" w:hAnsi="Source Sans Pro SemiBold"/>
          <w:b/>
          <w:bCs/>
          <w:caps/>
          <w:color w:val="0087A8"/>
          <w:sz w:val="18"/>
          <w:szCs w:val="18"/>
        </w:rPr>
        <w:lastRenderedPageBreak/>
        <w:t>A</w:t>
      </w:r>
      <w:r w:rsidR="002B63FD">
        <w:rPr>
          <w:rFonts w:ascii="Source Sans Pro SemiBold" w:hAnsi="Source Sans Pro SemiBold"/>
          <w:b/>
          <w:bCs/>
          <w:caps/>
          <w:color w:val="0087A8"/>
          <w:sz w:val="18"/>
          <w:szCs w:val="18"/>
        </w:rPr>
        <w:t xml:space="preserve">BOUT GERMAN PROPERTY PARTNERS </w:t>
      </w:r>
    </w:p>
    <w:p w14:paraId="47B60849" w14:textId="77777777" w:rsidR="00E1280F" w:rsidRPr="00E1280F" w:rsidRDefault="00FD7DD0"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hyperlink r:id="rId8" w:history="1">
        <w:r w:rsidR="00F25E4C">
          <w:rPr>
            <w:rFonts w:ascii="Source Sans Pro SemiBold" w:hAnsi="Source Sans Pro SemiBold"/>
            <w:bCs/>
            <w:caps/>
            <w:color w:val="0087A8"/>
            <w:sz w:val="18"/>
            <w:szCs w:val="18"/>
          </w:rPr>
          <w:t>German Property Partners</w:t>
        </w:r>
      </w:hyperlink>
      <w:r w:rsidR="00F25E4C">
        <w:rPr>
          <w:rFonts w:ascii="Source Sans Pro SemiBold" w:hAnsi="Source Sans Pro SemiBold"/>
          <w:bCs/>
          <w:caps/>
          <w:color w:val="0087A8"/>
          <w:sz w:val="18"/>
          <w:szCs w:val="18"/>
        </w:rPr>
        <w:t xml:space="preserve"> is a national network of property service providers; they are all leaders in their local markets. Membership now consists of Grossmann &amp; Berger, Anteon Immobilien, GREIF &amp; CONTZEN Immobilien, blackolive and E &amp; G Real Estate. The network is remarkable for the members’ intimate knowledge of local markets, the experience of the partner firms’ long-standing property consultants and the personal dedication of the owners and directors. </w:t>
      </w:r>
    </w:p>
    <w:p w14:paraId="0E6D674A"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6C5C800"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 xml:space="preserve">In Germany’s top 7 cities - Hamburg, Berlin, Düsseldorf, Cologne | Bonn, Frankfurt, Stuttgart and Munich - network partners have their own offices offering services in the field of property investment, commercial letting, corporate real estate management (CREM), property valuation and research. Rounding off the range of skills are banking, finance and administration services. </w:t>
      </w:r>
    </w:p>
    <w:p w14:paraId="24310FE5" w14:textId="77777777" w:rsidR="00E1280F" w:rsidRPr="00E1280F" w:rsidRDefault="00E1280F" w:rsidP="00E1280F">
      <w:pPr>
        <w:pStyle w:val="EinfAbs"/>
        <w:tabs>
          <w:tab w:val="left" w:pos="200"/>
        </w:tabs>
        <w:spacing w:line="220" w:lineRule="exact"/>
        <w:jc w:val="both"/>
        <w:rPr>
          <w:rFonts w:ascii="Source Sans Pro SemiBold" w:hAnsi="Source Sans Pro SemiBold" w:cs="Source Sans Pro SemiBold"/>
          <w:bCs/>
          <w:caps/>
          <w:color w:val="0087A8"/>
          <w:sz w:val="18"/>
          <w:szCs w:val="18"/>
        </w:rPr>
      </w:pPr>
    </w:p>
    <w:p w14:paraId="3267071B" w14:textId="5194F420" w:rsidR="00D56A51" w:rsidRPr="00662564" w:rsidRDefault="00F40B12" w:rsidP="00D56A51">
      <w:pPr>
        <w:pStyle w:val="EinfAbs"/>
        <w:tabs>
          <w:tab w:val="left" w:pos="200"/>
        </w:tabs>
        <w:spacing w:line="220" w:lineRule="exact"/>
        <w:jc w:val="both"/>
        <w:rPr>
          <w:rFonts w:ascii="Source Sans Pro SemiBold" w:hAnsi="Source Sans Pro SemiBold" w:cs="Source Sans Pro SemiBold"/>
          <w:bCs/>
          <w:caps/>
          <w:color w:val="0087A8"/>
          <w:sz w:val="18"/>
          <w:szCs w:val="18"/>
        </w:rPr>
      </w:pPr>
      <w:r>
        <w:rPr>
          <w:rFonts w:ascii="Source Sans Pro SemiBold" w:hAnsi="Source Sans Pro SemiBold"/>
          <w:bCs/>
          <w:caps/>
          <w:color w:val="0087A8"/>
          <w:sz w:val="18"/>
          <w:szCs w:val="18"/>
        </w:rPr>
        <w:t>Currently, more than 420 property specialists work for the network. Nationwide, German Property Partners brokered lets in 2021 involving 640,000 m² of commercial property, and managed investment transactions totalling €2.6bn.</w:t>
      </w:r>
      <w:r>
        <w:rPr>
          <w:rFonts w:ascii="Source Sans Pro SemiBold" w:hAnsi="Source Sans Pro SemiBold"/>
          <w:bCs/>
          <w:caps/>
          <w:color w:val="0087A8"/>
          <w:sz w:val="18"/>
          <w:szCs w:val="18"/>
        </w:rPr>
        <w:br/>
      </w:r>
      <w:r>
        <w:rPr>
          <w:rFonts w:ascii="Source Sans Pro" w:hAnsi="Source Sans Pro"/>
          <w:color w:val="0087A8"/>
          <w:sz w:val="18"/>
          <w:szCs w:val="18"/>
        </w:rPr>
        <w:br/>
      </w:r>
      <w:hyperlink r:id="rId9" w:history="1">
        <w:r>
          <w:rPr>
            <w:rStyle w:val="Hyperlink"/>
            <w:rFonts w:ascii="Source Sans Pro SemiBold" w:hAnsi="Source Sans Pro SemiBold"/>
            <w:b/>
            <w:bCs/>
            <w:sz w:val="18"/>
            <w:szCs w:val="18"/>
          </w:rPr>
          <w:t>www.germanpropertypartners.de</w:t>
        </w:r>
      </w:hyperlink>
    </w:p>
    <w:p w14:paraId="1EB42925" w14:textId="77777777" w:rsidR="0049485B" w:rsidRDefault="0049485B" w:rsidP="00D56A51">
      <w:pPr>
        <w:pStyle w:val="EinfAbs"/>
        <w:tabs>
          <w:tab w:val="left" w:pos="200"/>
        </w:tabs>
        <w:spacing w:line="220" w:lineRule="exact"/>
        <w:jc w:val="both"/>
        <w:rPr>
          <w:rFonts w:ascii="Source Sans Pro SemiBold" w:hAnsi="Source Sans Pro SemiBold" w:cs="Source Sans Pro SemiBold"/>
          <w:bCs/>
          <w:sz w:val="14"/>
          <w:szCs w:val="14"/>
        </w:rPr>
      </w:pPr>
    </w:p>
    <w:p w14:paraId="468FAFF6" w14:textId="707A4BA0" w:rsidR="005C25D5" w:rsidRDefault="00290672" w:rsidP="00D56A51">
      <w:pPr>
        <w:pStyle w:val="EinfAbs"/>
        <w:tabs>
          <w:tab w:val="left" w:pos="200"/>
        </w:tabs>
        <w:spacing w:line="220" w:lineRule="exact"/>
        <w:jc w:val="both"/>
        <w:rPr>
          <w:rFonts w:ascii="Source Sans Pro" w:hAnsi="Source Sans Pro" w:cs="Source Sans Pro"/>
          <w:sz w:val="14"/>
          <w:szCs w:val="14"/>
        </w:rPr>
      </w:pPr>
      <w:r>
        <w:rPr>
          <w:sz w:val="14"/>
          <w:szCs w:val="14"/>
        </w:rPr>
        <w:t xml:space="preserve">German Property Partners’ </w:t>
      </w:r>
      <w:r>
        <w:rPr>
          <w:b/>
          <w:sz w:val="14"/>
          <w:szCs w:val="14"/>
        </w:rPr>
        <w:t>data protection declaration</w:t>
      </w:r>
      <w:r>
        <w:rPr>
          <w:sz w:val="14"/>
          <w:szCs w:val="14"/>
        </w:rPr>
        <w:t xml:space="preserve"> is available on the GPP website:</w:t>
      </w:r>
      <w:r>
        <w:rPr>
          <w:rFonts w:ascii="Source Sans Pro" w:hAnsi="Source Sans Pro"/>
          <w:sz w:val="14"/>
          <w:szCs w:val="14"/>
        </w:rPr>
        <w:t xml:space="preserve"> </w:t>
      </w:r>
      <w:hyperlink r:id="rId10" w:history="1">
        <w:r>
          <w:rPr>
            <w:rStyle w:val="Hyperlink"/>
            <w:rFonts w:ascii="Source Sans Pro" w:hAnsi="Source Sans Pro"/>
            <w:sz w:val="14"/>
            <w:szCs w:val="14"/>
          </w:rPr>
          <w:t>www.germanpropertypartners.de/datenschutz</w:t>
        </w:r>
      </w:hyperlink>
      <w:r>
        <w:rPr>
          <w:rFonts w:ascii="Source Sans Pro" w:hAnsi="Source Sans Pro"/>
          <w:sz w:val="14"/>
          <w:szCs w:val="14"/>
        </w:rPr>
        <w:t>. If in future you would prefer not to receive any more information from the GPP press office, please e-mail us at presse@germanpropertypartners.de quoting as reference "</w:t>
      </w:r>
      <w:proofErr w:type="spellStart"/>
      <w:r>
        <w:rPr>
          <w:rFonts w:ascii="Source Sans Pro" w:hAnsi="Source Sans Pro"/>
          <w:sz w:val="14"/>
          <w:szCs w:val="14"/>
        </w:rPr>
        <w:t>Abmeldung</w:t>
      </w:r>
      <w:proofErr w:type="spellEnd"/>
      <w:r>
        <w:rPr>
          <w:rFonts w:ascii="Source Sans Pro" w:hAnsi="Source Sans Pro"/>
          <w:sz w:val="14"/>
          <w:szCs w:val="14"/>
        </w:rPr>
        <w:t xml:space="preserve"> </w:t>
      </w:r>
      <w:proofErr w:type="spellStart"/>
      <w:r>
        <w:rPr>
          <w:rFonts w:ascii="Source Sans Pro" w:hAnsi="Source Sans Pro"/>
          <w:sz w:val="14"/>
          <w:szCs w:val="14"/>
        </w:rPr>
        <w:t>aus</w:t>
      </w:r>
      <w:proofErr w:type="spellEnd"/>
      <w:r>
        <w:rPr>
          <w:rFonts w:ascii="Source Sans Pro" w:hAnsi="Source Sans Pro"/>
          <w:sz w:val="14"/>
          <w:szCs w:val="14"/>
        </w:rPr>
        <w:t xml:space="preserve"> </w:t>
      </w:r>
      <w:proofErr w:type="spellStart"/>
      <w:r>
        <w:rPr>
          <w:rFonts w:ascii="Source Sans Pro" w:hAnsi="Source Sans Pro"/>
          <w:sz w:val="14"/>
          <w:szCs w:val="14"/>
        </w:rPr>
        <w:t>Presseverteiler</w:t>
      </w:r>
      <w:proofErr w:type="spellEnd"/>
      <w:r>
        <w:rPr>
          <w:rFonts w:ascii="Source Sans Pro" w:hAnsi="Source Sans Pro"/>
          <w:sz w:val="14"/>
          <w:szCs w:val="14"/>
        </w:rPr>
        <w:t xml:space="preserve">” / “Unsubscribe from press mailing list”. </w:t>
      </w:r>
    </w:p>
    <w:p w14:paraId="7BEB94CE" w14:textId="77777777" w:rsidR="0049485B" w:rsidRPr="00D56A51" w:rsidRDefault="0049485B" w:rsidP="00D56A51">
      <w:pPr>
        <w:pStyle w:val="EinfAbs"/>
        <w:tabs>
          <w:tab w:val="left" w:pos="200"/>
        </w:tabs>
        <w:spacing w:line="220" w:lineRule="exact"/>
        <w:jc w:val="both"/>
        <w:rPr>
          <w:rFonts w:ascii="Source Sans Pro SemiBold" w:hAnsi="Source Sans Pro SemiBold" w:cs="Source Sans Pro"/>
          <w:b/>
          <w:bCs/>
          <w:color w:val="0087A8"/>
          <w:sz w:val="18"/>
          <w:szCs w:val="18"/>
        </w:rPr>
      </w:pPr>
    </w:p>
    <w:sectPr w:rsidR="0049485B" w:rsidRPr="00D56A51" w:rsidSect="001B786B">
      <w:headerReference w:type="default" r:id="rId11"/>
      <w:footerReference w:type="default" r:id="rId12"/>
      <w:headerReference w:type="first" r:id="rId13"/>
      <w:footerReference w:type="first" r:id="rId14"/>
      <w:pgSz w:w="11900" w:h="16820" w:code="9"/>
      <w:pgMar w:top="2552" w:right="1304" w:bottom="567" w:left="1304" w:header="885" w:footer="567"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17361" w14:textId="77777777" w:rsidR="000476E9" w:rsidRDefault="000476E9">
      <w:r>
        <w:separator/>
      </w:r>
    </w:p>
  </w:endnote>
  <w:endnote w:type="continuationSeparator" w:id="0">
    <w:p w14:paraId="4DFF4499" w14:textId="77777777" w:rsidR="000476E9" w:rsidRDefault="0004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urce Sans Pro">
    <w:altName w:val="Cambria Math"/>
    <w:panose1 w:val="020B0503030403020204"/>
    <w:charset w:val="00"/>
    <w:family w:val="swiss"/>
    <w:pitch w:val="variable"/>
    <w:sig w:usb0="600002F7" w:usb1="02000001" w:usb2="00000000" w:usb3="00000000" w:csb0="0000019F" w:csb1="00000000"/>
  </w:font>
  <w:font w:name="Source Sans Pro SemiBold">
    <w:altName w:val="Cambria Math"/>
    <w:panose1 w:val="020B0603030403020204"/>
    <w:charset w:val="00"/>
    <w:family w:val="swiss"/>
    <w:pitch w:val="variable"/>
    <w:sig w:usb0="600002F7" w:usb1="02000001" w:usb2="00000000" w:usb3="00000000" w:csb0="0000019F" w:csb1="00000000"/>
  </w:font>
  <w:font w:name="HelveticaNeueLT Pro 55 Roman">
    <w:altName w:val="Arial"/>
    <w:charset w:val="4D"/>
    <w:family w:val="swiss"/>
    <w:pitch w:val="variable"/>
    <w:sig w:usb0="A00000AF" w:usb1="5000204A" w:usb2="00000000" w:usb3="00000000" w:csb0="00000093" w:csb1="00000000"/>
  </w:font>
  <w:font w:name="DengXian Light">
    <w:altName w:val="Microsoft JhengHei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FC666" w14:textId="0B1390D1" w:rsidR="001B786B" w:rsidRDefault="001B786B" w:rsidP="001B786B">
    <w:pPr>
      <w:pStyle w:val="Fuzeile"/>
      <w:spacing w:line="220" w:lineRule="exact"/>
      <w:rPr>
        <w:rStyle w:val="Seitenzahl"/>
        <w:rFonts w:ascii="Source Sans Pro" w:hAnsi="Source Sans Pro" w:cs="Arial"/>
        <w:color w:val="0086A8"/>
        <w:sz w:val="18"/>
        <w:szCs w:val="18"/>
      </w:rPr>
    </w:pPr>
  </w:p>
  <w:p w14:paraId="08A74C44" w14:textId="77777777" w:rsidR="006F154A" w:rsidRDefault="006F154A" w:rsidP="001B786B">
    <w:pPr>
      <w:pStyle w:val="Fuzeile"/>
      <w:spacing w:line="220" w:lineRule="exact"/>
      <w:rPr>
        <w:rStyle w:val="Seitenzahl"/>
        <w:rFonts w:ascii="Source Sans Pro" w:hAnsi="Source Sans Pro" w:cs="Arial"/>
        <w:color w:val="0086A8"/>
        <w:sz w:val="18"/>
        <w:szCs w:val="18"/>
      </w:rPr>
    </w:pPr>
  </w:p>
  <w:p w14:paraId="1F725FAF" w14:textId="77777777" w:rsidR="006F154A" w:rsidRPr="006456EA" w:rsidRDefault="006F154A" w:rsidP="001B786B">
    <w:pPr>
      <w:pStyle w:val="Fuzeile"/>
      <w:spacing w:line="220" w:lineRule="exact"/>
      <w:rPr>
        <w:rStyle w:val="Seitenzahl"/>
        <w:rFonts w:ascii="Source Sans Pro" w:hAnsi="Source Sans Pro" w:cs="Arial"/>
        <w:color w:val="0087A8"/>
        <w:sz w:val="18"/>
        <w:szCs w:val="18"/>
      </w:rPr>
    </w:pPr>
  </w:p>
  <w:p w14:paraId="3E5BA6C5" w14:textId="0EA54954" w:rsidR="005644BE" w:rsidRPr="006456EA" w:rsidRDefault="005644BE" w:rsidP="005644BE">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FD7DD0">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FD7DD0">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5D199B7F" w14:textId="2D7D6450" w:rsidR="005644BE" w:rsidRPr="006456EA" w:rsidRDefault="005644BE" w:rsidP="005644BE">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Tel.: +49</w:t>
    </w:r>
    <w:r w:rsidR="0097058A">
      <w:rPr>
        <w:rFonts w:ascii="Source Sans Pro" w:hAnsi="Source Sans Pro"/>
        <w:color w:val="0087A8"/>
        <w:sz w:val="18"/>
        <w:szCs w:val="18"/>
      </w:rPr>
      <w:t xml:space="preserve"> 4</w:t>
    </w:r>
    <w:r>
      <w:rPr>
        <w:rFonts w:ascii="Source Sans Pro" w:hAnsi="Source Sans Pro"/>
        <w:color w:val="0087A8"/>
        <w:sz w:val="18"/>
        <w:szCs w:val="18"/>
      </w:rPr>
      <w:t xml:space="preserve">0 350802-588 </w:t>
    </w:r>
  </w:p>
  <w:p w14:paraId="6F9C1B3C" w14:textId="1406C3DE" w:rsidR="00C41C74" w:rsidRPr="005644BE" w:rsidRDefault="00965DEB" w:rsidP="001B786B">
    <w:pPr>
      <w:pStyle w:val="EinfAbs"/>
      <w:tabs>
        <w:tab w:val="left" w:pos="2268"/>
      </w:tabs>
      <w:spacing w:line="220" w:lineRule="exact"/>
      <w:rPr>
        <w:rFonts w:ascii="Source Sans Pro" w:hAnsi="Source Sans Pro" w:cs="Source Sans Pro"/>
        <w:color w:val="0086A8"/>
        <w:sz w:val="18"/>
        <w:szCs w:val="18"/>
      </w:rPr>
    </w:pPr>
    <w:r>
      <w:rPr>
        <w:noProof/>
        <w:lang w:val="de-DE"/>
      </w:rPr>
      <w:drawing>
        <wp:anchor distT="0" distB="0" distL="114300" distR="114300" simplePos="0" relativeHeight="251676672" behindDoc="0" locked="0" layoutInCell="1" allowOverlap="1" wp14:anchorId="74B63C0B" wp14:editId="0C6711F5">
          <wp:simplePos x="0" y="0"/>
          <wp:positionH relativeFrom="page">
            <wp:posOffset>4788535</wp:posOffset>
          </wp:positionH>
          <wp:positionV relativeFrom="page">
            <wp:posOffset>10196195</wp:posOffset>
          </wp:positionV>
          <wp:extent cx="1947600" cy="100800"/>
          <wp:effectExtent l="0" t="0" r="0" b="1270"/>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 xml:space="preserve">Corinna </w:t>
    </w:r>
    <w:proofErr w:type="spellStart"/>
    <w:r>
      <w:rPr>
        <w:rFonts w:ascii="Source Sans Pro" w:hAnsi="Source Sans Pro"/>
        <w:color w:val="0087A8"/>
        <w:sz w:val="18"/>
        <w:szCs w:val="18"/>
      </w:rPr>
      <w:t>Fühner</w:t>
    </w:r>
    <w:proofErr w:type="spellEnd"/>
    <w:r>
      <w:rPr>
        <w:rFonts w:ascii="Source Sans Pro" w:hAnsi="Source Sans Pro"/>
        <w:color w:val="0087A8"/>
        <w:sz w:val="18"/>
        <w:szCs w:val="18"/>
      </w:rPr>
      <w:tab/>
      <w:t>presse@germanpropertypartners.de</w:t>
    </w:r>
    <w:r>
      <w:rPr>
        <w:rStyle w:val="Seitenzahl"/>
      </w:rPr>
      <w:tab/>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0AF12" w14:textId="78D04753" w:rsidR="00C41C74" w:rsidRPr="001B786B" w:rsidRDefault="00C41C74" w:rsidP="001B786B">
    <w:pPr>
      <w:pStyle w:val="Fuzeile"/>
      <w:spacing w:line="220" w:lineRule="exact"/>
      <w:rPr>
        <w:rStyle w:val="Seitenzahl"/>
        <w:rFonts w:ascii="Source Sans Pro" w:hAnsi="Source Sans Pro"/>
        <w:color w:val="0086A8"/>
        <w:sz w:val="18"/>
        <w:szCs w:val="18"/>
      </w:rPr>
    </w:pPr>
  </w:p>
  <w:p w14:paraId="00991498" w14:textId="30179829" w:rsidR="00C41C74" w:rsidRPr="006456EA" w:rsidRDefault="00C41C74" w:rsidP="00C35841">
    <w:pPr>
      <w:pStyle w:val="Fuzeile"/>
      <w:spacing w:line="220" w:lineRule="exact"/>
      <w:rPr>
        <w:rStyle w:val="Seitenzahl"/>
        <w:rFonts w:ascii="Source Sans Pro" w:hAnsi="Source Sans Pro" w:cs="Arial"/>
        <w:color w:val="0087A8"/>
        <w:sz w:val="18"/>
        <w:szCs w:val="18"/>
      </w:rPr>
    </w:pP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PAGE </w:instrText>
    </w:r>
    <w:r w:rsidRPr="006456EA">
      <w:rPr>
        <w:rStyle w:val="Seitenzahl"/>
        <w:rFonts w:ascii="Source Sans Pro" w:hAnsi="Source Sans Pro" w:cs="Arial"/>
        <w:color w:val="0087A8"/>
        <w:sz w:val="18"/>
        <w:szCs w:val="18"/>
      </w:rPr>
      <w:fldChar w:fldCharType="separate"/>
    </w:r>
    <w:r w:rsidR="004B1B59">
      <w:rPr>
        <w:rStyle w:val="Seitenzahl"/>
        <w:rFonts w:ascii="Source Sans Pro" w:hAnsi="Source Sans Pro" w:cs="Arial"/>
        <w:noProof/>
        <w:color w:val="0087A8"/>
        <w:sz w:val="18"/>
        <w:szCs w:val="18"/>
      </w:rPr>
      <w:t>1</w:t>
    </w:r>
    <w:r w:rsidRPr="006456EA">
      <w:rPr>
        <w:rStyle w:val="Seitenzahl"/>
        <w:rFonts w:ascii="Source Sans Pro" w:hAnsi="Source Sans Pro" w:cs="Arial"/>
        <w:color w:val="0087A8"/>
        <w:sz w:val="18"/>
        <w:szCs w:val="18"/>
      </w:rPr>
      <w:fldChar w:fldCharType="end"/>
    </w:r>
    <w:r>
      <w:rPr>
        <w:rStyle w:val="Seitenzahl"/>
        <w:rFonts w:ascii="Source Sans Pro" w:hAnsi="Source Sans Pro"/>
        <w:color w:val="0087A8"/>
        <w:sz w:val="18"/>
        <w:szCs w:val="18"/>
      </w:rPr>
      <w:t xml:space="preserve"> I </w:t>
    </w:r>
    <w:r w:rsidRPr="006456EA">
      <w:rPr>
        <w:rStyle w:val="Seitenzahl"/>
        <w:rFonts w:ascii="Source Sans Pro" w:hAnsi="Source Sans Pro" w:cs="Arial"/>
        <w:color w:val="0087A8"/>
        <w:sz w:val="18"/>
        <w:szCs w:val="18"/>
      </w:rPr>
      <w:fldChar w:fldCharType="begin"/>
    </w:r>
    <w:r w:rsidRPr="006456EA">
      <w:rPr>
        <w:rStyle w:val="Seitenzahl"/>
        <w:rFonts w:ascii="Source Sans Pro" w:hAnsi="Source Sans Pro" w:cs="Arial"/>
        <w:color w:val="0087A8"/>
        <w:sz w:val="18"/>
        <w:szCs w:val="18"/>
      </w:rPr>
      <w:instrText xml:space="preserve"> NUMPAGES </w:instrText>
    </w:r>
    <w:r w:rsidRPr="006456EA">
      <w:rPr>
        <w:rStyle w:val="Seitenzahl"/>
        <w:rFonts w:ascii="Source Sans Pro" w:hAnsi="Source Sans Pro" w:cs="Arial"/>
        <w:color w:val="0087A8"/>
        <w:sz w:val="18"/>
        <w:szCs w:val="18"/>
      </w:rPr>
      <w:fldChar w:fldCharType="separate"/>
    </w:r>
    <w:r w:rsidR="004B1B59">
      <w:rPr>
        <w:rStyle w:val="Seitenzahl"/>
        <w:rFonts w:ascii="Source Sans Pro" w:hAnsi="Source Sans Pro" w:cs="Arial"/>
        <w:noProof/>
        <w:color w:val="0087A8"/>
        <w:sz w:val="18"/>
        <w:szCs w:val="18"/>
      </w:rPr>
      <w:t>4</w:t>
    </w:r>
    <w:r w:rsidRPr="006456EA">
      <w:rPr>
        <w:rStyle w:val="Seitenzahl"/>
        <w:rFonts w:ascii="Source Sans Pro" w:hAnsi="Source Sans Pro" w:cs="Arial"/>
        <w:color w:val="0087A8"/>
        <w:sz w:val="18"/>
        <w:szCs w:val="18"/>
      </w:rPr>
      <w:fldChar w:fldCharType="end"/>
    </w:r>
  </w:p>
  <w:p w14:paraId="664ECE5C" w14:textId="7CA2509F" w:rsidR="001E1829" w:rsidRPr="006456EA" w:rsidRDefault="001E1829" w:rsidP="00C846F6">
    <w:pPr>
      <w:pStyle w:val="EinfAbs"/>
      <w:tabs>
        <w:tab w:val="left" w:pos="2268"/>
      </w:tabs>
      <w:spacing w:line="220" w:lineRule="exact"/>
      <w:rPr>
        <w:rFonts w:ascii="Source Sans Pro" w:hAnsi="Source Sans Pro" w:cs="Source Sans Pro"/>
        <w:color w:val="0087A8"/>
        <w:sz w:val="18"/>
        <w:szCs w:val="18"/>
      </w:rPr>
    </w:pPr>
    <w:r>
      <w:rPr>
        <w:rFonts w:ascii="Source Sans Pro SemiBold" w:hAnsi="Source Sans Pro SemiBold"/>
        <w:b/>
        <w:bCs/>
        <w:caps/>
        <w:color w:val="0087A8"/>
        <w:sz w:val="18"/>
        <w:szCs w:val="18"/>
      </w:rPr>
      <w:t>PRESS CONTACT</w:t>
    </w:r>
    <w:r>
      <w:rPr>
        <w:rFonts w:ascii="Source Sans Pro SemiBold" w:hAnsi="Source Sans Pro SemiBold"/>
        <w:b/>
        <w:bCs/>
        <w:caps/>
        <w:color w:val="0087A8"/>
        <w:sz w:val="18"/>
        <w:szCs w:val="18"/>
      </w:rPr>
      <w:tab/>
    </w:r>
    <w:r>
      <w:rPr>
        <w:rFonts w:ascii="Source Sans Pro" w:hAnsi="Source Sans Pro"/>
        <w:color w:val="0087A8"/>
        <w:sz w:val="18"/>
        <w:szCs w:val="18"/>
      </w:rPr>
      <w:t>Tel.: +49</w:t>
    </w:r>
    <w:r w:rsidR="00F538B6">
      <w:rPr>
        <w:rFonts w:ascii="Source Sans Pro" w:hAnsi="Source Sans Pro"/>
        <w:color w:val="0087A8"/>
        <w:sz w:val="18"/>
        <w:szCs w:val="18"/>
      </w:rPr>
      <w:t xml:space="preserve"> 4</w:t>
    </w:r>
    <w:r>
      <w:rPr>
        <w:rFonts w:ascii="Source Sans Pro" w:hAnsi="Source Sans Pro"/>
        <w:color w:val="0087A8"/>
        <w:sz w:val="18"/>
        <w:szCs w:val="18"/>
      </w:rPr>
      <w:t xml:space="preserve">0 350802-588 </w:t>
    </w:r>
  </w:p>
  <w:p w14:paraId="5F7CBAE8" w14:textId="64DE11DF" w:rsidR="001E1829" w:rsidRPr="006456EA" w:rsidRDefault="00965DEB" w:rsidP="001B786B">
    <w:pPr>
      <w:pStyle w:val="EinfAbs"/>
      <w:tabs>
        <w:tab w:val="left" w:pos="2268"/>
      </w:tabs>
      <w:spacing w:line="220" w:lineRule="exact"/>
      <w:rPr>
        <w:rFonts w:ascii="Source Sans Pro" w:hAnsi="Source Sans Pro" w:cs="Source Sans Pro"/>
        <w:color w:val="0087A8"/>
        <w:sz w:val="18"/>
        <w:szCs w:val="18"/>
      </w:rPr>
    </w:pPr>
    <w:r>
      <w:rPr>
        <w:rFonts w:ascii="Source Sans Pro" w:hAnsi="Source Sans Pro"/>
        <w:noProof/>
        <w:color w:val="0087A8"/>
        <w:sz w:val="18"/>
        <w:szCs w:val="18"/>
        <w:lang w:val="de-DE"/>
      </w:rPr>
      <w:drawing>
        <wp:anchor distT="0" distB="0" distL="114300" distR="114300" simplePos="0" relativeHeight="251673600" behindDoc="0" locked="0" layoutInCell="1" allowOverlap="1" wp14:anchorId="5D69998A" wp14:editId="68FB5133">
          <wp:simplePos x="0" y="0"/>
          <wp:positionH relativeFrom="page">
            <wp:posOffset>4788535</wp:posOffset>
          </wp:positionH>
          <wp:positionV relativeFrom="page">
            <wp:posOffset>10196195</wp:posOffset>
          </wp:positionV>
          <wp:extent cx="1947600" cy="100800"/>
          <wp:effectExtent l="0" t="0" r="0" b="127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pic:cNvPicPr/>
                </pic:nvPicPr>
                <pic:blipFill>
                  <a:blip r:embed="rId1">
                    <a:extLst>
                      <a:ext uri="{28A0092B-C50C-407E-A947-70E740481C1C}">
                        <a14:useLocalDpi xmlns:a14="http://schemas.microsoft.com/office/drawing/2010/main" val="0"/>
                      </a:ext>
                    </a:extLst>
                  </a:blip>
                  <a:stretch>
                    <a:fillRect/>
                  </a:stretch>
                </pic:blipFill>
                <pic:spPr>
                  <a:xfrm>
                    <a:off x="0" y="0"/>
                    <a:ext cx="1947600" cy="100800"/>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0087A8"/>
        <w:sz w:val="18"/>
        <w:szCs w:val="18"/>
      </w:rPr>
      <w:t xml:space="preserve">Corinna </w:t>
    </w:r>
    <w:proofErr w:type="spellStart"/>
    <w:r>
      <w:rPr>
        <w:rFonts w:ascii="Source Sans Pro" w:hAnsi="Source Sans Pro"/>
        <w:color w:val="0087A8"/>
        <w:sz w:val="18"/>
        <w:szCs w:val="18"/>
      </w:rPr>
      <w:t>Fühner</w:t>
    </w:r>
    <w:proofErr w:type="spellEnd"/>
    <w:r>
      <w:rPr>
        <w:rFonts w:ascii="Source Sans Pro" w:hAnsi="Source Sans Pro"/>
        <w:color w:val="0087A8"/>
        <w:sz w:val="18"/>
        <w:szCs w:val="18"/>
      </w:rPr>
      <w:tab/>
      <w:t>presse@germanpropertypartners.de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44940" w14:textId="77777777" w:rsidR="000476E9" w:rsidRDefault="000476E9">
      <w:r>
        <w:separator/>
      </w:r>
    </w:p>
  </w:footnote>
  <w:footnote w:type="continuationSeparator" w:id="0">
    <w:p w14:paraId="3B545435" w14:textId="77777777" w:rsidR="000476E9" w:rsidRDefault="0004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9AE73" w14:textId="5A8CA290" w:rsidR="004D2CD0" w:rsidRDefault="00965DEB" w:rsidP="004D2CD0">
    <w:pPr>
      <w:pStyle w:val="Kopfzeile"/>
      <w:tabs>
        <w:tab w:val="clear" w:pos="4536"/>
        <w:tab w:val="clear" w:pos="9072"/>
        <w:tab w:val="left" w:pos="7938"/>
      </w:tabs>
      <w:ind w:right="-2043"/>
    </w:pPr>
    <w:r>
      <w:rPr>
        <w:noProof/>
        <w:lang w:val="de-DE"/>
      </w:rPr>
      <w:drawing>
        <wp:anchor distT="0" distB="0" distL="114300" distR="114300" simplePos="0" relativeHeight="251675648" behindDoc="0" locked="0" layoutInCell="1" allowOverlap="1" wp14:anchorId="08033756" wp14:editId="605ECF66">
          <wp:simplePos x="0" y="0"/>
          <wp:positionH relativeFrom="page">
            <wp:posOffset>5995035</wp:posOffset>
          </wp:positionH>
          <wp:positionV relativeFrom="page">
            <wp:posOffset>100965</wp:posOffset>
          </wp:positionV>
          <wp:extent cx="828000" cy="1065600"/>
          <wp:effectExtent l="0" t="0" r="0" b="127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tab/>
    </w:r>
  </w:p>
  <w:p w14:paraId="1736273E" w14:textId="0051BB57" w:rsidR="004D2CD0" w:rsidRDefault="004D2CD0" w:rsidP="004D2CD0">
    <w:pPr>
      <w:pStyle w:val="Kopfzeile"/>
      <w:tabs>
        <w:tab w:val="clear" w:pos="4536"/>
        <w:tab w:val="clear" w:pos="9072"/>
        <w:tab w:val="left" w:pos="7938"/>
      </w:tabs>
      <w:ind w:right="-1985"/>
    </w:pPr>
  </w:p>
  <w:p w14:paraId="138C2CDC" w14:textId="18B83CBB" w:rsidR="00C41C74" w:rsidRDefault="00BB0F85" w:rsidP="001E5503">
    <w:pPr>
      <w:pStyle w:val="Kopfzeile"/>
      <w:tabs>
        <w:tab w:val="clear" w:pos="4536"/>
        <w:tab w:val="clear" w:pos="9072"/>
        <w:tab w:val="left" w:pos="7938"/>
      </w:tabs>
      <w:ind w:right="-1985"/>
    </w:pPr>
    <w:r>
      <w:rPr>
        <w:noProof/>
        <w:lang w:val="de-DE"/>
      </w:rPr>
      <mc:AlternateContent>
        <mc:Choice Requires="wps">
          <w:drawing>
            <wp:anchor distT="0" distB="0" distL="114300" distR="114300" simplePos="0" relativeHeight="251655168" behindDoc="0" locked="0" layoutInCell="0" allowOverlap="1" wp14:anchorId="36E0A73C" wp14:editId="0C60B6D8">
              <wp:simplePos x="0" y="0"/>
              <wp:positionH relativeFrom="column">
                <wp:posOffset>-26035</wp:posOffset>
              </wp:positionH>
              <wp:positionV relativeFrom="page">
                <wp:posOffset>1332865</wp:posOffset>
              </wp:positionV>
              <wp:extent cx="685800" cy="60134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444D80" id="Rectangle 5" o:spid="_x0000_s1026" style="position:absolute;margin-left:-2.05pt;margin-top:104.95pt;width:54pt;height:47.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" o:allowincell="f" filled="f" stroked="f" strokeweight="0">
              <w10:wrap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C617" w14:textId="0096DDD3" w:rsidR="00C41C74" w:rsidRDefault="007B33CE" w:rsidP="009F28F5">
    <w:pPr>
      <w:pStyle w:val="Kopfzeile"/>
      <w:tabs>
        <w:tab w:val="clear" w:pos="4536"/>
        <w:tab w:val="clear" w:pos="9072"/>
        <w:tab w:val="left" w:pos="7938"/>
      </w:tabs>
      <w:ind w:right="-2043"/>
    </w:pPr>
    <w:r>
      <w:rPr>
        <w:noProof/>
        <w:lang w:val="de-DE"/>
      </w:rPr>
      <w:drawing>
        <wp:anchor distT="0" distB="0" distL="114300" distR="114300" simplePos="0" relativeHeight="251654143" behindDoc="0" locked="0" layoutInCell="1" allowOverlap="1" wp14:anchorId="5CC17046" wp14:editId="66798E8E">
          <wp:simplePos x="0" y="0"/>
          <wp:positionH relativeFrom="page">
            <wp:posOffset>5995035</wp:posOffset>
          </wp:positionH>
          <wp:positionV relativeFrom="page">
            <wp:posOffset>102235</wp:posOffset>
          </wp:positionV>
          <wp:extent cx="828000" cy="1065600"/>
          <wp:effectExtent l="0" t="0" r="0" b="1270"/>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
                    <a:extLst>
                      <a:ext uri="{28A0092B-C50C-407E-A947-70E740481C1C}">
                        <a14:useLocalDpi xmlns:a14="http://schemas.microsoft.com/office/drawing/2010/main" val="0"/>
                      </a:ext>
                    </a:extLst>
                  </a:blip>
                  <a:stretch>
                    <a:fillRect/>
                  </a:stretch>
                </pic:blipFill>
                <pic:spPr>
                  <a:xfrm>
                    <a:off x="0" y="0"/>
                    <a:ext cx="828000" cy="10656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0" distB="0" distL="114300" distR="114300" simplePos="0" relativeHeight="251666432" behindDoc="0" locked="1" layoutInCell="0" allowOverlap="1" wp14:anchorId="7A25BCC8" wp14:editId="12A8C88E">
              <wp:simplePos x="0" y="0"/>
              <wp:positionH relativeFrom="page">
                <wp:posOffset>828040</wp:posOffset>
              </wp:positionH>
              <wp:positionV relativeFrom="page">
                <wp:posOffset>617220</wp:posOffset>
              </wp:positionV>
              <wp:extent cx="3333600" cy="288000"/>
              <wp:effectExtent l="0" t="0" r="6985" b="444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600" cy="28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B4E771" w14:textId="77777777" w:rsidR="000E6577" w:rsidRDefault="000E6577" w:rsidP="000E6577">
                          <w:pPr>
                            <w:pStyle w:val="EinfAbs"/>
                            <w:rPr>
                              <w:rFonts w:ascii="Source Sans Pro" w:hAnsi="Source Sans Pro" w:cs="Source Sans Pro"/>
                              <w:sz w:val="32"/>
                              <w:szCs w:val="32"/>
                            </w:rPr>
                          </w:pPr>
                          <w:r>
                            <w:rPr>
                              <w:rFonts w:ascii="Source Sans Pro" w:hAnsi="Source Sans Pro"/>
                              <w:sz w:val="32"/>
                              <w:szCs w:val="32"/>
                            </w:rPr>
                            <w:t>PRESS RELEASE</w:t>
                          </w:r>
                          <w:r>
                            <w:rPr>
                              <w:rFonts w:ascii="Source Sans Pro" w:hAnsi="Source Sans Pro"/>
                              <w:sz w:val="32"/>
                              <w:szCs w:val="32"/>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BCC8" id="Rectangle 6" o:spid="_x0000_s1026" style="position:absolute;margin-left:65.2pt;margin-top:48.6pt;width:262.5pt;height:2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" o:allowincell="f" filled="f" stroked="f" strokeweight="0">
              <v:textbox inset="0,0,0,0">
                <w:txbxContent>
                  <w:p w14:paraId="25B4E771" w14:textId="77777777" w:rsidR="000E6577" w:rsidRDefault="000E6577" w:rsidP="000E6577">
                    <w:pPr>
                      <w:pStyle w:val="EinfAbs"/>
                      <w:rPr>
                        <w:sz w:val="32"/>
                        <w:szCs w:val="32"/>
                        <w:rFonts w:ascii="Source Sans Pro" w:hAnsi="Source Sans Pro" w:cs="Source Sans Pro"/>
                      </w:rPr>
                    </w:pPr>
                    <w:r>
                      <w:rPr>
                        <w:sz w:val="32"/>
                        <w:szCs w:val="32"/>
                        <w:rFonts w:ascii="Source Sans Pro" w:hAnsi="Source Sans Pro"/>
                      </w:rPr>
                      <w:t xml:space="preserve">PRESS RELEASE</w:t>
                    </w:r>
                    <w:r>
                      <w:rPr>
                        <w:sz w:val="32"/>
                        <w:szCs w:val="32"/>
                        <w:rFonts w:ascii="Source Sans Pro" w:hAnsi="Source Sans Pro"/>
                      </w:rPr>
                      <w:br/>
                    </w:r>
                  </w:p>
                  <w:p w14:paraId="10D6939D" w14:textId="4BFF8C44" w:rsidR="00E775AC" w:rsidRPr="00B922EE" w:rsidRDefault="00E775AC" w:rsidP="00E775AC">
                    <w:pPr>
                      <w:pStyle w:val="AbsenderArial2"/>
                      <w:spacing w:line="240" w:lineRule="auto"/>
                      <w:rPr>
                        <w:rFonts w:ascii="HelveticaNeueLT Pro 55 Roman" w:hAnsi="HelveticaNeueLT Pro 55 Roman" w:cs="Arial"/>
                        <w:b w:val="0"/>
                        <w:color w:val="002639"/>
                        <w:sz w:val="36"/>
                        <w:szCs w:val="36"/>
                      </w:rPr>
                    </w:pPr>
                  </w:p>
                </w:txbxContent>
              </v:textbox>
              <w10:wrap anchorx="page" anchory="page"/>
              <w10:anchorlock/>
            </v:rect>
          </w:pict>
        </mc:Fallback>
      </mc:AlternateContent>
    </w:r>
    <w:r>
      <w:tab/>
    </w:r>
  </w:p>
  <w:p w14:paraId="3EAD45CF" w14:textId="5FC2DEDD" w:rsidR="004D2CD0" w:rsidRDefault="004D2CD0" w:rsidP="0005029E">
    <w:r>
      <w:tab/>
    </w:r>
  </w:p>
  <w:p w14:paraId="185BEDCB" w14:textId="4F512084" w:rsidR="004D2CD0" w:rsidRDefault="004D2CD0" w:rsidP="004D2CD0">
    <w:pPr>
      <w:pStyle w:val="Kopfzeile"/>
      <w:tabs>
        <w:tab w:val="clear" w:pos="4536"/>
        <w:tab w:val="clear" w:pos="9072"/>
        <w:tab w:val="left" w:pos="7938"/>
      </w:tabs>
      <w:ind w:right="-1985"/>
    </w:pPr>
    <w:r>
      <w:tab/>
    </w:r>
  </w:p>
  <w:p w14:paraId="19BE4530" w14:textId="5BD8E383" w:rsidR="004D2CD0" w:rsidRDefault="004D2CD0" w:rsidP="004D2CD0">
    <w:pPr>
      <w:pStyle w:val="Kopfzeile"/>
      <w:tabs>
        <w:tab w:val="clear" w:pos="4536"/>
        <w:tab w:val="clear" w:pos="9072"/>
        <w:tab w:val="left" w:pos="6265"/>
      </w:tabs>
      <w:ind w:right="-2043"/>
    </w:pPr>
  </w:p>
  <w:p w14:paraId="3370FE02" w14:textId="755B0682" w:rsidR="00C41C74" w:rsidRPr="00DA6836" w:rsidRDefault="00DA6836" w:rsidP="00FC69D9">
    <w:pPr>
      <w:pStyle w:val="Kopfzeile"/>
      <w:tabs>
        <w:tab w:val="clear" w:pos="4536"/>
        <w:tab w:val="clear" w:pos="9072"/>
        <w:tab w:val="left" w:pos="7230"/>
        <w:tab w:val="left" w:pos="8445"/>
      </w:tabs>
      <w:ind w:right="-2043"/>
      <w:rPr>
        <w:b/>
      </w:rPr>
    </w:pPr>
    <w:r>
      <w:tab/>
    </w:r>
  </w:p>
  <w:p w14:paraId="10CD55B7" w14:textId="6876FB57" w:rsidR="00C41C74" w:rsidRDefault="00F5697E">
    <w:pPr>
      <w:pStyle w:val="Kopfzeile"/>
      <w:tabs>
        <w:tab w:val="clear" w:pos="4536"/>
        <w:tab w:val="clear" w:pos="9072"/>
        <w:tab w:val="left" w:pos="6265"/>
      </w:tabs>
      <w:ind w:right="-2043"/>
      <w:rPr>
        <w:rFonts w:ascii="Arial" w:hAnsi="Arial"/>
        <w:sz w:val="15"/>
      </w:rPr>
    </w:pPr>
    <w:r>
      <w:rPr>
        <w:rFonts w:ascii="Arial" w:hAnsi="Arial"/>
        <w:sz w:val="15"/>
      </w:rPr>
      <w:softHyphen/>
    </w:r>
    <w:r>
      <w:rPr>
        <w:rFonts w:ascii="Arial" w:hAnsi="Arial"/>
        <w:sz w:val="15"/>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85"/>
    <w:rsid w:val="00000F50"/>
    <w:rsid w:val="00001F24"/>
    <w:rsid w:val="000021F4"/>
    <w:rsid w:val="00004E93"/>
    <w:rsid w:val="000136D7"/>
    <w:rsid w:val="00013C9D"/>
    <w:rsid w:val="00013D73"/>
    <w:rsid w:val="00020AC9"/>
    <w:rsid w:val="00027EA3"/>
    <w:rsid w:val="00032028"/>
    <w:rsid w:val="000440EB"/>
    <w:rsid w:val="000476E9"/>
    <w:rsid w:val="0005029E"/>
    <w:rsid w:val="000610DA"/>
    <w:rsid w:val="00064553"/>
    <w:rsid w:val="000663B5"/>
    <w:rsid w:val="00066A8A"/>
    <w:rsid w:val="0007265C"/>
    <w:rsid w:val="00072A30"/>
    <w:rsid w:val="00073A63"/>
    <w:rsid w:val="00075C3C"/>
    <w:rsid w:val="00077E8A"/>
    <w:rsid w:val="00082C59"/>
    <w:rsid w:val="000865B9"/>
    <w:rsid w:val="00091562"/>
    <w:rsid w:val="0009382E"/>
    <w:rsid w:val="000A12F9"/>
    <w:rsid w:val="000A4FBB"/>
    <w:rsid w:val="000A6A78"/>
    <w:rsid w:val="000B310B"/>
    <w:rsid w:val="000B48CF"/>
    <w:rsid w:val="000C3A22"/>
    <w:rsid w:val="000C765F"/>
    <w:rsid w:val="000D5A87"/>
    <w:rsid w:val="000D7B09"/>
    <w:rsid w:val="000D7FD3"/>
    <w:rsid w:val="000E194E"/>
    <w:rsid w:val="000E4F2C"/>
    <w:rsid w:val="000E6577"/>
    <w:rsid w:val="000E694E"/>
    <w:rsid w:val="000E716C"/>
    <w:rsid w:val="000F57F1"/>
    <w:rsid w:val="001104E2"/>
    <w:rsid w:val="00110E37"/>
    <w:rsid w:val="0011143B"/>
    <w:rsid w:val="00113D8C"/>
    <w:rsid w:val="00120624"/>
    <w:rsid w:val="001208CE"/>
    <w:rsid w:val="0012156C"/>
    <w:rsid w:val="00131DC5"/>
    <w:rsid w:val="001340F8"/>
    <w:rsid w:val="00143DF8"/>
    <w:rsid w:val="00143FCB"/>
    <w:rsid w:val="00146388"/>
    <w:rsid w:val="00147232"/>
    <w:rsid w:val="00150092"/>
    <w:rsid w:val="001550FE"/>
    <w:rsid w:val="00155828"/>
    <w:rsid w:val="00156AF6"/>
    <w:rsid w:val="00156B89"/>
    <w:rsid w:val="00161817"/>
    <w:rsid w:val="00162CC4"/>
    <w:rsid w:val="001647B3"/>
    <w:rsid w:val="00164FEC"/>
    <w:rsid w:val="00166ED2"/>
    <w:rsid w:val="00176433"/>
    <w:rsid w:val="0018092C"/>
    <w:rsid w:val="00184AA3"/>
    <w:rsid w:val="00184BB0"/>
    <w:rsid w:val="001947CC"/>
    <w:rsid w:val="001963BB"/>
    <w:rsid w:val="001A145B"/>
    <w:rsid w:val="001A22F5"/>
    <w:rsid w:val="001A26C5"/>
    <w:rsid w:val="001B786B"/>
    <w:rsid w:val="001C0C8F"/>
    <w:rsid w:val="001C32DB"/>
    <w:rsid w:val="001C44E5"/>
    <w:rsid w:val="001C518B"/>
    <w:rsid w:val="001C6DDD"/>
    <w:rsid w:val="001D0F2C"/>
    <w:rsid w:val="001E1829"/>
    <w:rsid w:val="001E5503"/>
    <w:rsid w:val="001F218D"/>
    <w:rsid w:val="001F35E1"/>
    <w:rsid w:val="001F602C"/>
    <w:rsid w:val="00200C83"/>
    <w:rsid w:val="002014F7"/>
    <w:rsid w:val="00202DD3"/>
    <w:rsid w:val="00216C8D"/>
    <w:rsid w:val="00225428"/>
    <w:rsid w:val="0022694F"/>
    <w:rsid w:val="00235393"/>
    <w:rsid w:val="00236619"/>
    <w:rsid w:val="002517B8"/>
    <w:rsid w:val="00264A0A"/>
    <w:rsid w:val="00265CA3"/>
    <w:rsid w:val="0028070D"/>
    <w:rsid w:val="00282ED8"/>
    <w:rsid w:val="00285C8D"/>
    <w:rsid w:val="00290672"/>
    <w:rsid w:val="002A09C2"/>
    <w:rsid w:val="002A1D57"/>
    <w:rsid w:val="002A480D"/>
    <w:rsid w:val="002A7D58"/>
    <w:rsid w:val="002B63FD"/>
    <w:rsid w:val="002B749A"/>
    <w:rsid w:val="002C52C5"/>
    <w:rsid w:val="002D6E58"/>
    <w:rsid w:val="002E1C45"/>
    <w:rsid w:val="002E2673"/>
    <w:rsid w:val="002E5673"/>
    <w:rsid w:val="002F461A"/>
    <w:rsid w:val="002F786B"/>
    <w:rsid w:val="00306932"/>
    <w:rsid w:val="003152C9"/>
    <w:rsid w:val="00315870"/>
    <w:rsid w:val="00316196"/>
    <w:rsid w:val="00322436"/>
    <w:rsid w:val="003250ED"/>
    <w:rsid w:val="0032698C"/>
    <w:rsid w:val="00341D84"/>
    <w:rsid w:val="003424EC"/>
    <w:rsid w:val="0034454C"/>
    <w:rsid w:val="0035171C"/>
    <w:rsid w:val="00355438"/>
    <w:rsid w:val="00355ED1"/>
    <w:rsid w:val="00361BB2"/>
    <w:rsid w:val="00361CB3"/>
    <w:rsid w:val="00363075"/>
    <w:rsid w:val="00366AF3"/>
    <w:rsid w:val="00371640"/>
    <w:rsid w:val="00374F87"/>
    <w:rsid w:val="00392E9E"/>
    <w:rsid w:val="003938C9"/>
    <w:rsid w:val="003948FA"/>
    <w:rsid w:val="003A463F"/>
    <w:rsid w:val="003B3E82"/>
    <w:rsid w:val="003B63A8"/>
    <w:rsid w:val="003D346B"/>
    <w:rsid w:val="003D36F0"/>
    <w:rsid w:val="003D5215"/>
    <w:rsid w:val="003D5D91"/>
    <w:rsid w:val="003E772C"/>
    <w:rsid w:val="003F293B"/>
    <w:rsid w:val="003F5E07"/>
    <w:rsid w:val="0040331F"/>
    <w:rsid w:val="00403C95"/>
    <w:rsid w:val="0041188F"/>
    <w:rsid w:val="0042270C"/>
    <w:rsid w:val="00423DAC"/>
    <w:rsid w:val="00425DBF"/>
    <w:rsid w:val="00430DA2"/>
    <w:rsid w:val="004329C6"/>
    <w:rsid w:val="004343B1"/>
    <w:rsid w:val="00434EB9"/>
    <w:rsid w:val="00436DD0"/>
    <w:rsid w:val="00443C1C"/>
    <w:rsid w:val="00453F14"/>
    <w:rsid w:val="00456442"/>
    <w:rsid w:val="00462200"/>
    <w:rsid w:val="00472FB1"/>
    <w:rsid w:val="00474099"/>
    <w:rsid w:val="00476554"/>
    <w:rsid w:val="0048369D"/>
    <w:rsid w:val="00490237"/>
    <w:rsid w:val="00491CBC"/>
    <w:rsid w:val="0049485B"/>
    <w:rsid w:val="00496CB5"/>
    <w:rsid w:val="004A2A30"/>
    <w:rsid w:val="004A2D54"/>
    <w:rsid w:val="004A60FB"/>
    <w:rsid w:val="004B1B59"/>
    <w:rsid w:val="004B5CB6"/>
    <w:rsid w:val="004C10E2"/>
    <w:rsid w:val="004C60B1"/>
    <w:rsid w:val="004C616B"/>
    <w:rsid w:val="004D2CD0"/>
    <w:rsid w:val="004D30FB"/>
    <w:rsid w:val="004F1EDD"/>
    <w:rsid w:val="004F77D4"/>
    <w:rsid w:val="00500981"/>
    <w:rsid w:val="00501428"/>
    <w:rsid w:val="005045E7"/>
    <w:rsid w:val="00505180"/>
    <w:rsid w:val="00510C33"/>
    <w:rsid w:val="005122A0"/>
    <w:rsid w:val="00525C2E"/>
    <w:rsid w:val="0054038E"/>
    <w:rsid w:val="0054593A"/>
    <w:rsid w:val="005512C5"/>
    <w:rsid w:val="00551363"/>
    <w:rsid w:val="00554C9F"/>
    <w:rsid w:val="00557B57"/>
    <w:rsid w:val="005644BE"/>
    <w:rsid w:val="0057524E"/>
    <w:rsid w:val="00575A55"/>
    <w:rsid w:val="005845EB"/>
    <w:rsid w:val="00594FAC"/>
    <w:rsid w:val="005A5999"/>
    <w:rsid w:val="005B572B"/>
    <w:rsid w:val="005B66EC"/>
    <w:rsid w:val="005C0436"/>
    <w:rsid w:val="005C25D5"/>
    <w:rsid w:val="005D0D0E"/>
    <w:rsid w:val="005D449F"/>
    <w:rsid w:val="005D73BE"/>
    <w:rsid w:val="005E1C97"/>
    <w:rsid w:val="005E260C"/>
    <w:rsid w:val="005E6515"/>
    <w:rsid w:val="005F1F6B"/>
    <w:rsid w:val="005F3B7B"/>
    <w:rsid w:val="00601A24"/>
    <w:rsid w:val="0060257F"/>
    <w:rsid w:val="00604F63"/>
    <w:rsid w:val="00605989"/>
    <w:rsid w:val="00613713"/>
    <w:rsid w:val="006224FB"/>
    <w:rsid w:val="0063115F"/>
    <w:rsid w:val="00632159"/>
    <w:rsid w:val="006363DA"/>
    <w:rsid w:val="006432C0"/>
    <w:rsid w:val="006456EA"/>
    <w:rsid w:val="00653983"/>
    <w:rsid w:val="006609C2"/>
    <w:rsid w:val="00662564"/>
    <w:rsid w:val="0066478F"/>
    <w:rsid w:val="00672037"/>
    <w:rsid w:val="00673477"/>
    <w:rsid w:val="00675E89"/>
    <w:rsid w:val="00695F46"/>
    <w:rsid w:val="006A3C35"/>
    <w:rsid w:val="006A6D11"/>
    <w:rsid w:val="006B2259"/>
    <w:rsid w:val="006B3ECE"/>
    <w:rsid w:val="006C5754"/>
    <w:rsid w:val="006D6526"/>
    <w:rsid w:val="006E06BE"/>
    <w:rsid w:val="006E674D"/>
    <w:rsid w:val="006E6770"/>
    <w:rsid w:val="006F154A"/>
    <w:rsid w:val="006F3DDE"/>
    <w:rsid w:val="00701992"/>
    <w:rsid w:val="0070363C"/>
    <w:rsid w:val="00705671"/>
    <w:rsid w:val="00712023"/>
    <w:rsid w:val="007144E9"/>
    <w:rsid w:val="00714A1F"/>
    <w:rsid w:val="00717328"/>
    <w:rsid w:val="0072073D"/>
    <w:rsid w:val="00742C04"/>
    <w:rsid w:val="007446A7"/>
    <w:rsid w:val="0074571D"/>
    <w:rsid w:val="00750A05"/>
    <w:rsid w:val="00767018"/>
    <w:rsid w:val="00771C92"/>
    <w:rsid w:val="007733D1"/>
    <w:rsid w:val="00792F6B"/>
    <w:rsid w:val="00795586"/>
    <w:rsid w:val="00797DA3"/>
    <w:rsid w:val="007A4844"/>
    <w:rsid w:val="007B33CE"/>
    <w:rsid w:val="007B7B81"/>
    <w:rsid w:val="007C1429"/>
    <w:rsid w:val="007C1AEC"/>
    <w:rsid w:val="007C5441"/>
    <w:rsid w:val="007D1495"/>
    <w:rsid w:val="007D36B5"/>
    <w:rsid w:val="007D5A52"/>
    <w:rsid w:val="007D5CA1"/>
    <w:rsid w:val="007D75C8"/>
    <w:rsid w:val="007E2C66"/>
    <w:rsid w:val="007F1021"/>
    <w:rsid w:val="007F2DBB"/>
    <w:rsid w:val="007F7E7C"/>
    <w:rsid w:val="008053AB"/>
    <w:rsid w:val="00821281"/>
    <w:rsid w:val="00821A81"/>
    <w:rsid w:val="00825F63"/>
    <w:rsid w:val="008322D8"/>
    <w:rsid w:val="00837E5B"/>
    <w:rsid w:val="00851067"/>
    <w:rsid w:val="00856A7C"/>
    <w:rsid w:val="008739E7"/>
    <w:rsid w:val="00874645"/>
    <w:rsid w:val="00881685"/>
    <w:rsid w:val="008844D9"/>
    <w:rsid w:val="00891C3A"/>
    <w:rsid w:val="00895E64"/>
    <w:rsid w:val="008A3A3B"/>
    <w:rsid w:val="008A7188"/>
    <w:rsid w:val="008B03FB"/>
    <w:rsid w:val="008D1590"/>
    <w:rsid w:val="008E0A69"/>
    <w:rsid w:val="008F2058"/>
    <w:rsid w:val="00902138"/>
    <w:rsid w:val="00904B69"/>
    <w:rsid w:val="009064CE"/>
    <w:rsid w:val="00912233"/>
    <w:rsid w:val="00914021"/>
    <w:rsid w:val="00917410"/>
    <w:rsid w:val="009264D0"/>
    <w:rsid w:val="00927A31"/>
    <w:rsid w:val="00931F65"/>
    <w:rsid w:val="0093360A"/>
    <w:rsid w:val="009358D3"/>
    <w:rsid w:val="00955433"/>
    <w:rsid w:val="00955764"/>
    <w:rsid w:val="00957A6F"/>
    <w:rsid w:val="0096435C"/>
    <w:rsid w:val="009649C2"/>
    <w:rsid w:val="00965DEB"/>
    <w:rsid w:val="00966A04"/>
    <w:rsid w:val="0097058A"/>
    <w:rsid w:val="009738DE"/>
    <w:rsid w:val="00980994"/>
    <w:rsid w:val="00980BEB"/>
    <w:rsid w:val="00980D94"/>
    <w:rsid w:val="00982F7B"/>
    <w:rsid w:val="009843D4"/>
    <w:rsid w:val="009867A7"/>
    <w:rsid w:val="0099076D"/>
    <w:rsid w:val="0099690F"/>
    <w:rsid w:val="00996D38"/>
    <w:rsid w:val="009A10C6"/>
    <w:rsid w:val="009A4503"/>
    <w:rsid w:val="009A461B"/>
    <w:rsid w:val="009B008F"/>
    <w:rsid w:val="009B19A3"/>
    <w:rsid w:val="009B3DF9"/>
    <w:rsid w:val="009C2D11"/>
    <w:rsid w:val="009C3FDE"/>
    <w:rsid w:val="009C4CE9"/>
    <w:rsid w:val="009D0ED9"/>
    <w:rsid w:val="009E7D1D"/>
    <w:rsid w:val="009F28F5"/>
    <w:rsid w:val="009F488A"/>
    <w:rsid w:val="00A02C80"/>
    <w:rsid w:val="00A07846"/>
    <w:rsid w:val="00A15A25"/>
    <w:rsid w:val="00A174C8"/>
    <w:rsid w:val="00A17CA6"/>
    <w:rsid w:val="00A22C2C"/>
    <w:rsid w:val="00A22FBF"/>
    <w:rsid w:val="00A23994"/>
    <w:rsid w:val="00A346EF"/>
    <w:rsid w:val="00A432CB"/>
    <w:rsid w:val="00A54087"/>
    <w:rsid w:val="00A57024"/>
    <w:rsid w:val="00A61757"/>
    <w:rsid w:val="00A622E9"/>
    <w:rsid w:val="00A63939"/>
    <w:rsid w:val="00A65690"/>
    <w:rsid w:val="00A65FB0"/>
    <w:rsid w:val="00A66A23"/>
    <w:rsid w:val="00A71D20"/>
    <w:rsid w:val="00A743C6"/>
    <w:rsid w:val="00A8148C"/>
    <w:rsid w:val="00A831E7"/>
    <w:rsid w:val="00A85640"/>
    <w:rsid w:val="00A91DC1"/>
    <w:rsid w:val="00A9412B"/>
    <w:rsid w:val="00AA0703"/>
    <w:rsid w:val="00AB116B"/>
    <w:rsid w:val="00AB69AD"/>
    <w:rsid w:val="00AB6CD0"/>
    <w:rsid w:val="00AB7800"/>
    <w:rsid w:val="00AC6B15"/>
    <w:rsid w:val="00AC6CC1"/>
    <w:rsid w:val="00AD2569"/>
    <w:rsid w:val="00AD4124"/>
    <w:rsid w:val="00AE0761"/>
    <w:rsid w:val="00AE07A3"/>
    <w:rsid w:val="00AE0E7B"/>
    <w:rsid w:val="00AE2412"/>
    <w:rsid w:val="00AE318F"/>
    <w:rsid w:val="00AF0066"/>
    <w:rsid w:val="00AF1CCD"/>
    <w:rsid w:val="00AF237D"/>
    <w:rsid w:val="00AF27B7"/>
    <w:rsid w:val="00AF63B5"/>
    <w:rsid w:val="00AF7E7F"/>
    <w:rsid w:val="00B005BD"/>
    <w:rsid w:val="00B03444"/>
    <w:rsid w:val="00B03DB5"/>
    <w:rsid w:val="00B04F23"/>
    <w:rsid w:val="00B11724"/>
    <w:rsid w:val="00B14C16"/>
    <w:rsid w:val="00B14E68"/>
    <w:rsid w:val="00B23669"/>
    <w:rsid w:val="00B24860"/>
    <w:rsid w:val="00B33789"/>
    <w:rsid w:val="00B46BC1"/>
    <w:rsid w:val="00B53D59"/>
    <w:rsid w:val="00B56AFB"/>
    <w:rsid w:val="00B576A5"/>
    <w:rsid w:val="00B66F52"/>
    <w:rsid w:val="00B740CF"/>
    <w:rsid w:val="00B745A1"/>
    <w:rsid w:val="00B83E0A"/>
    <w:rsid w:val="00B862DB"/>
    <w:rsid w:val="00B922EE"/>
    <w:rsid w:val="00B9596E"/>
    <w:rsid w:val="00BA2FA0"/>
    <w:rsid w:val="00BA3D8E"/>
    <w:rsid w:val="00BA40B4"/>
    <w:rsid w:val="00BA49EB"/>
    <w:rsid w:val="00BB0BE0"/>
    <w:rsid w:val="00BB0F85"/>
    <w:rsid w:val="00BC0132"/>
    <w:rsid w:val="00BC0598"/>
    <w:rsid w:val="00BD0526"/>
    <w:rsid w:val="00BD2784"/>
    <w:rsid w:val="00BD46B2"/>
    <w:rsid w:val="00BF11C6"/>
    <w:rsid w:val="00BF5E1D"/>
    <w:rsid w:val="00C06DF4"/>
    <w:rsid w:val="00C11004"/>
    <w:rsid w:val="00C111FE"/>
    <w:rsid w:val="00C1497F"/>
    <w:rsid w:val="00C20B9C"/>
    <w:rsid w:val="00C2509E"/>
    <w:rsid w:val="00C2778C"/>
    <w:rsid w:val="00C27F6A"/>
    <w:rsid w:val="00C3159C"/>
    <w:rsid w:val="00C35841"/>
    <w:rsid w:val="00C41C74"/>
    <w:rsid w:val="00C43C76"/>
    <w:rsid w:val="00C47B63"/>
    <w:rsid w:val="00C47F8B"/>
    <w:rsid w:val="00C50567"/>
    <w:rsid w:val="00C53FE9"/>
    <w:rsid w:val="00C7165C"/>
    <w:rsid w:val="00C742DD"/>
    <w:rsid w:val="00C846F6"/>
    <w:rsid w:val="00C857CF"/>
    <w:rsid w:val="00C96048"/>
    <w:rsid w:val="00C96214"/>
    <w:rsid w:val="00C9797F"/>
    <w:rsid w:val="00CA1FB9"/>
    <w:rsid w:val="00CA73C1"/>
    <w:rsid w:val="00CA79D7"/>
    <w:rsid w:val="00CB7BE6"/>
    <w:rsid w:val="00CC0E23"/>
    <w:rsid w:val="00CC40B9"/>
    <w:rsid w:val="00CD1392"/>
    <w:rsid w:val="00CD7E39"/>
    <w:rsid w:val="00CE2EFB"/>
    <w:rsid w:val="00CE5A10"/>
    <w:rsid w:val="00D02FD8"/>
    <w:rsid w:val="00D10832"/>
    <w:rsid w:val="00D11A3A"/>
    <w:rsid w:val="00D3104C"/>
    <w:rsid w:val="00D32309"/>
    <w:rsid w:val="00D40FCC"/>
    <w:rsid w:val="00D42152"/>
    <w:rsid w:val="00D43D89"/>
    <w:rsid w:val="00D50FDD"/>
    <w:rsid w:val="00D513E4"/>
    <w:rsid w:val="00D53B8E"/>
    <w:rsid w:val="00D56A51"/>
    <w:rsid w:val="00D602AC"/>
    <w:rsid w:val="00D64CC4"/>
    <w:rsid w:val="00D70824"/>
    <w:rsid w:val="00D7447A"/>
    <w:rsid w:val="00D7556F"/>
    <w:rsid w:val="00D75E21"/>
    <w:rsid w:val="00D760A9"/>
    <w:rsid w:val="00D760CF"/>
    <w:rsid w:val="00D925B8"/>
    <w:rsid w:val="00D949D0"/>
    <w:rsid w:val="00DA3B66"/>
    <w:rsid w:val="00DA4453"/>
    <w:rsid w:val="00DA6836"/>
    <w:rsid w:val="00DA733A"/>
    <w:rsid w:val="00DB2417"/>
    <w:rsid w:val="00DC05A3"/>
    <w:rsid w:val="00DC6A0C"/>
    <w:rsid w:val="00DD753D"/>
    <w:rsid w:val="00E01C7D"/>
    <w:rsid w:val="00E03DB3"/>
    <w:rsid w:val="00E06757"/>
    <w:rsid w:val="00E10C5C"/>
    <w:rsid w:val="00E1280F"/>
    <w:rsid w:val="00E16F06"/>
    <w:rsid w:val="00E178A3"/>
    <w:rsid w:val="00E17B2C"/>
    <w:rsid w:val="00E22C71"/>
    <w:rsid w:val="00E233EB"/>
    <w:rsid w:val="00E26EA1"/>
    <w:rsid w:val="00E27DEF"/>
    <w:rsid w:val="00E30081"/>
    <w:rsid w:val="00E32743"/>
    <w:rsid w:val="00E342C7"/>
    <w:rsid w:val="00E354F6"/>
    <w:rsid w:val="00E4317C"/>
    <w:rsid w:val="00E527FB"/>
    <w:rsid w:val="00E53D4C"/>
    <w:rsid w:val="00E609ED"/>
    <w:rsid w:val="00E61E7D"/>
    <w:rsid w:val="00E63703"/>
    <w:rsid w:val="00E64DDC"/>
    <w:rsid w:val="00E704C6"/>
    <w:rsid w:val="00E745BC"/>
    <w:rsid w:val="00E775AC"/>
    <w:rsid w:val="00E77A47"/>
    <w:rsid w:val="00E77B98"/>
    <w:rsid w:val="00E8471E"/>
    <w:rsid w:val="00E91E8C"/>
    <w:rsid w:val="00E942DA"/>
    <w:rsid w:val="00E94EF3"/>
    <w:rsid w:val="00E959E9"/>
    <w:rsid w:val="00E95E00"/>
    <w:rsid w:val="00E97167"/>
    <w:rsid w:val="00EB1611"/>
    <w:rsid w:val="00EB468A"/>
    <w:rsid w:val="00EC01E6"/>
    <w:rsid w:val="00EC1434"/>
    <w:rsid w:val="00EC3DC1"/>
    <w:rsid w:val="00EC4845"/>
    <w:rsid w:val="00EC6CC2"/>
    <w:rsid w:val="00ED1C27"/>
    <w:rsid w:val="00ED5CDF"/>
    <w:rsid w:val="00ED6DCA"/>
    <w:rsid w:val="00EE60C7"/>
    <w:rsid w:val="00EF0944"/>
    <w:rsid w:val="00EF1AB1"/>
    <w:rsid w:val="00EF7BE7"/>
    <w:rsid w:val="00F05141"/>
    <w:rsid w:val="00F07267"/>
    <w:rsid w:val="00F167CB"/>
    <w:rsid w:val="00F16AA1"/>
    <w:rsid w:val="00F2164E"/>
    <w:rsid w:val="00F22F9A"/>
    <w:rsid w:val="00F240EB"/>
    <w:rsid w:val="00F25E4C"/>
    <w:rsid w:val="00F315FE"/>
    <w:rsid w:val="00F31FE6"/>
    <w:rsid w:val="00F40B12"/>
    <w:rsid w:val="00F45BB8"/>
    <w:rsid w:val="00F538B6"/>
    <w:rsid w:val="00F53EDB"/>
    <w:rsid w:val="00F53F80"/>
    <w:rsid w:val="00F5697E"/>
    <w:rsid w:val="00F673A2"/>
    <w:rsid w:val="00F71A10"/>
    <w:rsid w:val="00F72A3E"/>
    <w:rsid w:val="00F74B67"/>
    <w:rsid w:val="00F7577B"/>
    <w:rsid w:val="00F900AB"/>
    <w:rsid w:val="00F91726"/>
    <w:rsid w:val="00FB0D96"/>
    <w:rsid w:val="00FB3B53"/>
    <w:rsid w:val="00FB551B"/>
    <w:rsid w:val="00FB563F"/>
    <w:rsid w:val="00FC69D9"/>
    <w:rsid w:val="00FD0B89"/>
    <w:rsid w:val="00FD28C1"/>
    <w:rsid w:val="00FD7412"/>
    <w:rsid w:val="00FD7DD0"/>
    <w:rsid w:val="00FF1703"/>
    <w:rsid w:val="00FF1EF9"/>
    <w:rsid w:val="00FF69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746E54"/>
  <w15:docId w15:val="{F2F56C77-1DEE-4175-B8A7-6BEA634C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4"/>
    </w:rPr>
  </w:style>
  <w:style w:type="paragraph" w:styleId="berschrift1">
    <w:name w:val="heading 1"/>
    <w:basedOn w:val="Standard"/>
    <w:next w:val="Standard"/>
    <w:qFormat/>
    <w:pPr>
      <w:keepNext/>
      <w:spacing w:before="240" w:after="240"/>
      <w:ind w:left="1134" w:hanging="1134"/>
      <w:outlineLvl w:val="0"/>
    </w:pPr>
    <w:rPr>
      <w:rFonts w:ascii="Arial" w:hAnsi="Arial"/>
      <w:b/>
      <w:kern w:val="28"/>
      <w:sz w:val="28"/>
    </w:rPr>
  </w:style>
  <w:style w:type="paragraph" w:styleId="berschrift2">
    <w:name w:val="heading 2"/>
    <w:basedOn w:val="Standard"/>
    <w:next w:val="Standard"/>
    <w:qFormat/>
    <w:pPr>
      <w:keepNext/>
      <w:spacing w:before="240" w:after="240"/>
      <w:ind w:left="1134" w:hanging="1134"/>
      <w:outlineLvl w:val="1"/>
    </w:pPr>
    <w:rPr>
      <w:rFonts w:ascii="Arial" w:hAnsi="Arial"/>
      <w:b/>
      <w:sz w:val="28"/>
    </w:rPr>
  </w:style>
  <w:style w:type="paragraph" w:styleId="berschrift3">
    <w:name w:val="heading 3"/>
    <w:basedOn w:val="Standard"/>
    <w:next w:val="Standard"/>
    <w:qFormat/>
    <w:pPr>
      <w:keepNext/>
      <w:spacing w:before="240" w:after="240"/>
      <w:ind w:left="1134" w:hanging="1134"/>
      <w:outlineLvl w:val="2"/>
    </w:pPr>
    <w:rPr>
      <w:rFonts w:ascii="Arial" w:hAnsi="Arial"/>
      <w:b/>
    </w:rPr>
  </w:style>
  <w:style w:type="paragraph" w:styleId="berschrift4">
    <w:name w:val="heading 4"/>
    <w:basedOn w:val="Standard"/>
    <w:next w:val="Standard"/>
    <w:qFormat/>
    <w:pPr>
      <w:ind w:left="2552" w:hanging="851"/>
      <w:outlineLvl w:val="3"/>
    </w:pPr>
    <w:rPr>
      <w:rFonts w:ascii="Arial" w:hAnsi="Arial"/>
      <w:b/>
    </w:rPr>
  </w:style>
  <w:style w:type="paragraph" w:styleId="berschrift5">
    <w:name w:val="heading 5"/>
    <w:basedOn w:val="Standard"/>
    <w:next w:val="Standard"/>
    <w:qFormat/>
    <w:pPr>
      <w:spacing w:before="240" w:after="240"/>
      <w:ind w:left="1418" w:hanging="1418"/>
      <w:outlineLvl w:val="4"/>
    </w:pPr>
    <w:rPr>
      <w:rFonts w:ascii="Arial" w:hAnsi="Arial"/>
      <w:b/>
    </w:rPr>
  </w:style>
  <w:style w:type="paragraph" w:styleId="berschrift6">
    <w:name w:val="heading 6"/>
    <w:basedOn w:val="Standard"/>
    <w:next w:val="Standard"/>
    <w:qFormat/>
    <w:pPr>
      <w:spacing w:before="240" w:after="240"/>
      <w:ind w:left="1418" w:hanging="1418"/>
      <w:outlineLvl w:val="5"/>
    </w:pPr>
    <w:rPr>
      <w:rFonts w:ascii="Arial" w:hAnsi="Arial"/>
      <w:b/>
    </w:rPr>
  </w:style>
  <w:style w:type="paragraph" w:styleId="berschrift7">
    <w:name w:val="heading 7"/>
    <w:basedOn w:val="Standard"/>
    <w:next w:val="Standard"/>
    <w:qFormat/>
    <w:pPr>
      <w:spacing w:before="240" w:after="240"/>
      <w:ind w:left="1418" w:hanging="1418"/>
      <w:outlineLvl w:val="6"/>
    </w:pPr>
    <w:rPr>
      <w:rFonts w:ascii="Arial" w:hAnsi="Arial"/>
      <w:b/>
    </w:rPr>
  </w:style>
  <w:style w:type="paragraph" w:styleId="berschrift8">
    <w:name w:val="heading 8"/>
    <w:basedOn w:val="Standard"/>
    <w:next w:val="Standard"/>
    <w:qFormat/>
    <w:pPr>
      <w:spacing w:before="240" w:after="240"/>
      <w:ind w:left="1418" w:hanging="1418"/>
      <w:outlineLvl w:val="7"/>
    </w:pPr>
    <w:rPr>
      <w:rFonts w:ascii="Arial" w:hAnsi="Arial"/>
      <w:b/>
    </w:rPr>
  </w:style>
  <w:style w:type="paragraph" w:styleId="berschrift9">
    <w:name w:val="heading 9"/>
    <w:basedOn w:val="Standard"/>
    <w:next w:val="Standard"/>
    <w:qFormat/>
    <w:pPr>
      <w:spacing w:before="240" w:after="240"/>
      <w:ind w:left="1418" w:hanging="1418"/>
      <w:outlineLvl w:val="8"/>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spacing w:before="120" w:after="120"/>
      <w:jc w:val="center"/>
    </w:pPr>
    <w:rPr>
      <w:rFonts w:ascii="Arial" w:hAnsi="Arial"/>
      <w:b/>
      <w:sz w:val="20"/>
    </w:rPr>
  </w:style>
  <w:style w:type="paragraph" w:styleId="Kopfzeile">
    <w:name w:val="header"/>
    <w:basedOn w:val="Standard"/>
    <w:link w:val="KopfzeileZchn"/>
    <w:pPr>
      <w:tabs>
        <w:tab w:val="center" w:pos="4536"/>
        <w:tab w:val="right" w:pos="9072"/>
      </w:tabs>
    </w:pPr>
    <w:rPr>
      <w:sz w:val="20"/>
    </w:rPr>
  </w:style>
  <w:style w:type="paragraph" w:customStyle="1" w:styleId="HFlietext">
    <w:name w:val="H_Fließtext"/>
    <w:pPr>
      <w:overflowPunct w:val="0"/>
      <w:autoSpaceDE w:val="0"/>
      <w:autoSpaceDN w:val="0"/>
      <w:adjustRightInd w:val="0"/>
      <w:spacing w:line="280" w:lineRule="exact"/>
      <w:textAlignment w:val="baseline"/>
    </w:pPr>
    <w:rPr>
      <w:sz w:val="22"/>
    </w:rPr>
  </w:style>
  <w:style w:type="paragraph" w:styleId="Fuzeile">
    <w:name w:val="footer"/>
    <w:basedOn w:val="Standard"/>
    <w:pPr>
      <w:tabs>
        <w:tab w:val="center" w:pos="4536"/>
        <w:tab w:val="right" w:pos="9072"/>
      </w:tabs>
    </w:pPr>
    <w:rPr>
      <w:sz w:val="20"/>
    </w:rPr>
  </w:style>
  <w:style w:type="paragraph" w:customStyle="1" w:styleId="HFlietextfett">
    <w:name w:val="H_Fließtext fett"/>
    <w:basedOn w:val="HFlietext"/>
    <w:rPr>
      <w:b/>
    </w:rPr>
  </w:style>
  <w:style w:type="paragraph" w:customStyle="1" w:styleId="AbsenderArial2">
    <w:name w:val="Absender_Arial2"/>
    <w:basedOn w:val="Standard"/>
    <w:pPr>
      <w:spacing w:after="85" w:line="190" w:lineRule="exact"/>
    </w:pPr>
    <w:rPr>
      <w:rFonts w:ascii="Arial" w:hAnsi="Arial"/>
      <w:b/>
      <w:sz w:val="15"/>
    </w:rPr>
  </w:style>
  <w:style w:type="character" w:styleId="Seitenzahl">
    <w:name w:val="page number"/>
    <w:basedOn w:val="Absatz-Standardschriftart"/>
  </w:style>
  <w:style w:type="paragraph" w:customStyle="1" w:styleId="Sprechblasentext1">
    <w:name w:val="Sprechblasentext1"/>
    <w:basedOn w:val="Standard"/>
    <w:rPr>
      <w:rFonts w:ascii="Tahoma" w:hAnsi="Tahoma"/>
      <w:sz w:val="16"/>
    </w:rPr>
  </w:style>
  <w:style w:type="paragraph" w:styleId="Sprechblasentext">
    <w:name w:val="Balloon Text"/>
    <w:basedOn w:val="Standard"/>
    <w:semiHidden/>
    <w:rsid w:val="00B9596E"/>
    <w:rPr>
      <w:rFonts w:ascii="Tahoma" w:hAnsi="Tahoma" w:cs="Tahoma"/>
      <w:sz w:val="16"/>
      <w:szCs w:val="16"/>
    </w:rPr>
  </w:style>
  <w:style w:type="character" w:customStyle="1" w:styleId="KopfzeileZchn">
    <w:name w:val="Kopfzeile Zchn"/>
    <w:basedOn w:val="Absatz-Standardschriftart"/>
    <w:link w:val="Kopfzeile"/>
    <w:rsid w:val="00575A55"/>
  </w:style>
  <w:style w:type="character" w:styleId="Hyperlink">
    <w:name w:val="Hyperlink"/>
    <w:uiPriority w:val="99"/>
    <w:unhideWhenUsed/>
    <w:rsid w:val="0072073D"/>
    <w:rPr>
      <w:color w:val="0563C1"/>
      <w:u w:val="single"/>
    </w:rPr>
  </w:style>
  <w:style w:type="paragraph" w:customStyle="1" w:styleId="EinfAbs">
    <w:name w:val="[Einf. Abs.]"/>
    <w:basedOn w:val="Standard"/>
    <w:uiPriority w:val="99"/>
    <w:rsid w:val="00E775AC"/>
    <w:pPr>
      <w:overflowPunct/>
      <w:spacing w:line="288" w:lineRule="auto"/>
      <w:textAlignment w:val="center"/>
    </w:pPr>
    <w:rPr>
      <w:rFonts w:ascii="MinionPro-Regular" w:hAnsi="MinionPro-Regular" w:cs="MinionPro-Regular"/>
      <w:color w:val="000000"/>
      <w:szCs w:val="24"/>
    </w:rPr>
  </w:style>
  <w:style w:type="character" w:customStyle="1" w:styleId="UnresolvedMention">
    <w:name w:val="Unresolved Mention"/>
    <w:basedOn w:val="Absatz-Standardschriftart"/>
    <w:uiPriority w:val="99"/>
    <w:semiHidden/>
    <w:unhideWhenUsed/>
    <w:rsid w:val="00881685"/>
    <w:rPr>
      <w:color w:val="605E5C"/>
      <w:shd w:val="clear" w:color="auto" w:fill="E1DFDD"/>
    </w:rPr>
  </w:style>
  <w:style w:type="character" w:styleId="BesuchterLink">
    <w:name w:val="FollowedHyperlink"/>
    <w:basedOn w:val="Absatz-Standardschriftart"/>
    <w:uiPriority w:val="99"/>
    <w:semiHidden/>
    <w:unhideWhenUsed/>
    <w:rsid w:val="00881685"/>
    <w:rPr>
      <w:color w:val="954F72" w:themeColor="followedHyperlink"/>
      <w:u w:val="single"/>
    </w:rPr>
  </w:style>
  <w:style w:type="table" w:styleId="Tabellenraster">
    <w:name w:val="Table Grid"/>
    <w:basedOn w:val="NormaleTabelle"/>
    <w:uiPriority w:val="59"/>
    <w:rsid w:val="004A2D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161817"/>
    <w:pPr>
      <w:overflowPunct/>
      <w:autoSpaceDE/>
      <w:autoSpaceDN/>
      <w:adjustRightInd/>
      <w:spacing w:after="200"/>
      <w:textAlignment w:val="auto"/>
    </w:pPr>
    <w:rPr>
      <w:rFonts w:asciiTheme="minorHAnsi" w:eastAsiaTheme="minorHAnsi" w:hAnsiTheme="minorHAnsi" w:cstheme="minorBidi"/>
      <w:sz w:val="20"/>
      <w:lang w:eastAsia="en-US"/>
    </w:rPr>
  </w:style>
  <w:style w:type="character" w:customStyle="1" w:styleId="KommentartextZchn">
    <w:name w:val="Kommentartext Zchn"/>
    <w:basedOn w:val="Absatz-Standardschriftart"/>
    <w:link w:val="Kommentartext"/>
    <w:uiPriority w:val="99"/>
    <w:semiHidden/>
    <w:rsid w:val="00161817"/>
    <w:rPr>
      <w:rFonts w:asciiTheme="minorHAnsi" w:eastAsiaTheme="minorHAnsi" w:hAnsiTheme="minorHAnsi" w:cstheme="minorBidi"/>
      <w:lang w:eastAsia="en-US"/>
    </w:rPr>
  </w:style>
  <w:style w:type="table" w:customStyle="1" w:styleId="TableGrid1">
    <w:name w:val="Table Grid1"/>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618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914021"/>
    <w:rPr>
      <w:b/>
      <w:bCs/>
    </w:rPr>
  </w:style>
  <w:style w:type="character" w:styleId="Kommentarzeichen">
    <w:name w:val="annotation reference"/>
    <w:basedOn w:val="Absatz-Standardschriftart"/>
    <w:uiPriority w:val="99"/>
    <w:semiHidden/>
    <w:unhideWhenUsed/>
    <w:rsid w:val="00BD0526"/>
    <w:rPr>
      <w:sz w:val="16"/>
      <w:szCs w:val="16"/>
    </w:rPr>
  </w:style>
  <w:style w:type="paragraph" w:styleId="Kommentarthema">
    <w:name w:val="annotation subject"/>
    <w:basedOn w:val="Kommentartext"/>
    <w:next w:val="Kommentartext"/>
    <w:link w:val="KommentarthemaZchn"/>
    <w:uiPriority w:val="99"/>
    <w:semiHidden/>
    <w:unhideWhenUsed/>
    <w:rsid w:val="00BD0526"/>
    <w:pPr>
      <w:overflowPunct w:val="0"/>
      <w:autoSpaceDE w:val="0"/>
      <w:autoSpaceDN w:val="0"/>
      <w:adjustRightInd w:val="0"/>
      <w:spacing w:after="0"/>
      <w:textAlignment w:val="baseline"/>
    </w:pPr>
    <w:rPr>
      <w:rFonts w:ascii="Times New Roman" w:eastAsia="Times New Roman" w:hAnsi="Times New Roman" w:cs="Times New Roman"/>
      <w:b/>
      <w:bCs/>
      <w:lang w:eastAsia="de-DE"/>
    </w:rPr>
  </w:style>
  <w:style w:type="character" w:customStyle="1" w:styleId="KommentarthemaZchn">
    <w:name w:val="Kommentarthema Zchn"/>
    <w:basedOn w:val="KommentartextZchn"/>
    <w:link w:val="Kommentarthema"/>
    <w:uiPriority w:val="99"/>
    <w:semiHidden/>
    <w:rsid w:val="00BD0526"/>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90432">
      <w:bodyDiv w:val="1"/>
      <w:marLeft w:val="0"/>
      <w:marRight w:val="0"/>
      <w:marTop w:val="0"/>
      <w:marBottom w:val="0"/>
      <w:divBdr>
        <w:top w:val="none" w:sz="0" w:space="0" w:color="auto"/>
        <w:left w:val="none" w:sz="0" w:space="0" w:color="auto"/>
        <w:bottom w:val="none" w:sz="0" w:space="0" w:color="auto"/>
        <w:right w:val="none" w:sz="0" w:space="0" w:color="auto"/>
      </w:divBdr>
    </w:div>
    <w:div w:id="514268992">
      <w:bodyDiv w:val="1"/>
      <w:marLeft w:val="0"/>
      <w:marRight w:val="0"/>
      <w:marTop w:val="0"/>
      <w:marBottom w:val="0"/>
      <w:divBdr>
        <w:top w:val="none" w:sz="0" w:space="0" w:color="auto"/>
        <w:left w:val="none" w:sz="0" w:space="0" w:color="auto"/>
        <w:bottom w:val="none" w:sz="0" w:space="0" w:color="auto"/>
        <w:right w:val="none" w:sz="0" w:space="0" w:color="auto"/>
      </w:divBdr>
      <w:divsChild>
        <w:div w:id="1579559349">
          <w:marLeft w:val="0"/>
          <w:marRight w:val="0"/>
          <w:marTop w:val="0"/>
          <w:marBottom w:val="0"/>
          <w:divBdr>
            <w:top w:val="none" w:sz="0" w:space="0" w:color="auto"/>
            <w:left w:val="none" w:sz="0" w:space="0" w:color="auto"/>
            <w:bottom w:val="none" w:sz="0" w:space="0" w:color="auto"/>
            <w:right w:val="none" w:sz="0" w:space="0" w:color="auto"/>
          </w:divBdr>
        </w:div>
      </w:divsChild>
    </w:div>
    <w:div w:id="575019974">
      <w:bodyDiv w:val="1"/>
      <w:marLeft w:val="0"/>
      <w:marRight w:val="0"/>
      <w:marTop w:val="0"/>
      <w:marBottom w:val="0"/>
      <w:divBdr>
        <w:top w:val="none" w:sz="0" w:space="0" w:color="auto"/>
        <w:left w:val="none" w:sz="0" w:space="0" w:color="auto"/>
        <w:bottom w:val="none" w:sz="0" w:space="0" w:color="auto"/>
        <w:right w:val="none" w:sz="0" w:space="0" w:color="auto"/>
      </w:divBdr>
    </w:div>
    <w:div w:id="1459373238">
      <w:bodyDiv w:val="1"/>
      <w:marLeft w:val="0"/>
      <w:marRight w:val="0"/>
      <w:marTop w:val="0"/>
      <w:marBottom w:val="0"/>
      <w:divBdr>
        <w:top w:val="none" w:sz="0" w:space="0" w:color="auto"/>
        <w:left w:val="none" w:sz="0" w:space="0" w:color="auto"/>
        <w:bottom w:val="none" w:sz="0" w:space="0" w:color="auto"/>
        <w:right w:val="none" w:sz="0" w:space="0" w:color="auto"/>
      </w:divBdr>
      <w:divsChild>
        <w:div w:id="1865098538">
          <w:marLeft w:val="0"/>
          <w:marRight w:val="0"/>
          <w:marTop w:val="0"/>
          <w:marBottom w:val="0"/>
          <w:divBdr>
            <w:top w:val="none" w:sz="0" w:space="0" w:color="auto"/>
            <w:left w:val="none" w:sz="0" w:space="0" w:color="auto"/>
            <w:bottom w:val="none" w:sz="0" w:space="0" w:color="auto"/>
            <w:right w:val="none" w:sz="0" w:space="0" w:color="auto"/>
          </w:divBdr>
        </w:div>
      </w:divsChild>
    </w:div>
    <w:div w:id="1639645235">
      <w:bodyDiv w:val="1"/>
      <w:marLeft w:val="0"/>
      <w:marRight w:val="0"/>
      <w:marTop w:val="0"/>
      <w:marBottom w:val="0"/>
      <w:divBdr>
        <w:top w:val="none" w:sz="0" w:space="0" w:color="auto"/>
        <w:left w:val="none" w:sz="0" w:space="0" w:color="auto"/>
        <w:bottom w:val="none" w:sz="0" w:space="0" w:color="auto"/>
        <w:right w:val="none" w:sz="0" w:space="0" w:color="auto"/>
      </w:divBdr>
    </w:div>
    <w:div w:id="1647053523">
      <w:bodyDiv w:val="1"/>
      <w:marLeft w:val="0"/>
      <w:marRight w:val="0"/>
      <w:marTop w:val="0"/>
      <w:marBottom w:val="0"/>
      <w:divBdr>
        <w:top w:val="none" w:sz="0" w:space="0" w:color="auto"/>
        <w:left w:val="none" w:sz="0" w:space="0" w:color="auto"/>
        <w:bottom w:val="none" w:sz="0" w:space="0" w:color="auto"/>
        <w:right w:val="none" w:sz="0" w:space="0" w:color="auto"/>
      </w:divBdr>
    </w:div>
    <w:div w:id="1865942798">
      <w:bodyDiv w:val="1"/>
      <w:marLeft w:val="0"/>
      <w:marRight w:val="0"/>
      <w:marTop w:val="0"/>
      <w:marBottom w:val="0"/>
      <w:divBdr>
        <w:top w:val="none" w:sz="0" w:space="0" w:color="auto"/>
        <w:left w:val="none" w:sz="0" w:space="0" w:color="auto"/>
        <w:bottom w:val="none" w:sz="0" w:space="0" w:color="auto"/>
        <w:right w:val="none" w:sz="0" w:space="0" w:color="auto"/>
      </w:divBdr>
    </w:div>
    <w:div w:id="208236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ermanpropertypartners.de/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ermanpropertypartners.de/datenschutz" TargetMode="External"/><Relationship Id="rId4" Type="http://schemas.openxmlformats.org/officeDocument/2006/relationships/webSettings" Target="webSettings.xml"/><Relationship Id="rId9" Type="http://schemas.openxmlformats.org/officeDocument/2006/relationships/hyperlink" Target="http://www.germanpropertypartners.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EA6B7-B2A6-4F35-867E-34ED7F632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7835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OFB-Brief Frankfurt</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OFB-Brief Frankfurt</dc:title>
  <dc:subject/>
  <dc:creator>Keller, Yvonne</dc:creator>
  <cp:keywords/>
  <cp:lastModifiedBy>Britt Finke</cp:lastModifiedBy>
  <cp:revision>119</cp:revision>
  <cp:lastPrinted>2022-10-05T08:35:00Z</cp:lastPrinted>
  <dcterms:created xsi:type="dcterms:W3CDTF">2022-01-11T08:02:00Z</dcterms:created>
  <dcterms:modified xsi:type="dcterms:W3CDTF">2022-10-06T14:46:00Z</dcterms:modified>
</cp:coreProperties>
</file>