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EE728" w14:textId="4BD8415C" w:rsidR="00CA79D7" w:rsidRPr="006456EA" w:rsidRDefault="00161817" w:rsidP="00CA79D7">
      <w:pPr>
        <w:pStyle w:val="EinfAbs"/>
        <w:tabs>
          <w:tab w:val="left" w:pos="200"/>
        </w:tabs>
        <w:rPr>
          <w:rFonts w:ascii="Source Sans Pro" w:hAnsi="Source Sans Pro" w:cs="Source Sans Pro"/>
          <w:caps/>
          <w:color w:val="0086A8"/>
          <w:sz w:val="22"/>
          <w:szCs w:val="22"/>
        </w:rPr>
      </w:pPr>
      <w:r>
        <w:rPr>
          <w:rFonts w:ascii="Source Sans Pro" w:hAnsi="Source Sans Pro"/>
          <w:caps/>
          <w:color w:val="0086A8"/>
          <w:sz w:val="22"/>
          <w:szCs w:val="22"/>
        </w:rPr>
        <w:t xml:space="preserve">TOP-7-INVESTMENT MARKETS Q1/2023 </w:t>
      </w:r>
    </w:p>
    <w:p w14:paraId="7C2D2599" w14:textId="23865660" w:rsidR="00CA79D7" w:rsidRDefault="001D00A5" w:rsidP="003152C9">
      <w:pPr>
        <w:pStyle w:val="EinfAbs"/>
        <w:tabs>
          <w:tab w:val="left" w:pos="200"/>
        </w:tabs>
        <w:spacing w:line="440" w:lineRule="exact"/>
        <w:rPr>
          <w:rFonts w:ascii="Source Sans Pro" w:hAnsi="Source Sans Pro" w:cs="Source Sans Pro"/>
          <w:sz w:val="36"/>
          <w:szCs w:val="36"/>
        </w:rPr>
      </w:pPr>
      <w:r>
        <w:rPr>
          <w:rFonts w:ascii="Source Sans Pro" w:hAnsi="Source Sans Pro"/>
          <w:sz w:val="36"/>
          <w:szCs w:val="36"/>
        </w:rPr>
        <w:t>Weak start to the year due to ongoing process of price discovery</w:t>
      </w:r>
    </w:p>
    <w:p w14:paraId="743073FD" w14:textId="75E3ABC5" w:rsidR="003152C9" w:rsidRDefault="004F09D7" w:rsidP="003152C9">
      <w:pPr>
        <w:pStyle w:val="EinfAbs"/>
        <w:tabs>
          <w:tab w:val="left" w:pos="200"/>
        </w:tabs>
        <w:spacing w:line="440" w:lineRule="exact"/>
        <w:rPr>
          <w:rFonts w:ascii="Source Sans Pro" w:hAnsi="Source Sans Pro" w:cs="Source Sans Pro"/>
          <w:sz w:val="36"/>
          <w:szCs w:val="36"/>
        </w:rPr>
      </w:pPr>
      <w:r>
        <w:rPr>
          <w:rFonts w:ascii="Source Sans Pro" w:hAnsi="Source Sans Pro"/>
          <w:noProof/>
          <w:color w:val="0086A8"/>
          <w:sz w:val="22"/>
          <w:szCs w:val="22"/>
          <w:lang w:val="de-DE"/>
        </w:rPr>
        <w:drawing>
          <wp:anchor distT="0" distB="0" distL="114300" distR="114300" simplePos="0" relativeHeight="251658240" behindDoc="0" locked="0" layoutInCell="1" allowOverlap="1" wp14:anchorId="1D0C1328" wp14:editId="6050730F">
            <wp:simplePos x="0" y="0"/>
            <wp:positionH relativeFrom="column">
              <wp:posOffset>22860</wp:posOffset>
            </wp:positionH>
            <wp:positionV relativeFrom="paragraph">
              <wp:posOffset>278765</wp:posOffset>
            </wp:positionV>
            <wp:extent cx="4573905" cy="259715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573905" cy="2597150"/>
                    </a:xfrm>
                    <a:prstGeom prst="rect">
                      <a:avLst/>
                    </a:prstGeom>
                    <a:noFill/>
                    <a:ln>
                      <a:noFill/>
                    </a:ln>
                  </pic:spPr>
                </pic:pic>
              </a:graphicData>
            </a:graphic>
            <wp14:sizeRelH relativeFrom="margin">
              <wp14:pctWidth>0</wp14:pctWidth>
            </wp14:sizeRelH>
          </wp:anchor>
        </w:drawing>
      </w:r>
    </w:p>
    <w:p w14:paraId="14EADD5C" w14:textId="4786E4C1" w:rsidR="004F09D7" w:rsidRDefault="002E5673" w:rsidP="004F09D7">
      <w:pPr>
        <w:pStyle w:val="EinfAbs"/>
        <w:tabs>
          <w:tab w:val="left" w:pos="200"/>
        </w:tabs>
        <w:rPr>
          <w:rFonts w:ascii="Source Sans Pro" w:hAnsi="Source Sans Pro" w:cs="Source Sans Pro"/>
          <w:color w:val="0086A8"/>
          <w:sz w:val="22"/>
          <w:szCs w:val="22"/>
        </w:rPr>
      </w:pPr>
      <w:r>
        <w:br w:type="textWrapping" w:clear="all"/>
      </w:r>
    </w:p>
    <w:p w14:paraId="71ADB9E8" w14:textId="282F5B61" w:rsidR="00610BB3" w:rsidRDefault="0092334A" w:rsidP="00895E64">
      <w:pPr>
        <w:pStyle w:val="EinfAbs"/>
        <w:tabs>
          <w:tab w:val="left" w:pos="200"/>
        </w:tabs>
        <w:snapToGrid w:val="0"/>
        <w:spacing w:line="280" w:lineRule="exact"/>
        <w:jc w:val="both"/>
        <w:rPr>
          <w:rFonts w:ascii="Source Sans Pro" w:hAnsi="Source Sans Pro" w:cs="Arial"/>
          <w:bCs/>
          <w:sz w:val="22"/>
          <w:szCs w:val="22"/>
        </w:rPr>
      </w:pPr>
      <w:r>
        <w:rPr>
          <w:rFonts w:ascii="Source Sans Pro" w:hAnsi="Source Sans Pro"/>
          <w:color w:val="0086A8"/>
          <w:sz w:val="22"/>
          <w:szCs w:val="22"/>
        </w:rPr>
        <w:t>04</w:t>
      </w:r>
      <w:r>
        <w:rPr>
          <w:rFonts w:ascii="Source Sans Pro" w:hAnsi="Source Sans Pro"/>
          <w:color w:val="0087A8"/>
          <w:sz w:val="22"/>
          <w:szCs w:val="22"/>
        </w:rPr>
        <w:t xml:space="preserve"> April 2023, Hamburg.</w:t>
      </w:r>
      <w:r>
        <w:rPr>
          <w:rFonts w:ascii="Source Sans Pro" w:hAnsi="Source Sans Pro"/>
          <w:color w:val="0086A8"/>
          <w:sz w:val="22"/>
          <w:szCs w:val="22"/>
        </w:rPr>
        <w:t xml:space="preserve"> </w:t>
      </w:r>
      <w:r w:rsidR="00FE6B13">
        <w:rPr>
          <w:rFonts w:ascii="Source Sans Pro" w:hAnsi="Source Sans Pro"/>
          <w:color w:val="auto"/>
          <w:sz w:val="22"/>
          <w:szCs w:val="22"/>
        </w:rPr>
        <w:t>At the close of the fir</w:t>
      </w:r>
      <w:r>
        <w:rPr>
          <w:rFonts w:ascii="Source Sans Pro" w:hAnsi="Source Sans Pro"/>
          <w:color w:val="auto"/>
          <w:sz w:val="22"/>
          <w:szCs w:val="22"/>
        </w:rPr>
        <w:t>st quarter of 2023 the volume of investments in commercial properties located in Germany’s top 7 cities totalled some €2.6bn</w:t>
      </w:r>
      <w:r w:rsidR="005B7203">
        <w:rPr>
          <w:rFonts w:ascii="Source Sans Pro" w:hAnsi="Source Sans Pro"/>
          <w:color w:val="auto"/>
          <w:sz w:val="22"/>
          <w:szCs w:val="22"/>
        </w:rPr>
        <w:t>.</w:t>
      </w:r>
      <w:r>
        <w:rPr>
          <w:rFonts w:ascii="Source Sans Pro" w:hAnsi="Source Sans Pro"/>
          <w:color w:val="auto"/>
          <w:sz w:val="22"/>
          <w:szCs w:val="22"/>
        </w:rPr>
        <w:t xml:space="preserve"> This translates into a year on year decline of around 72 %. </w:t>
      </w:r>
      <w:r>
        <w:rPr>
          <w:rFonts w:ascii="Source Sans Pro" w:hAnsi="Source Sans Pro"/>
          <w:sz w:val="22"/>
          <w:szCs w:val="22"/>
        </w:rPr>
        <w:t xml:space="preserve">However, at the start of 2022 the take-over of alstria by Brookfield Properties propelled the transaction volume to a record high of </w:t>
      </w:r>
      <w:r w:rsidR="00641CA8">
        <w:rPr>
          <w:rFonts w:ascii="Source Sans Pro" w:hAnsi="Source Sans Pro"/>
          <w:sz w:val="22"/>
          <w:szCs w:val="22"/>
        </w:rPr>
        <w:t>around</w:t>
      </w:r>
      <w:r>
        <w:rPr>
          <w:rFonts w:ascii="Source Sans Pro" w:hAnsi="Source Sans Pro"/>
          <w:sz w:val="22"/>
          <w:szCs w:val="22"/>
        </w:rPr>
        <w:t xml:space="preserve"> €9.4bn.</w:t>
      </w:r>
      <w:r>
        <w:rPr>
          <w:rFonts w:ascii="Source Sans Pro" w:hAnsi="Source Sans Pro"/>
          <w:color w:val="auto"/>
          <w:sz w:val="22"/>
          <w:szCs w:val="22"/>
        </w:rPr>
        <w:t xml:space="preserve"> These findings come from research conducted by German Property Partners (GPP). </w:t>
      </w:r>
      <w:r>
        <w:rPr>
          <w:rFonts w:ascii="Source Sans Pro" w:hAnsi="Source Sans Pro"/>
          <w:sz w:val="22"/>
          <w:szCs w:val="22"/>
        </w:rPr>
        <w:t xml:space="preserve">This commercial </w:t>
      </w:r>
      <w:r w:rsidR="00FE6B13">
        <w:rPr>
          <w:rFonts w:ascii="Source Sans Pro" w:hAnsi="Source Sans Pro"/>
          <w:sz w:val="22"/>
          <w:szCs w:val="22"/>
        </w:rPr>
        <w:t>real estate network</w:t>
      </w:r>
      <w:r>
        <w:rPr>
          <w:rFonts w:ascii="Source Sans Pro" w:hAnsi="Source Sans Pro"/>
          <w:sz w:val="22"/>
          <w:szCs w:val="22"/>
        </w:rPr>
        <w:t xml:space="preserve"> consists of Grossmann &amp; Berger, Anteon Immobilien, GREIF &amp; CONTZEN Immobilien, blackolive and E &amp; G Real Estate.</w:t>
      </w:r>
    </w:p>
    <w:p w14:paraId="19D25B26" w14:textId="77777777" w:rsidR="00610BB3" w:rsidRDefault="00610BB3" w:rsidP="00895E64">
      <w:pPr>
        <w:pStyle w:val="EinfAbs"/>
        <w:tabs>
          <w:tab w:val="left" w:pos="200"/>
        </w:tabs>
        <w:snapToGrid w:val="0"/>
        <w:spacing w:line="280" w:lineRule="exact"/>
        <w:jc w:val="both"/>
        <w:rPr>
          <w:rFonts w:ascii="Source Sans Pro" w:hAnsi="Source Sans Pro" w:cs="Arial"/>
          <w:bCs/>
          <w:sz w:val="22"/>
          <w:szCs w:val="22"/>
        </w:rPr>
      </w:pPr>
    </w:p>
    <w:p w14:paraId="61D50AD8" w14:textId="34A1D571" w:rsidR="00895E64" w:rsidRDefault="00D949D0" w:rsidP="00895E64">
      <w:pPr>
        <w:pStyle w:val="EinfAbs"/>
        <w:tabs>
          <w:tab w:val="left" w:pos="200"/>
        </w:tabs>
        <w:snapToGrid w:val="0"/>
        <w:spacing w:line="280" w:lineRule="exact"/>
        <w:jc w:val="both"/>
        <w:rPr>
          <w:rFonts w:ascii="Source Sans Pro" w:hAnsi="Source Sans Pro" w:cs="Source Sans Pro"/>
          <w:i/>
          <w:iCs/>
          <w:sz w:val="22"/>
          <w:szCs w:val="22"/>
        </w:rPr>
      </w:pPr>
      <w:r>
        <w:rPr>
          <w:rFonts w:ascii="Source Sans Pro" w:hAnsi="Source Sans Pro"/>
          <w:i/>
          <w:sz w:val="22"/>
          <w:szCs w:val="22"/>
        </w:rPr>
        <w:t>“Nationwide, the investment market started the year very sluggishly,”</w:t>
      </w:r>
      <w:r>
        <w:rPr>
          <w:rFonts w:ascii="Source Sans Pro" w:hAnsi="Source Sans Pro"/>
          <w:sz w:val="22"/>
          <w:szCs w:val="22"/>
        </w:rPr>
        <w:t xml:space="preserve"> says GPP </w:t>
      </w:r>
      <w:r w:rsidR="00FE6B13">
        <w:rPr>
          <w:rFonts w:ascii="Source Sans Pro" w:hAnsi="Source Sans Pro"/>
          <w:sz w:val="22"/>
          <w:szCs w:val="22"/>
        </w:rPr>
        <w:t>spokesman</w:t>
      </w:r>
      <w:bookmarkStart w:id="0" w:name="_GoBack"/>
      <w:bookmarkEnd w:id="0"/>
      <w:r>
        <w:rPr>
          <w:rFonts w:ascii="Source Sans Pro" w:hAnsi="Source Sans Pro"/>
          <w:sz w:val="22"/>
          <w:szCs w:val="22"/>
        </w:rPr>
        <w:t xml:space="preserve"> </w:t>
      </w:r>
      <w:r>
        <w:rPr>
          <w:rFonts w:ascii="Source Sans Pro" w:hAnsi="Source Sans Pro"/>
          <w:b/>
          <w:sz w:val="22"/>
          <w:szCs w:val="22"/>
        </w:rPr>
        <w:t>Andreas Rehberg.</w:t>
      </w:r>
      <w:r>
        <w:rPr>
          <w:rFonts w:ascii="Source Sans Pro" w:hAnsi="Source Sans Pro"/>
          <w:sz w:val="22"/>
          <w:szCs w:val="22"/>
        </w:rPr>
        <w:t xml:space="preserve"> </w:t>
      </w:r>
      <w:r>
        <w:rPr>
          <w:rFonts w:ascii="Source Sans Pro" w:hAnsi="Source Sans Pro"/>
          <w:i/>
          <w:sz w:val="22"/>
          <w:szCs w:val="22"/>
        </w:rPr>
        <w:t xml:space="preserve">“Investors remained hesitant due to uncertainty about </w:t>
      </w:r>
      <w:r w:rsidR="009F26E8">
        <w:rPr>
          <w:rFonts w:ascii="Source Sans Pro" w:hAnsi="Source Sans Pro"/>
          <w:i/>
          <w:sz w:val="22"/>
          <w:szCs w:val="22"/>
        </w:rPr>
        <w:t xml:space="preserve">how </w:t>
      </w:r>
      <w:r>
        <w:rPr>
          <w:rFonts w:ascii="Source Sans Pro" w:hAnsi="Source Sans Pro"/>
          <w:i/>
          <w:sz w:val="22"/>
          <w:szCs w:val="22"/>
        </w:rPr>
        <w:t>the economic environment would develop and closed appreciably fewer contracts than in the prior year – above all, large-volume transactions were scarce.”</w:t>
      </w:r>
    </w:p>
    <w:p w14:paraId="2DD169C2" w14:textId="77777777" w:rsidR="00370785" w:rsidRDefault="00370785" w:rsidP="000136D7">
      <w:pPr>
        <w:pStyle w:val="EinfAbs"/>
        <w:tabs>
          <w:tab w:val="left" w:pos="200"/>
        </w:tabs>
        <w:snapToGrid w:val="0"/>
        <w:spacing w:line="280" w:lineRule="exact"/>
        <w:jc w:val="both"/>
        <w:rPr>
          <w:rFonts w:ascii="Source Sans Pro" w:hAnsi="Source Sans Pro" w:cs="Arial"/>
          <w:bCs/>
          <w:sz w:val="22"/>
          <w:szCs w:val="22"/>
        </w:rPr>
      </w:pPr>
    </w:p>
    <w:p w14:paraId="5F1749C8" w14:textId="0A2DF282" w:rsidR="00404BCC" w:rsidRPr="00404BCC" w:rsidRDefault="00404BCC" w:rsidP="000136D7">
      <w:pPr>
        <w:pStyle w:val="EinfAbs"/>
        <w:tabs>
          <w:tab w:val="left" w:pos="200"/>
        </w:tabs>
        <w:snapToGrid w:val="0"/>
        <w:spacing w:line="280" w:lineRule="exact"/>
        <w:jc w:val="both"/>
        <w:rPr>
          <w:rFonts w:ascii="Source Sans Pro" w:hAnsi="Source Sans Pro" w:cs="Source Sans Pro"/>
          <w:caps/>
          <w:color w:val="0086A8"/>
          <w:sz w:val="22"/>
          <w:szCs w:val="22"/>
        </w:rPr>
      </w:pPr>
      <w:r>
        <w:rPr>
          <w:rFonts w:ascii="Source Sans Pro" w:hAnsi="Source Sans Pro"/>
          <w:caps/>
          <w:color w:val="0086A8"/>
          <w:sz w:val="22"/>
          <w:szCs w:val="22"/>
        </w:rPr>
        <w:t>VOLUME OF TRANSACTIONS: CONTRACTION NOTED IN ALL TOP 7 CITIES</w:t>
      </w:r>
    </w:p>
    <w:p w14:paraId="3ED38448" w14:textId="178F6CAA" w:rsidR="005C47F7" w:rsidRDefault="005C47F7" w:rsidP="005C47F7">
      <w:pPr>
        <w:pStyle w:val="EinfAbs"/>
        <w:tabs>
          <w:tab w:val="left" w:pos="200"/>
        </w:tabs>
        <w:snapToGrid w:val="0"/>
        <w:spacing w:line="280" w:lineRule="exact"/>
        <w:jc w:val="both"/>
        <w:rPr>
          <w:rFonts w:ascii="Source Sans Pro" w:hAnsi="Source Sans Pro" w:cs="Source Sans Pro"/>
          <w:sz w:val="22"/>
          <w:szCs w:val="22"/>
        </w:rPr>
      </w:pPr>
      <w:r>
        <w:rPr>
          <w:rFonts w:ascii="Source Sans Pro" w:hAnsi="Source Sans Pro"/>
          <w:sz w:val="22"/>
          <w:szCs w:val="22"/>
        </w:rPr>
        <w:t>During the first three months of the year political and economic worries continued to depress investment market activity in Germany’s top 7 cities. In view of high interest rates the most successful buyers on the market were investors with deep pockets and property developers</w:t>
      </w:r>
      <w:r w:rsidR="009F26E8">
        <w:rPr>
          <w:rFonts w:ascii="Source Sans Pro" w:hAnsi="Source Sans Pro"/>
          <w:sz w:val="22"/>
          <w:szCs w:val="22"/>
        </w:rPr>
        <w:t>.</w:t>
      </w:r>
      <w:r>
        <w:rPr>
          <w:rFonts w:ascii="Source Sans Pro" w:hAnsi="Source Sans Pro"/>
          <w:sz w:val="22"/>
          <w:szCs w:val="22"/>
        </w:rPr>
        <w:t xml:space="preserve"> Investors who rely on loan capital remained waiting in the wings. </w:t>
      </w:r>
      <w:r>
        <w:rPr>
          <w:rFonts w:ascii="Source Sans Pro" w:hAnsi="Source Sans Pro"/>
          <w:i/>
          <w:sz w:val="22"/>
          <w:szCs w:val="22"/>
        </w:rPr>
        <w:t>“Buyers and sellers have not yet completed their process of price discovery.</w:t>
      </w:r>
      <w:r>
        <w:rPr>
          <w:rFonts w:ascii="Source Sans Pro" w:hAnsi="Source Sans Pro"/>
          <w:i/>
          <w:iCs/>
          <w:sz w:val="22"/>
          <w:szCs w:val="22"/>
        </w:rPr>
        <w:t xml:space="preserve"> </w:t>
      </w:r>
      <w:r>
        <w:rPr>
          <w:rFonts w:ascii="Source Sans Pro" w:hAnsi="Source Sans Pro"/>
          <w:i/>
          <w:sz w:val="22"/>
          <w:szCs w:val="22"/>
        </w:rPr>
        <w:t>Investors are simply waiting for a suitable opportunity to buy, but transactions are still hampered by wide gaps between the players’ concepts of fair market prices,”</w:t>
      </w:r>
      <w:r>
        <w:rPr>
          <w:rFonts w:ascii="Source Sans Pro" w:hAnsi="Source Sans Pro"/>
          <w:sz w:val="22"/>
          <w:szCs w:val="22"/>
        </w:rPr>
        <w:t xml:space="preserve"> remarks </w:t>
      </w:r>
      <w:r>
        <w:rPr>
          <w:rFonts w:ascii="Source Sans Pro" w:hAnsi="Source Sans Pro"/>
          <w:b/>
          <w:sz w:val="22"/>
          <w:szCs w:val="22"/>
        </w:rPr>
        <w:t>Rehberg</w:t>
      </w:r>
      <w:r>
        <w:rPr>
          <w:rFonts w:ascii="Source Sans Pro" w:hAnsi="Source Sans Pro"/>
          <w:sz w:val="22"/>
          <w:szCs w:val="22"/>
        </w:rPr>
        <w:t>.</w:t>
      </w:r>
    </w:p>
    <w:p w14:paraId="5CFF1002" w14:textId="77777777" w:rsidR="00065685" w:rsidRDefault="00065685" w:rsidP="005C47F7">
      <w:pPr>
        <w:pStyle w:val="EinfAbs"/>
        <w:tabs>
          <w:tab w:val="left" w:pos="200"/>
        </w:tabs>
        <w:snapToGrid w:val="0"/>
        <w:spacing w:line="280" w:lineRule="exact"/>
        <w:jc w:val="both"/>
        <w:rPr>
          <w:rFonts w:ascii="Source Sans Pro" w:hAnsi="Source Sans Pro" w:cs="Source Sans Pro"/>
          <w:sz w:val="22"/>
          <w:szCs w:val="22"/>
        </w:rPr>
      </w:pPr>
    </w:p>
    <w:p w14:paraId="5094DE9D" w14:textId="56485D22" w:rsidR="007F1BD3" w:rsidRDefault="005C47F7" w:rsidP="007F1BD3">
      <w:pPr>
        <w:pStyle w:val="EinfAbs"/>
        <w:tabs>
          <w:tab w:val="left" w:pos="200"/>
        </w:tabs>
        <w:snapToGrid w:val="0"/>
        <w:spacing w:line="280" w:lineRule="exact"/>
        <w:jc w:val="both"/>
        <w:rPr>
          <w:rFonts w:ascii="Source Sans Pro" w:hAnsi="Source Sans Pro" w:cs="Source Sans Pro"/>
          <w:sz w:val="22"/>
          <w:szCs w:val="22"/>
        </w:rPr>
      </w:pPr>
      <w:r>
        <w:rPr>
          <w:rFonts w:ascii="Source Sans Pro" w:hAnsi="Source Sans Pro"/>
          <w:sz w:val="22"/>
          <w:szCs w:val="22"/>
        </w:rPr>
        <w:t xml:space="preserve">Year on year the volume of transactions dropped in all top 7 cities. Declines were most pronounced in Frankfurt (-95 % to €104m), Hamburg (-91 % to €170m) and Berlin (-70 % to €700m). Year on year appreciable falls were also noted for Düsseldorf (-64 % to €360m), Cologne (-67 % to €100m) and </w:t>
      </w:r>
      <w:r>
        <w:rPr>
          <w:rFonts w:ascii="Source Sans Pro" w:hAnsi="Source Sans Pro"/>
          <w:sz w:val="22"/>
          <w:szCs w:val="22"/>
        </w:rPr>
        <w:lastRenderedPageBreak/>
        <w:t xml:space="preserve">Stuttgart (-68 % to €170m). Here too, developments were heavily impacted by the alstria transaction, an outlier trade that fuelled turnover volumes at the start of 2022 in every city except Munich. The Bavarian capital posted the smallest decline, dropping to around €1bn or 21 % below the same quarter a year before, whose stronger result owed nothing to an outlier trade. </w:t>
      </w:r>
    </w:p>
    <w:p w14:paraId="768FEA24" w14:textId="77777777" w:rsidR="00BC6B47" w:rsidRDefault="00BC6B47" w:rsidP="004F09D7">
      <w:pPr>
        <w:pStyle w:val="EinfAbs"/>
        <w:tabs>
          <w:tab w:val="left" w:pos="200"/>
        </w:tabs>
        <w:snapToGrid w:val="0"/>
        <w:spacing w:line="280" w:lineRule="exact"/>
        <w:jc w:val="both"/>
        <w:rPr>
          <w:rFonts w:ascii="Source Sans Pro" w:hAnsi="Source Sans Pro" w:cs="Source Sans Pro"/>
          <w:sz w:val="22"/>
          <w:szCs w:val="22"/>
        </w:rPr>
      </w:pPr>
    </w:p>
    <w:p w14:paraId="0126EED4" w14:textId="5B1600BE" w:rsidR="00986361" w:rsidRDefault="00BC6B47" w:rsidP="004F09D7">
      <w:pPr>
        <w:pStyle w:val="EinfAbs"/>
        <w:tabs>
          <w:tab w:val="left" w:pos="200"/>
        </w:tabs>
        <w:snapToGrid w:val="0"/>
        <w:spacing w:line="280" w:lineRule="exact"/>
        <w:jc w:val="both"/>
        <w:rPr>
          <w:rFonts w:ascii="Source Sans Pro" w:hAnsi="Source Sans Pro" w:cs="Source Sans Pro"/>
          <w:sz w:val="22"/>
          <w:szCs w:val="22"/>
        </w:rPr>
      </w:pPr>
      <w:r>
        <w:rPr>
          <w:rFonts w:ascii="Source Sans Pro" w:hAnsi="Source Sans Pro"/>
          <w:sz w:val="22"/>
          <w:szCs w:val="22"/>
        </w:rPr>
        <w:t>Retail properties comprised the biggest share – 37 % – of the assets traded. This result was due essentially to the big-ticket sale of the “PEP Shopping Centre” in Munich and the sale of shares in the “KaDeWe” department store in Berlin</w:t>
      </w:r>
      <w:r w:rsidR="009F26E8">
        <w:rPr>
          <w:rFonts w:ascii="Source Sans Pro" w:hAnsi="Source Sans Pro"/>
          <w:sz w:val="22"/>
          <w:szCs w:val="22"/>
        </w:rPr>
        <w:t>.</w:t>
      </w:r>
      <w:r>
        <w:rPr>
          <w:rFonts w:ascii="Source Sans Pro" w:hAnsi="Source Sans Pro"/>
          <w:sz w:val="22"/>
          <w:szCs w:val="22"/>
        </w:rPr>
        <w:t xml:space="preserve"> Offices accounted for some 28 % of the volume traded. Building land and mixed-use properties trailed behind, taking 16 </w:t>
      </w:r>
      <w:r w:rsidR="009F26E8">
        <w:rPr>
          <w:rFonts w:ascii="Source Sans Pro" w:hAnsi="Source Sans Pro"/>
          <w:sz w:val="22"/>
          <w:szCs w:val="22"/>
        </w:rPr>
        <w:t>%</w:t>
      </w:r>
      <w:r>
        <w:rPr>
          <w:rFonts w:ascii="Source Sans Pro" w:hAnsi="Source Sans Pro"/>
          <w:sz w:val="22"/>
          <w:szCs w:val="22"/>
        </w:rPr>
        <w:t xml:space="preserve"> and 14 % of the market respectively. Accounting for 32 % of total trading in Germany’s top 7 cities, international investors were holding back. They were most active in Berlin, where they comprised 70 % of the market. Portfolio sales were rare, making up about 4 % of the total traded. This information is based on a small number of transactions, which thus limits its validity.</w:t>
      </w:r>
    </w:p>
    <w:p w14:paraId="4FDD6406" w14:textId="77777777" w:rsidR="00816613" w:rsidRPr="00034121" w:rsidRDefault="00816613" w:rsidP="004F09D7">
      <w:pPr>
        <w:pStyle w:val="EinfAbs"/>
        <w:tabs>
          <w:tab w:val="left" w:pos="200"/>
        </w:tabs>
        <w:snapToGrid w:val="0"/>
        <w:spacing w:line="280" w:lineRule="exact"/>
        <w:jc w:val="both"/>
        <w:rPr>
          <w:rFonts w:ascii="Source Sans Pro" w:hAnsi="Source Sans Pro" w:cs="Arial"/>
          <w:bCs/>
          <w:sz w:val="22"/>
          <w:szCs w:val="22"/>
        </w:rPr>
      </w:pPr>
    </w:p>
    <w:p w14:paraId="7E871430" w14:textId="76D17C46" w:rsidR="00F159E2" w:rsidRDefault="00404BCC" w:rsidP="00AD7DB5">
      <w:pPr>
        <w:pStyle w:val="EinfAbs"/>
        <w:tabs>
          <w:tab w:val="left" w:pos="200"/>
        </w:tabs>
        <w:snapToGrid w:val="0"/>
        <w:spacing w:line="280" w:lineRule="exact"/>
        <w:jc w:val="both"/>
        <w:rPr>
          <w:rFonts w:ascii="Source Sans Pro" w:hAnsi="Source Sans Pro" w:cs="Arial"/>
          <w:bCs/>
          <w:sz w:val="22"/>
          <w:szCs w:val="22"/>
        </w:rPr>
      </w:pPr>
      <w:r>
        <w:rPr>
          <w:rFonts w:ascii="Source Sans Pro" w:hAnsi="Source Sans Pro"/>
          <w:caps/>
          <w:color w:val="0086A8"/>
          <w:sz w:val="22"/>
          <w:szCs w:val="22"/>
        </w:rPr>
        <w:t>Yields: rising on all classes of asset</w:t>
      </w:r>
    </w:p>
    <w:p w14:paraId="74B95CD4" w14:textId="561C849F" w:rsidR="007F12A3" w:rsidRDefault="00AD7DB5" w:rsidP="00F159E2">
      <w:pPr>
        <w:pStyle w:val="EinfAbs"/>
        <w:tabs>
          <w:tab w:val="left" w:pos="200"/>
        </w:tabs>
        <w:snapToGrid w:val="0"/>
        <w:spacing w:line="280" w:lineRule="exact"/>
        <w:jc w:val="both"/>
        <w:rPr>
          <w:rFonts w:ascii="Source Sans Pro" w:hAnsi="Source Sans Pro" w:cs="Source Sans Pro"/>
          <w:sz w:val="22"/>
          <w:szCs w:val="22"/>
        </w:rPr>
      </w:pPr>
      <w:r>
        <w:rPr>
          <w:rFonts w:ascii="Source Sans Pro" w:hAnsi="Source Sans Pro"/>
          <w:bCs/>
          <w:sz w:val="22"/>
          <w:szCs w:val="22"/>
        </w:rPr>
        <w:t xml:space="preserve">The base rate was increased several times in the past twelve months, so that yields continue to rise on all classes of asset. The prime yield on office properties in the top 7 climbed year on year by 0.93 percentage points to 3.61 %. </w:t>
      </w:r>
      <w:r>
        <w:rPr>
          <w:rFonts w:ascii="Source Sans Pro" w:hAnsi="Source Sans Pro"/>
          <w:sz w:val="22"/>
          <w:szCs w:val="22"/>
        </w:rPr>
        <w:t>The biggest increase was noted in Berlin. In this city prime yields surged by 1.15 percentage points to 3.75 %. Regarding industrial and logistics properties, year on year growth in prime yields was highest in Munich (+1.40 percentage points to 4.50 %). Across the board, the top 7 cities posted a rise of 0.85 percentage points to 4.14 % in this segment. These estimates are, however, based on only a small number of reference cases.</w:t>
      </w:r>
    </w:p>
    <w:p w14:paraId="28CDED79" w14:textId="77777777" w:rsidR="000B2DF4" w:rsidRPr="00AD7DB5" w:rsidRDefault="000B2DF4" w:rsidP="00F159E2">
      <w:pPr>
        <w:pStyle w:val="EinfAbs"/>
        <w:tabs>
          <w:tab w:val="left" w:pos="200"/>
        </w:tabs>
        <w:snapToGrid w:val="0"/>
        <w:spacing w:line="280" w:lineRule="exact"/>
        <w:jc w:val="both"/>
        <w:rPr>
          <w:rFonts w:ascii="Source Sans Pro" w:hAnsi="Source Sans Pro" w:cs="Source Sans Pro"/>
          <w:sz w:val="22"/>
          <w:szCs w:val="22"/>
        </w:rPr>
      </w:pPr>
    </w:p>
    <w:p w14:paraId="35EAB08A" w14:textId="16E86927" w:rsidR="00481D27" w:rsidRPr="00481D27" w:rsidRDefault="00404BCC" w:rsidP="007F12A3">
      <w:pPr>
        <w:pStyle w:val="EinfAbs"/>
        <w:tabs>
          <w:tab w:val="left" w:pos="200"/>
        </w:tabs>
        <w:snapToGrid w:val="0"/>
        <w:spacing w:line="280" w:lineRule="exact"/>
        <w:jc w:val="both"/>
        <w:rPr>
          <w:rFonts w:ascii="Source Sans Pro" w:hAnsi="Source Sans Pro" w:cs="Arial"/>
          <w:bCs/>
          <w:sz w:val="22"/>
          <w:szCs w:val="22"/>
        </w:rPr>
      </w:pPr>
      <w:r>
        <w:rPr>
          <w:rFonts w:ascii="Source Sans Pro" w:hAnsi="Source Sans Pro"/>
          <w:caps/>
          <w:color w:val="0086A8"/>
          <w:sz w:val="22"/>
          <w:szCs w:val="22"/>
        </w:rPr>
        <w:t>Market revival to follow close of price discovery phase</w:t>
      </w:r>
    </w:p>
    <w:p w14:paraId="11A9BAAC" w14:textId="7DC9494D" w:rsidR="007F12A3" w:rsidRPr="008F3731" w:rsidRDefault="00367F4F" w:rsidP="008F3731">
      <w:pPr>
        <w:pStyle w:val="EinfAbs"/>
        <w:tabs>
          <w:tab w:val="left" w:pos="200"/>
        </w:tabs>
        <w:snapToGrid w:val="0"/>
        <w:spacing w:line="280" w:lineRule="exact"/>
        <w:jc w:val="both"/>
        <w:rPr>
          <w:rFonts w:ascii="Source Sans Pro" w:hAnsi="Source Sans Pro" w:cs="Source Sans Pro"/>
          <w:i/>
          <w:iCs/>
          <w:sz w:val="22"/>
          <w:szCs w:val="22"/>
        </w:rPr>
      </w:pPr>
      <w:r>
        <w:rPr>
          <w:rFonts w:ascii="Source Sans Pro" w:hAnsi="Source Sans Pro"/>
          <w:sz w:val="22"/>
          <w:szCs w:val="22"/>
        </w:rPr>
        <w:t>It is very hard to forecast when investment markets in the top 7 cities will pick up speed, because the business environment is currently marked by uncertainty.</w:t>
      </w:r>
      <w:r>
        <w:rPr>
          <w:rFonts w:ascii="Source Sans Pro" w:hAnsi="Source Sans Pro"/>
          <w:i/>
          <w:iCs/>
          <w:sz w:val="22"/>
          <w:szCs w:val="22"/>
        </w:rPr>
        <w:t xml:space="preserve"> </w:t>
      </w:r>
      <w:r>
        <w:rPr>
          <w:rFonts w:ascii="Source Sans Pro" w:hAnsi="Source Sans Pro"/>
          <w:i/>
          <w:sz w:val="22"/>
          <w:szCs w:val="22"/>
        </w:rPr>
        <w:t>“Investors have not lost interest,”</w:t>
      </w:r>
      <w:r>
        <w:rPr>
          <w:rFonts w:ascii="Source Sans Pro" w:hAnsi="Source Sans Pro"/>
          <w:sz w:val="22"/>
          <w:szCs w:val="22"/>
        </w:rPr>
        <w:t xml:space="preserve"> says </w:t>
      </w:r>
      <w:r>
        <w:rPr>
          <w:rFonts w:ascii="Source Sans Pro" w:hAnsi="Source Sans Pro"/>
          <w:b/>
          <w:sz w:val="22"/>
          <w:szCs w:val="22"/>
        </w:rPr>
        <w:t>Rehberg</w:t>
      </w:r>
      <w:r>
        <w:rPr>
          <w:rFonts w:ascii="Source Sans Pro" w:hAnsi="Source Sans Pro"/>
          <w:sz w:val="22"/>
          <w:szCs w:val="22"/>
        </w:rPr>
        <w:t xml:space="preserve">, adding that, </w:t>
      </w:r>
      <w:r>
        <w:rPr>
          <w:rFonts w:ascii="Source Sans Pro" w:hAnsi="Source Sans Pro"/>
          <w:i/>
          <w:sz w:val="22"/>
          <w:szCs w:val="22"/>
        </w:rPr>
        <w:t>“As soon as the process of adjusting prices has been completed and stable interest rates make financial planning more reliable, we expect to see increasingly brisk trading.”</w:t>
      </w:r>
      <w:r>
        <w:rPr>
          <w:rFonts w:ascii="Source Sans Pro" w:hAnsi="Source Sans Pro"/>
          <w:sz w:val="22"/>
          <w:szCs w:val="22"/>
        </w:rPr>
        <w:br/>
      </w:r>
    </w:p>
    <w:p w14:paraId="5CED34B8" w14:textId="6430109C" w:rsidR="00161817" w:rsidRPr="00161817" w:rsidRDefault="00367F4F" w:rsidP="00EF0944">
      <w:pPr>
        <w:overflowPunct/>
        <w:autoSpaceDE/>
        <w:autoSpaceDN/>
        <w:adjustRightInd/>
        <w:textAlignment w:val="auto"/>
        <w:rPr>
          <w:rFonts w:ascii="Source Sans Pro" w:hAnsi="Source Sans Pro" w:cs="Arial"/>
          <w:b/>
          <w:sz w:val="20"/>
        </w:rPr>
      </w:pPr>
      <w:r>
        <w:rPr>
          <w:rFonts w:ascii="Source Sans Pro" w:hAnsi="Source Sans Pro"/>
          <w:b/>
          <w:sz w:val="20"/>
        </w:rPr>
        <w:t>Biggest known agreements | top 7 locations | Q1 2023</w:t>
      </w:r>
    </w:p>
    <w:tbl>
      <w:tblPr>
        <w:tblStyle w:val="TableGrid1"/>
        <w:tblW w:w="9231" w:type="dxa"/>
        <w:tblLayout w:type="fixed"/>
        <w:tblLook w:val="04A0" w:firstRow="1" w:lastRow="0" w:firstColumn="1" w:lastColumn="0" w:noHBand="0" w:noVBand="1"/>
      </w:tblPr>
      <w:tblGrid>
        <w:gridCol w:w="687"/>
        <w:gridCol w:w="2682"/>
        <w:gridCol w:w="2658"/>
        <w:gridCol w:w="2019"/>
        <w:gridCol w:w="1185"/>
      </w:tblGrid>
      <w:tr w:rsidR="00161817" w:rsidRPr="00161817" w14:paraId="113FCC50" w14:textId="77777777" w:rsidTr="005B7203">
        <w:trPr>
          <w:trHeight w:val="552"/>
        </w:trPr>
        <w:tc>
          <w:tcPr>
            <w:tcW w:w="687" w:type="dxa"/>
            <w:shd w:val="clear" w:color="auto" w:fill="auto"/>
            <w:vAlign w:val="center"/>
          </w:tcPr>
          <w:p w14:paraId="130C696A" w14:textId="77777777" w:rsidR="00161817" w:rsidRPr="00161817" w:rsidRDefault="00161817" w:rsidP="009E6C40">
            <w:pPr>
              <w:widowControl w:val="0"/>
              <w:jc w:val="center"/>
              <w:rPr>
                <w:rFonts w:ascii="Source Sans Pro" w:hAnsi="Source Sans Pro" w:cs="Arial"/>
                <w:b/>
                <w:sz w:val="16"/>
                <w:szCs w:val="16"/>
              </w:rPr>
            </w:pPr>
            <w:r>
              <w:rPr>
                <w:rFonts w:ascii="Source Sans Pro" w:hAnsi="Source Sans Pro"/>
                <w:b/>
                <w:sz w:val="16"/>
                <w:szCs w:val="16"/>
              </w:rPr>
              <w:t>City</w:t>
            </w:r>
          </w:p>
        </w:tc>
        <w:tc>
          <w:tcPr>
            <w:tcW w:w="2682" w:type="dxa"/>
            <w:shd w:val="clear" w:color="auto" w:fill="auto"/>
            <w:vAlign w:val="center"/>
          </w:tcPr>
          <w:p w14:paraId="5E34B091" w14:textId="77777777" w:rsidR="00161817" w:rsidRPr="00161817" w:rsidRDefault="00161817" w:rsidP="009E6C40">
            <w:pPr>
              <w:widowControl w:val="0"/>
              <w:jc w:val="center"/>
              <w:rPr>
                <w:rFonts w:ascii="Source Sans Pro" w:hAnsi="Source Sans Pro" w:cs="Arial"/>
                <w:b/>
                <w:sz w:val="16"/>
                <w:szCs w:val="16"/>
              </w:rPr>
            </w:pPr>
            <w:r>
              <w:rPr>
                <w:rFonts w:ascii="Source Sans Pro" w:hAnsi="Source Sans Pro"/>
                <w:b/>
                <w:sz w:val="16"/>
                <w:szCs w:val="16"/>
              </w:rPr>
              <w:t>Project/property</w:t>
            </w:r>
          </w:p>
        </w:tc>
        <w:tc>
          <w:tcPr>
            <w:tcW w:w="2658" w:type="dxa"/>
            <w:shd w:val="clear" w:color="auto" w:fill="auto"/>
            <w:vAlign w:val="center"/>
          </w:tcPr>
          <w:p w14:paraId="26669932" w14:textId="77777777" w:rsidR="00161817" w:rsidRPr="00161817" w:rsidRDefault="00161817" w:rsidP="009E6C40">
            <w:pPr>
              <w:widowControl w:val="0"/>
              <w:jc w:val="center"/>
              <w:rPr>
                <w:rFonts w:ascii="Source Sans Pro" w:hAnsi="Source Sans Pro" w:cs="Arial"/>
                <w:b/>
                <w:sz w:val="16"/>
                <w:szCs w:val="16"/>
              </w:rPr>
            </w:pPr>
            <w:r>
              <w:rPr>
                <w:rFonts w:ascii="Source Sans Pro" w:hAnsi="Source Sans Pro"/>
                <w:b/>
                <w:sz w:val="16"/>
                <w:szCs w:val="16"/>
              </w:rPr>
              <w:t>Buyer/investor</w:t>
            </w:r>
          </w:p>
        </w:tc>
        <w:tc>
          <w:tcPr>
            <w:tcW w:w="2019" w:type="dxa"/>
            <w:shd w:val="clear" w:color="auto" w:fill="auto"/>
            <w:vAlign w:val="center"/>
          </w:tcPr>
          <w:p w14:paraId="490FE9EE" w14:textId="77777777" w:rsidR="00161817" w:rsidRPr="00161817" w:rsidRDefault="00161817" w:rsidP="009E6C40">
            <w:pPr>
              <w:widowControl w:val="0"/>
              <w:jc w:val="center"/>
              <w:rPr>
                <w:rFonts w:ascii="Source Sans Pro" w:hAnsi="Source Sans Pro" w:cs="Arial"/>
                <w:b/>
                <w:sz w:val="16"/>
                <w:szCs w:val="16"/>
              </w:rPr>
            </w:pPr>
            <w:r>
              <w:rPr>
                <w:rFonts w:ascii="Source Sans Pro" w:hAnsi="Source Sans Pro"/>
                <w:b/>
                <w:sz w:val="16"/>
                <w:szCs w:val="16"/>
              </w:rPr>
              <w:t>Vendor</w:t>
            </w:r>
          </w:p>
        </w:tc>
        <w:tc>
          <w:tcPr>
            <w:tcW w:w="1185" w:type="dxa"/>
            <w:shd w:val="clear" w:color="auto" w:fill="auto"/>
            <w:vAlign w:val="center"/>
          </w:tcPr>
          <w:p w14:paraId="028E3657" w14:textId="77777777" w:rsidR="00161817" w:rsidRPr="00161817" w:rsidRDefault="00161817" w:rsidP="009E6C40">
            <w:pPr>
              <w:widowControl w:val="0"/>
              <w:jc w:val="center"/>
              <w:rPr>
                <w:rFonts w:ascii="Source Sans Pro" w:hAnsi="Source Sans Pro" w:cs="Arial"/>
                <w:b/>
                <w:sz w:val="16"/>
                <w:szCs w:val="16"/>
              </w:rPr>
            </w:pPr>
            <w:r>
              <w:rPr>
                <w:rFonts w:ascii="Source Sans Pro" w:hAnsi="Source Sans Pro"/>
                <w:b/>
                <w:sz w:val="16"/>
                <w:szCs w:val="16"/>
              </w:rPr>
              <w:t>Pur. price*</w:t>
            </w:r>
          </w:p>
          <w:p w14:paraId="24C76A25" w14:textId="77777777" w:rsidR="00161817" w:rsidRPr="00161817" w:rsidRDefault="00161817" w:rsidP="009E6C40">
            <w:pPr>
              <w:widowControl w:val="0"/>
              <w:jc w:val="center"/>
              <w:rPr>
                <w:rFonts w:ascii="Source Sans Pro" w:hAnsi="Source Sans Pro" w:cs="Arial"/>
                <w:b/>
                <w:sz w:val="16"/>
                <w:szCs w:val="16"/>
              </w:rPr>
            </w:pPr>
            <w:r>
              <w:rPr>
                <w:rFonts w:ascii="Source Sans Pro" w:hAnsi="Source Sans Pro"/>
                <w:sz w:val="16"/>
                <w:szCs w:val="16"/>
              </w:rPr>
              <w:t>(about €m)</w:t>
            </w:r>
          </w:p>
        </w:tc>
      </w:tr>
      <w:tr w:rsidR="00583AC8" w:rsidRPr="00161817" w14:paraId="0B78E6CD" w14:textId="77777777" w:rsidTr="005B7203">
        <w:trPr>
          <w:trHeight w:val="552"/>
        </w:trPr>
        <w:tc>
          <w:tcPr>
            <w:tcW w:w="687" w:type="dxa"/>
            <w:shd w:val="clear" w:color="auto" w:fill="auto"/>
            <w:vAlign w:val="center"/>
          </w:tcPr>
          <w:p w14:paraId="576C9D5C" w14:textId="105AFF42" w:rsidR="00583AC8" w:rsidRDefault="00583AC8" w:rsidP="000B4A9D">
            <w:pPr>
              <w:widowControl w:val="0"/>
              <w:jc w:val="center"/>
              <w:rPr>
                <w:rFonts w:ascii="Source Sans Pro" w:hAnsi="Source Sans Pro" w:cs="Arial"/>
                <w:sz w:val="16"/>
                <w:szCs w:val="16"/>
              </w:rPr>
            </w:pPr>
            <w:r>
              <w:rPr>
                <w:rFonts w:ascii="Source Sans Pro" w:hAnsi="Source Sans Pro"/>
                <w:sz w:val="16"/>
                <w:szCs w:val="16"/>
              </w:rPr>
              <w:t>MUC</w:t>
            </w:r>
          </w:p>
        </w:tc>
        <w:tc>
          <w:tcPr>
            <w:tcW w:w="2682" w:type="dxa"/>
            <w:shd w:val="clear" w:color="auto" w:fill="auto"/>
            <w:vAlign w:val="center"/>
          </w:tcPr>
          <w:p w14:paraId="7CDDAAC2" w14:textId="52EAC1AA" w:rsidR="00583AC8" w:rsidRDefault="00583AC8" w:rsidP="000B4A9D">
            <w:pPr>
              <w:widowControl w:val="0"/>
              <w:jc w:val="center"/>
              <w:rPr>
                <w:rFonts w:ascii="Source Sans Pro" w:hAnsi="Source Sans Pro" w:cs="Arial"/>
                <w:sz w:val="16"/>
                <w:szCs w:val="16"/>
              </w:rPr>
            </w:pPr>
            <w:r>
              <w:rPr>
                <w:rFonts w:ascii="Source Sans Pro" w:hAnsi="Source Sans Pro"/>
                <w:sz w:val="16"/>
                <w:szCs w:val="16"/>
              </w:rPr>
              <w:t>“PEP Shopping Mall”, Ollenhauerstrasse 6</w:t>
            </w:r>
          </w:p>
        </w:tc>
        <w:tc>
          <w:tcPr>
            <w:tcW w:w="2658" w:type="dxa"/>
            <w:shd w:val="clear" w:color="auto" w:fill="auto"/>
            <w:vAlign w:val="center"/>
          </w:tcPr>
          <w:p w14:paraId="5EECDA99" w14:textId="6274637F" w:rsidR="00583AC8" w:rsidRDefault="00583AC8" w:rsidP="000B4A9D">
            <w:pPr>
              <w:widowControl w:val="0"/>
              <w:jc w:val="center"/>
              <w:rPr>
                <w:rFonts w:ascii="Source Sans Pro" w:hAnsi="Source Sans Pro" w:cs="Arial"/>
                <w:sz w:val="16"/>
                <w:szCs w:val="16"/>
              </w:rPr>
            </w:pPr>
            <w:r>
              <w:rPr>
                <w:rFonts w:ascii="Source Sans Pro" w:hAnsi="Source Sans Pro"/>
                <w:sz w:val="16"/>
                <w:szCs w:val="16"/>
              </w:rPr>
              <w:t>ECE Projektmanagement GmbH &amp; Co. KG and Generali Real Estate S.p.A.</w:t>
            </w:r>
          </w:p>
        </w:tc>
        <w:tc>
          <w:tcPr>
            <w:tcW w:w="2019" w:type="dxa"/>
            <w:shd w:val="clear" w:color="auto" w:fill="auto"/>
            <w:vAlign w:val="center"/>
          </w:tcPr>
          <w:p w14:paraId="3F8AFED1" w14:textId="28096A61" w:rsidR="00583AC8" w:rsidRDefault="00583AC8" w:rsidP="000B4A9D">
            <w:pPr>
              <w:widowControl w:val="0"/>
              <w:jc w:val="center"/>
              <w:rPr>
                <w:rFonts w:ascii="Source Sans Pro" w:hAnsi="Source Sans Pro" w:cs="Arial"/>
                <w:sz w:val="16"/>
                <w:szCs w:val="16"/>
              </w:rPr>
            </w:pPr>
            <w:r>
              <w:rPr>
                <w:rFonts w:ascii="Source Sans Pro" w:hAnsi="Source Sans Pro"/>
                <w:sz w:val="16"/>
                <w:szCs w:val="16"/>
              </w:rPr>
              <w:t>US teachers’ pension funds TIAA-CREF</w:t>
            </w:r>
          </w:p>
        </w:tc>
        <w:tc>
          <w:tcPr>
            <w:tcW w:w="1185" w:type="dxa"/>
            <w:shd w:val="clear" w:color="auto" w:fill="auto"/>
            <w:vAlign w:val="center"/>
          </w:tcPr>
          <w:p w14:paraId="525E6C98" w14:textId="1E411095" w:rsidR="00583AC8" w:rsidRDefault="00583AC8" w:rsidP="000B4A9D">
            <w:pPr>
              <w:widowControl w:val="0"/>
              <w:jc w:val="center"/>
              <w:rPr>
                <w:rFonts w:ascii="Source Sans Pro" w:hAnsi="Source Sans Pro" w:cs="Arial"/>
                <w:sz w:val="16"/>
                <w:szCs w:val="16"/>
              </w:rPr>
            </w:pPr>
            <w:r>
              <w:rPr>
                <w:rFonts w:ascii="Source Sans Pro" w:hAnsi="Source Sans Pro"/>
                <w:sz w:val="16"/>
                <w:szCs w:val="16"/>
              </w:rPr>
              <w:t>530</w:t>
            </w:r>
          </w:p>
        </w:tc>
      </w:tr>
      <w:tr w:rsidR="00583AC8" w:rsidRPr="00161817" w14:paraId="61DBCEAF" w14:textId="77777777" w:rsidTr="005B7203">
        <w:trPr>
          <w:trHeight w:val="552"/>
        </w:trPr>
        <w:tc>
          <w:tcPr>
            <w:tcW w:w="687" w:type="dxa"/>
            <w:shd w:val="clear" w:color="auto" w:fill="auto"/>
            <w:vAlign w:val="center"/>
          </w:tcPr>
          <w:p w14:paraId="06119DA2" w14:textId="6F626365" w:rsidR="00583AC8" w:rsidRDefault="00583AC8" w:rsidP="000B4A9D">
            <w:pPr>
              <w:widowControl w:val="0"/>
              <w:jc w:val="center"/>
              <w:rPr>
                <w:rFonts w:ascii="Source Sans Pro" w:hAnsi="Source Sans Pro" w:cs="Arial"/>
                <w:sz w:val="16"/>
                <w:szCs w:val="16"/>
              </w:rPr>
            </w:pPr>
            <w:r>
              <w:rPr>
                <w:rFonts w:ascii="Source Sans Pro" w:hAnsi="Source Sans Pro"/>
                <w:sz w:val="16"/>
                <w:szCs w:val="16"/>
              </w:rPr>
              <w:t>MUC</w:t>
            </w:r>
          </w:p>
        </w:tc>
        <w:tc>
          <w:tcPr>
            <w:tcW w:w="2682" w:type="dxa"/>
            <w:shd w:val="clear" w:color="auto" w:fill="auto"/>
            <w:vAlign w:val="center"/>
          </w:tcPr>
          <w:p w14:paraId="6CD90978" w14:textId="22FD405F" w:rsidR="00583AC8" w:rsidRDefault="00583AC8" w:rsidP="000B4A9D">
            <w:pPr>
              <w:widowControl w:val="0"/>
              <w:jc w:val="center"/>
              <w:rPr>
                <w:rFonts w:ascii="Source Sans Pro" w:hAnsi="Source Sans Pro" w:cs="Arial"/>
                <w:sz w:val="16"/>
                <w:szCs w:val="16"/>
              </w:rPr>
            </w:pPr>
            <w:r>
              <w:rPr>
                <w:rFonts w:ascii="Source Sans Pro" w:hAnsi="Source Sans Pro"/>
                <w:sz w:val="16"/>
                <w:szCs w:val="16"/>
              </w:rPr>
              <w:t>“Apple Campus” (extension), Seidlstrasse 15-19</w:t>
            </w:r>
          </w:p>
        </w:tc>
        <w:tc>
          <w:tcPr>
            <w:tcW w:w="2658" w:type="dxa"/>
            <w:shd w:val="clear" w:color="auto" w:fill="auto"/>
            <w:vAlign w:val="center"/>
          </w:tcPr>
          <w:p w14:paraId="5D4D3495" w14:textId="1B09185E" w:rsidR="00583AC8" w:rsidRDefault="00583AC8" w:rsidP="000B4A9D">
            <w:pPr>
              <w:widowControl w:val="0"/>
              <w:jc w:val="center"/>
              <w:rPr>
                <w:rFonts w:ascii="Source Sans Pro" w:hAnsi="Source Sans Pro" w:cs="Arial"/>
                <w:sz w:val="16"/>
                <w:szCs w:val="16"/>
              </w:rPr>
            </w:pPr>
            <w:r>
              <w:rPr>
                <w:rFonts w:ascii="Source Sans Pro" w:hAnsi="Source Sans Pro"/>
                <w:sz w:val="16"/>
                <w:szCs w:val="16"/>
              </w:rPr>
              <w:t>Apple</w:t>
            </w:r>
          </w:p>
        </w:tc>
        <w:tc>
          <w:tcPr>
            <w:tcW w:w="2019" w:type="dxa"/>
            <w:shd w:val="clear" w:color="auto" w:fill="auto"/>
            <w:vAlign w:val="center"/>
          </w:tcPr>
          <w:p w14:paraId="75E718DC" w14:textId="5339EA01" w:rsidR="00583AC8" w:rsidRDefault="00583AC8" w:rsidP="000B4A9D">
            <w:pPr>
              <w:widowControl w:val="0"/>
              <w:jc w:val="center"/>
              <w:rPr>
                <w:rFonts w:ascii="Source Sans Pro" w:hAnsi="Source Sans Pro" w:cs="Arial"/>
                <w:sz w:val="16"/>
                <w:szCs w:val="16"/>
              </w:rPr>
            </w:pPr>
            <w:r>
              <w:rPr>
                <w:rFonts w:ascii="Source Sans Pro" w:hAnsi="Source Sans Pro"/>
                <w:sz w:val="16"/>
                <w:szCs w:val="16"/>
              </w:rPr>
              <w:t>Free State of Bavaria</w:t>
            </w:r>
          </w:p>
        </w:tc>
        <w:tc>
          <w:tcPr>
            <w:tcW w:w="1185" w:type="dxa"/>
            <w:shd w:val="clear" w:color="auto" w:fill="auto"/>
            <w:vAlign w:val="center"/>
          </w:tcPr>
          <w:p w14:paraId="3DB19CDE" w14:textId="78736722" w:rsidR="00583AC8" w:rsidRDefault="00583AC8" w:rsidP="000B4A9D">
            <w:pPr>
              <w:widowControl w:val="0"/>
              <w:jc w:val="center"/>
              <w:rPr>
                <w:rFonts w:ascii="Source Sans Pro" w:hAnsi="Source Sans Pro" w:cs="Arial"/>
                <w:sz w:val="16"/>
                <w:szCs w:val="16"/>
              </w:rPr>
            </w:pPr>
            <w:r>
              <w:rPr>
                <w:rFonts w:ascii="Source Sans Pro" w:hAnsi="Source Sans Pro"/>
                <w:sz w:val="16"/>
                <w:szCs w:val="16"/>
              </w:rPr>
              <w:t>251</w:t>
            </w:r>
          </w:p>
        </w:tc>
      </w:tr>
      <w:tr w:rsidR="000B4A9D" w:rsidRPr="00161817" w14:paraId="5809275A" w14:textId="77777777" w:rsidTr="005B7203">
        <w:trPr>
          <w:trHeight w:val="552"/>
        </w:trPr>
        <w:tc>
          <w:tcPr>
            <w:tcW w:w="687" w:type="dxa"/>
            <w:shd w:val="clear" w:color="auto" w:fill="auto"/>
            <w:vAlign w:val="center"/>
          </w:tcPr>
          <w:p w14:paraId="7CE0EC77" w14:textId="3EA7ED97" w:rsidR="000B4A9D" w:rsidRDefault="000B4A9D" w:rsidP="000B4A9D">
            <w:pPr>
              <w:widowControl w:val="0"/>
              <w:jc w:val="center"/>
              <w:rPr>
                <w:rFonts w:ascii="Source Sans Pro" w:hAnsi="Source Sans Pro" w:cs="Arial"/>
                <w:sz w:val="16"/>
                <w:szCs w:val="16"/>
              </w:rPr>
            </w:pPr>
            <w:r>
              <w:rPr>
                <w:rFonts w:ascii="Source Sans Pro" w:hAnsi="Source Sans Pro"/>
                <w:sz w:val="16"/>
                <w:szCs w:val="16"/>
              </w:rPr>
              <w:t>DUS</w:t>
            </w:r>
          </w:p>
        </w:tc>
        <w:tc>
          <w:tcPr>
            <w:tcW w:w="2682" w:type="dxa"/>
            <w:shd w:val="clear" w:color="auto" w:fill="auto"/>
            <w:vAlign w:val="center"/>
          </w:tcPr>
          <w:p w14:paraId="5BDC97A7" w14:textId="42264D32" w:rsidR="000B4A9D" w:rsidRDefault="000B4A9D" w:rsidP="000B4A9D">
            <w:pPr>
              <w:widowControl w:val="0"/>
              <w:jc w:val="center"/>
              <w:rPr>
                <w:rFonts w:ascii="Source Sans Pro" w:hAnsi="Source Sans Pro" w:cs="Arial"/>
                <w:sz w:val="16"/>
                <w:szCs w:val="16"/>
              </w:rPr>
            </w:pPr>
            <w:r>
              <w:rPr>
                <w:rFonts w:ascii="Source Sans Pro" w:hAnsi="Source Sans Pro"/>
                <w:sz w:val="16"/>
                <w:szCs w:val="16"/>
              </w:rPr>
              <w:t>“Böhler-Areal”, Hansaallee 321</w:t>
            </w:r>
          </w:p>
        </w:tc>
        <w:tc>
          <w:tcPr>
            <w:tcW w:w="2658" w:type="dxa"/>
            <w:shd w:val="clear" w:color="auto" w:fill="auto"/>
            <w:vAlign w:val="center"/>
          </w:tcPr>
          <w:p w14:paraId="38B2B66A" w14:textId="526C5A12" w:rsidR="000B4A9D" w:rsidRDefault="000B4A9D" w:rsidP="000B4A9D">
            <w:pPr>
              <w:widowControl w:val="0"/>
              <w:jc w:val="center"/>
              <w:rPr>
                <w:rFonts w:ascii="Source Sans Pro" w:hAnsi="Source Sans Pro" w:cs="Arial"/>
                <w:sz w:val="16"/>
                <w:szCs w:val="16"/>
              </w:rPr>
            </w:pPr>
            <w:r>
              <w:rPr>
                <w:rFonts w:ascii="Source Sans Pro" w:hAnsi="Source Sans Pro"/>
                <w:sz w:val="16"/>
                <w:szCs w:val="16"/>
              </w:rPr>
              <w:t>Jamestown</w:t>
            </w:r>
          </w:p>
        </w:tc>
        <w:tc>
          <w:tcPr>
            <w:tcW w:w="2019" w:type="dxa"/>
            <w:shd w:val="clear" w:color="auto" w:fill="auto"/>
            <w:vAlign w:val="center"/>
          </w:tcPr>
          <w:p w14:paraId="3B0CC4B1" w14:textId="21C83564" w:rsidR="000B4A9D" w:rsidRDefault="000B4A9D" w:rsidP="000B4A9D">
            <w:pPr>
              <w:widowControl w:val="0"/>
              <w:jc w:val="center"/>
              <w:rPr>
                <w:rFonts w:ascii="Source Sans Pro" w:hAnsi="Source Sans Pro" w:cs="Arial"/>
                <w:sz w:val="16"/>
                <w:szCs w:val="16"/>
              </w:rPr>
            </w:pPr>
            <w:r>
              <w:rPr>
                <w:rFonts w:ascii="Source Sans Pro" w:hAnsi="Source Sans Pro"/>
                <w:sz w:val="16"/>
                <w:szCs w:val="16"/>
              </w:rPr>
              <w:t>voestalpine</w:t>
            </w:r>
          </w:p>
        </w:tc>
        <w:tc>
          <w:tcPr>
            <w:tcW w:w="1185" w:type="dxa"/>
            <w:shd w:val="clear" w:color="auto" w:fill="auto"/>
            <w:vAlign w:val="center"/>
          </w:tcPr>
          <w:p w14:paraId="73E29F60" w14:textId="59FFA329" w:rsidR="000B4A9D" w:rsidRDefault="000B4A9D" w:rsidP="000B4A9D">
            <w:pPr>
              <w:widowControl w:val="0"/>
              <w:jc w:val="center"/>
              <w:rPr>
                <w:rFonts w:ascii="Source Sans Pro" w:hAnsi="Source Sans Pro" w:cs="Arial"/>
                <w:sz w:val="16"/>
                <w:szCs w:val="16"/>
              </w:rPr>
            </w:pPr>
            <w:r>
              <w:rPr>
                <w:rFonts w:ascii="Source Sans Pro" w:hAnsi="Source Sans Pro"/>
                <w:sz w:val="16"/>
                <w:szCs w:val="16"/>
              </w:rPr>
              <w:t>156</w:t>
            </w:r>
          </w:p>
        </w:tc>
      </w:tr>
      <w:tr w:rsidR="00583AC8" w:rsidRPr="00161817" w14:paraId="315A32FE" w14:textId="77777777" w:rsidTr="005B7203">
        <w:trPr>
          <w:trHeight w:val="552"/>
        </w:trPr>
        <w:tc>
          <w:tcPr>
            <w:tcW w:w="687" w:type="dxa"/>
            <w:shd w:val="clear" w:color="auto" w:fill="auto"/>
            <w:vAlign w:val="center"/>
          </w:tcPr>
          <w:p w14:paraId="30481B64" w14:textId="79201F02" w:rsidR="00583AC8" w:rsidRDefault="00583AC8" w:rsidP="000B4A9D">
            <w:pPr>
              <w:widowControl w:val="0"/>
              <w:jc w:val="center"/>
              <w:rPr>
                <w:rFonts w:ascii="Source Sans Pro" w:hAnsi="Source Sans Pro" w:cs="Arial"/>
                <w:sz w:val="16"/>
                <w:szCs w:val="16"/>
              </w:rPr>
            </w:pPr>
            <w:r>
              <w:rPr>
                <w:rFonts w:ascii="Source Sans Pro" w:hAnsi="Source Sans Pro"/>
                <w:sz w:val="16"/>
                <w:szCs w:val="16"/>
              </w:rPr>
              <w:t>MUC</w:t>
            </w:r>
          </w:p>
        </w:tc>
        <w:tc>
          <w:tcPr>
            <w:tcW w:w="2682" w:type="dxa"/>
            <w:shd w:val="clear" w:color="auto" w:fill="auto"/>
            <w:vAlign w:val="center"/>
          </w:tcPr>
          <w:p w14:paraId="594FA910" w14:textId="6D40807B" w:rsidR="00583AC8" w:rsidRPr="005B7203" w:rsidRDefault="00583AC8" w:rsidP="000B4A9D">
            <w:pPr>
              <w:widowControl w:val="0"/>
              <w:jc w:val="center"/>
              <w:rPr>
                <w:rFonts w:ascii="Source Sans Pro" w:hAnsi="Source Sans Pro" w:cs="Arial"/>
                <w:sz w:val="16"/>
                <w:szCs w:val="16"/>
                <w:lang w:val="de-DE"/>
              </w:rPr>
            </w:pPr>
            <w:r w:rsidRPr="005B7203">
              <w:rPr>
                <w:rFonts w:ascii="Source Sans Pro" w:hAnsi="Source Sans Pro"/>
                <w:sz w:val="16"/>
                <w:szCs w:val="16"/>
                <w:lang w:val="de-DE"/>
              </w:rPr>
              <w:t>VINZENT (new HQ of KUVB), Rupprechtstrasse 22-24</w:t>
            </w:r>
          </w:p>
        </w:tc>
        <w:tc>
          <w:tcPr>
            <w:tcW w:w="2658" w:type="dxa"/>
            <w:shd w:val="clear" w:color="auto" w:fill="auto"/>
            <w:vAlign w:val="center"/>
          </w:tcPr>
          <w:p w14:paraId="6015AD91" w14:textId="04B3BF08" w:rsidR="00583AC8" w:rsidRDefault="00583AC8" w:rsidP="000B4A9D">
            <w:pPr>
              <w:widowControl w:val="0"/>
              <w:jc w:val="center"/>
              <w:rPr>
                <w:rFonts w:ascii="Source Sans Pro" w:hAnsi="Source Sans Pro" w:cs="Arial"/>
                <w:sz w:val="16"/>
                <w:szCs w:val="16"/>
              </w:rPr>
            </w:pPr>
            <w:r>
              <w:rPr>
                <w:rFonts w:ascii="Source Sans Pro" w:hAnsi="Source Sans Pro"/>
                <w:sz w:val="16"/>
                <w:szCs w:val="16"/>
              </w:rPr>
              <w:t>Kommunale Unfallversicherung Bayern KUVB (Bavarian state insurance for occupational safety &amp; health)</w:t>
            </w:r>
          </w:p>
        </w:tc>
        <w:tc>
          <w:tcPr>
            <w:tcW w:w="2019" w:type="dxa"/>
            <w:shd w:val="clear" w:color="auto" w:fill="auto"/>
            <w:vAlign w:val="center"/>
          </w:tcPr>
          <w:p w14:paraId="3AB07CF3" w14:textId="01BF9E07" w:rsidR="00583AC8" w:rsidRDefault="00583AC8" w:rsidP="000B4A9D">
            <w:pPr>
              <w:widowControl w:val="0"/>
              <w:jc w:val="center"/>
              <w:rPr>
                <w:rFonts w:ascii="Source Sans Pro" w:hAnsi="Source Sans Pro" w:cs="Arial"/>
                <w:sz w:val="16"/>
                <w:szCs w:val="16"/>
              </w:rPr>
            </w:pPr>
            <w:r>
              <w:rPr>
                <w:rFonts w:ascii="Source Sans Pro" w:hAnsi="Source Sans Pro"/>
                <w:sz w:val="16"/>
                <w:szCs w:val="16"/>
              </w:rPr>
              <w:t>Bauwerk Capital</w:t>
            </w:r>
          </w:p>
        </w:tc>
        <w:tc>
          <w:tcPr>
            <w:tcW w:w="1185" w:type="dxa"/>
            <w:shd w:val="clear" w:color="auto" w:fill="auto"/>
            <w:vAlign w:val="center"/>
          </w:tcPr>
          <w:p w14:paraId="1FB657FC" w14:textId="1D1FE0DA" w:rsidR="00583AC8" w:rsidRDefault="00583AC8" w:rsidP="000B4A9D">
            <w:pPr>
              <w:widowControl w:val="0"/>
              <w:jc w:val="center"/>
              <w:rPr>
                <w:rFonts w:ascii="Source Sans Pro" w:hAnsi="Source Sans Pro" w:cs="Arial"/>
                <w:sz w:val="16"/>
                <w:szCs w:val="16"/>
              </w:rPr>
            </w:pPr>
            <w:r>
              <w:rPr>
                <w:rFonts w:ascii="Source Sans Pro" w:hAnsi="Source Sans Pro"/>
                <w:sz w:val="16"/>
                <w:szCs w:val="16"/>
              </w:rPr>
              <w:t>110</w:t>
            </w:r>
          </w:p>
        </w:tc>
      </w:tr>
      <w:tr w:rsidR="000B4A9D" w:rsidRPr="00161817" w14:paraId="27C03D98" w14:textId="77777777" w:rsidTr="005B7203">
        <w:trPr>
          <w:trHeight w:val="552"/>
        </w:trPr>
        <w:tc>
          <w:tcPr>
            <w:tcW w:w="687" w:type="dxa"/>
            <w:shd w:val="clear" w:color="auto" w:fill="auto"/>
            <w:vAlign w:val="center"/>
          </w:tcPr>
          <w:p w14:paraId="70E96E9C" w14:textId="787E4129" w:rsidR="000B4A9D" w:rsidRDefault="000B4A9D" w:rsidP="000B4A9D">
            <w:pPr>
              <w:widowControl w:val="0"/>
              <w:jc w:val="center"/>
              <w:rPr>
                <w:rFonts w:ascii="Source Sans Pro" w:hAnsi="Source Sans Pro" w:cs="Arial"/>
                <w:sz w:val="16"/>
                <w:szCs w:val="16"/>
              </w:rPr>
            </w:pPr>
            <w:r>
              <w:rPr>
                <w:rFonts w:ascii="Source Sans Pro" w:hAnsi="Source Sans Pro"/>
                <w:sz w:val="16"/>
                <w:szCs w:val="16"/>
              </w:rPr>
              <w:t>STU</w:t>
            </w:r>
          </w:p>
        </w:tc>
        <w:tc>
          <w:tcPr>
            <w:tcW w:w="2682" w:type="dxa"/>
            <w:shd w:val="clear" w:color="auto" w:fill="auto"/>
            <w:vAlign w:val="center"/>
          </w:tcPr>
          <w:p w14:paraId="464553CD" w14:textId="247A8506" w:rsidR="000B4A9D" w:rsidRDefault="000B4A9D" w:rsidP="000B4A9D">
            <w:pPr>
              <w:widowControl w:val="0"/>
              <w:jc w:val="center"/>
              <w:rPr>
                <w:rFonts w:ascii="Source Sans Pro" w:hAnsi="Source Sans Pro" w:cs="Arial"/>
                <w:sz w:val="16"/>
                <w:szCs w:val="16"/>
              </w:rPr>
            </w:pPr>
            <w:r>
              <w:rPr>
                <w:rFonts w:ascii="Source Sans Pro" w:hAnsi="Source Sans Pro"/>
                <w:sz w:val="16"/>
                <w:szCs w:val="16"/>
              </w:rPr>
              <w:t>Eberhardstrasse 28/Steinstrasse 4</w:t>
            </w:r>
          </w:p>
        </w:tc>
        <w:tc>
          <w:tcPr>
            <w:tcW w:w="2658" w:type="dxa"/>
            <w:shd w:val="clear" w:color="auto" w:fill="auto"/>
            <w:vAlign w:val="center"/>
          </w:tcPr>
          <w:p w14:paraId="6CACC67F" w14:textId="1C95F002" w:rsidR="000B4A9D" w:rsidRDefault="000B4A9D" w:rsidP="000B4A9D">
            <w:pPr>
              <w:widowControl w:val="0"/>
              <w:jc w:val="center"/>
              <w:rPr>
                <w:rFonts w:ascii="Source Sans Pro" w:hAnsi="Source Sans Pro" w:cs="Arial"/>
                <w:sz w:val="16"/>
                <w:szCs w:val="16"/>
              </w:rPr>
            </w:pPr>
            <w:r>
              <w:rPr>
                <w:rFonts w:ascii="Source Sans Pro" w:hAnsi="Source Sans Pro"/>
                <w:sz w:val="16"/>
                <w:szCs w:val="16"/>
              </w:rPr>
              <w:t>City of Stuttgart</w:t>
            </w:r>
          </w:p>
        </w:tc>
        <w:tc>
          <w:tcPr>
            <w:tcW w:w="2019" w:type="dxa"/>
            <w:shd w:val="clear" w:color="auto" w:fill="auto"/>
            <w:vAlign w:val="center"/>
          </w:tcPr>
          <w:p w14:paraId="3B47ECF9" w14:textId="24EA217C" w:rsidR="000B4A9D" w:rsidRDefault="000B4A9D" w:rsidP="000B4A9D">
            <w:pPr>
              <w:widowControl w:val="0"/>
              <w:jc w:val="center"/>
              <w:rPr>
                <w:rFonts w:ascii="Source Sans Pro" w:hAnsi="Source Sans Pro" w:cs="Arial"/>
                <w:sz w:val="16"/>
                <w:szCs w:val="16"/>
              </w:rPr>
            </w:pPr>
            <w:r>
              <w:rPr>
                <w:rFonts w:ascii="Source Sans Pro" w:hAnsi="Source Sans Pro"/>
                <w:sz w:val="16"/>
                <w:szCs w:val="16"/>
              </w:rPr>
              <w:t>Signa Holding GmbH</w:t>
            </w:r>
          </w:p>
        </w:tc>
        <w:tc>
          <w:tcPr>
            <w:tcW w:w="1185" w:type="dxa"/>
            <w:shd w:val="clear" w:color="auto" w:fill="auto"/>
            <w:vAlign w:val="center"/>
          </w:tcPr>
          <w:p w14:paraId="515AE998" w14:textId="4ABC2147" w:rsidR="000B4A9D" w:rsidRDefault="000B4A9D" w:rsidP="000B4A9D">
            <w:pPr>
              <w:widowControl w:val="0"/>
              <w:jc w:val="center"/>
              <w:rPr>
                <w:rFonts w:ascii="Source Sans Pro" w:hAnsi="Source Sans Pro" w:cs="Arial"/>
                <w:sz w:val="16"/>
                <w:szCs w:val="16"/>
              </w:rPr>
            </w:pPr>
            <w:r>
              <w:rPr>
                <w:rFonts w:ascii="Source Sans Pro" w:hAnsi="Source Sans Pro"/>
                <w:sz w:val="16"/>
                <w:szCs w:val="16"/>
              </w:rPr>
              <w:t>&gt; 58</w:t>
            </w:r>
          </w:p>
        </w:tc>
      </w:tr>
      <w:tr w:rsidR="000B4A9D" w:rsidRPr="00161817" w14:paraId="2C85CA06" w14:textId="77777777" w:rsidTr="005B7203">
        <w:trPr>
          <w:trHeight w:val="552"/>
        </w:trPr>
        <w:tc>
          <w:tcPr>
            <w:tcW w:w="687" w:type="dxa"/>
            <w:shd w:val="clear" w:color="auto" w:fill="auto"/>
            <w:vAlign w:val="center"/>
          </w:tcPr>
          <w:p w14:paraId="1A17CAC7" w14:textId="170918F8" w:rsidR="000B4A9D" w:rsidRDefault="000B4A9D" w:rsidP="000B4A9D">
            <w:pPr>
              <w:widowControl w:val="0"/>
              <w:jc w:val="center"/>
              <w:rPr>
                <w:rFonts w:ascii="Source Sans Pro" w:hAnsi="Source Sans Pro" w:cs="Arial"/>
                <w:sz w:val="16"/>
                <w:szCs w:val="16"/>
              </w:rPr>
            </w:pPr>
            <w:r>
              <w:rPr>
                <w:rFonts w:ascii="Source Sans Pro" w:hAnsi="Source Sans Pro"/>
                <w:sz w:val="16"/>
                <w:szCs w:val="16"/>
              </w:rPr>
              <w:lastRenderedPageBreak/>
              <w:t>HAM</w:t>
            </w:r>
          </w:p>
        </w:tc>
        <w:tc>
          <w:tcPr>
            <w:tcW w:w="2682" w:type="dxa"/>
            <w:shd w:val="clear" w:color="auto" w:fill="auto"/>
            <w:vAlign w:val="center"/>
          </w:tcPr>
          <w:p w14:paraId="1DCAF136" w14:textId="74ACABB3" w:rsidR="000B4A9D" w:rsidRDefault="000B4A9D" w:rsidP="000B4A9D">
            <w:pPr>
              <w:widowControl w:val="0"/>
              <w:jc w:val="center"/>
              <w:rPr>
                <w:rFonts w:ascii="Source Sans Pro" w:hAnsi="Source Sans Pro" w:cs="Arial"/>
                <w:sz w:val="16"/>
                <w:szCs w:val="16"/>
              </w:rPr>
            </w:pPr>
            <w:r>
              <w:rPr>
                <w:rFonts w:ascii="Source Sans Pro" w:hAnsi="Source Sans Pro"/>
                <w:sz w:val="16"/>
                <w:szCs w:val="16"/>
              </w:rPr>
              <w:t>“Phoenix Center” Hannoversche Strasse 66 (25%),</w:t>
            </w:r>
            <w:r>
              <w:rPr>
                <w:rFonts w:ascii="Source Sans Pro" w:hAnsi="Source Sans Pro"/>
                <w:sz w:val="16"/>
                <w:szCs w:val="16"/>
              </w:rPr>
              <w:br/>
            </w:r>
          </w:p>
        </w:tc>
        <w:tc>
          <w:tcPr>
            <w:tcW w:w="2658" w:type="dxa"/>
            <w:shd w:val="clear" w:color="auto" w:fill="auto"/>
            <w:vAlign w:val="center"/>
          </w:tcPr>
          <w:p w14:paraId="0D9471F2" w14:textId="55EC4408" w:rsidR="000B4A9D" w:rsidRDefault="000B4A9D" w:rsidP="000B4A9D">
            <w:pPr>
              <w:widowControl w:val="0"/>
              <w:jc w:val="center"/>
              <w:rPr>
                <w:rFonts w:ascii="Source Sans Pro" w:hAnsi="Source Sans Pro" w:cs="Arial"/>
                <w:sz w:val="16"/>
                <w:szCs w:val="16"/>
              </w:rPr>
            </w:pPr>
            <w:r>
              <w:rPr>
                <w:rFonts w:ascii="Source Sans Pro" w:hAnsi="Source Sans Pro"/>
                <w:sz w:val="16"/>
                <w:szCs w:val="16"/>
              </w:rPr>
              <w:t>Deutsche EuroShop AG</w:t>
            </w:r>
          </w:p>
        </w:tc>
        <w:tc>
          <w:tcPr>
            <w:tcW w:w="2019" w:type="dxa"/>
            <w:shd w:val="clear" w:color="auto" w:fill="auto"/>
            <w:vAlign w:val="center"/>
          </w:tcPr>
          <w:p w14:paraId="12E415C7" w14:textId="7F1C1325" w:rsidR="000B4A9D" w:rsidRDefault="000B4A9D" w:rsidP="000B4A9D">
            <w:pPr>
              <w:widowControl w:val="0"/>
              <w:jc w:val="center"/>
              <w:rPr>
                <w:rFonts w:ascii="Source Sans Pro" w:hAnsi="Source Sans Pro" w:cs="Arial"/>
                <w:sz w:val="16"/>
                <w:szCs w:val="16"/>
              </w:rPr>
            </w:pPr>
            <w:r>
              <w:rPr>
                <w:rFonts w:ascii="Source Sans Pro" w:hAnsi="Source Sans Pro"/>
                <w:sz w:val="16"/>
                <w:szCs w:val="16"/>
              </w:rPr>
              <w:t>Otto Group</w:t>
            </w:r>
          </w:p>
        </w:tc>
        <w:tc>
          <w:tcPr>
            <w:tcW w:w="1185" w:type="dxa"/>
            <w:shd w:val="clear" w:color="auto" w:fill="auto"/>
            <w:vAlign w:val="center"/>
          </w:tcPr>
          <w:p w14:paraId="532423FF" w14:textId="1B16AD14" w:rsidR="000B4A9D" w:rsidRDefault="000B4A9D" w:rsidP="000B4A9D">
            <w:pPr>
              <w:widowControl w:val="0"/>
              <w:jc w:val="center"/>
              <w:rPr>
                <w:rFonts w:ascii="Source Sans Pro" w:hAnsi="Source Sans Pro" w:cs="Arial"/>
                <w:sz w:val="16"/>
                <w:szCs w:val="16"/>
              </w:rPr>
            </w:pPr>
            <w:r>
              <w:rPr>
                <w:rFonts w:ascii="Source Sans Pro" w:hAnsi="Source Sans Pro"/>
                <w:sz w:val="16"/>
                <w:szCs w:val="16"/>
              </w:rPr>
              <w:t>&gt; 29</w:t>
            </w:r>
          </w:p>
        </w:tc>
      </w:tr>
      <w:tr w:rsidR="000B4A9D" w:rsidRPr="00161817" w14:paraId="4962DD99" w14:textId="77777777" w:rsidTr="005B7203">
        <w:trPr>
          <w:trHeight w:val="140"/>
        </w:trPr>
        <w:tc>
          <w:tcPr>
            <w:tcW w:w="687" w:type="dxa"/>
            <w:shd w:val="clear" w:color="auto" w:fill="AEAAAA" w:themeFill="background2" w:themeFillShade="BF"/>
            <w:vAlign w:val="center"/>
          </w:tcPr>
          <w:p w14:paraId="75742589" w14:textId="77777777" w:rsidR="000B4A9D" w:rsidRDefault="000B4A9D" w:rsidP="000B4A9D">
            <w:pPr>
              <w:widowControl w:val="0"/>
              <w:jc w:val="center"/>
              <w:rPr>
                <w:rFonts w:ascii="Source Sans Pro" w:hAnsi="Source Sans Pro" w:cs="Arial"/>
                <w:sz w:val="16"/>
                <w:szCs w:val="16"/>
              </w:rPr>
            </w:pPr>
          </w:p>
        </w:tc>
        <w:tc>
          <w:tcPr>
            <w:tcW w:w="2682" w:type="dxa"/>
            <w:shd w:val="clear" w:color="auto" w:fill="AEAAAA" w:themeFill="background2" w:themeFillShade="BF"/>
            <w:vAlign w:val="center"/>
          </w:tcPr>
          <w:p w14:paraId="03D0F1B5" w14:textId="77777777" w:rsidR="000B4A9D" w:rsidRDefault="000B4A9D" w:rsidP="000B4A9D">
            <w:pPr>
              <w:widowControl w:val="0"/>
              <w:jc w:val="center"/>
              <w:rPr>
                <w:rFonts w:ascii="Source Sans Pro" w:hAnsi="Source Sans Pro" w:cs="Arial"/>
                <w:sz w:val="16"/>
                <w:szCs w:val="16"/>
              </w:rPr>
            </w:pPr>
          </w:p>
        </w:tc>
        <w:tc>
          <w:tcPr>
            <w:tcW w:w="2658" w:type="dxa"/>
            <w:shd w:val="clear" w:color="auto" w:fill="AEAAAA" w:themeFill="background2" w:themeFillShade="BF"/>
            <w:vAlign w:val="center"/>
          </w:tcPr>
          <w:p w14:paraId="01D566D4" w14:textId="77777777" w:rsidR="000B4A9D" w:rsidRPr="00392E9E" w:rsidRDefault="000B4A9D" w:rsidP="000B4A9D">
            <w:pPr>
              <w:widowControl w:val="0"/>
              <w:jc w:val="center"/>
              <w:rPr>
                <w:rFonts w:ascii="Source Sans Pro" w:hAnsi="Source Sans Pro" w:cs="Arial"/>
                <w:sz w:val="16"/>
                <w:szCs w:val="16"/>
              </w:rPr>
            </w:pPr>
          </w:p>
        </w:tc>
        <w:tc>
          <w:tcPr>
            <w:tcW w:w="2019" w:type="dxa"/>
            <w:shd w:val="clear" w:color="auto" w:fill="AEAAAA" w:themeFill="background2" w:themeFillShade="BF"/>
            <w:vAlign w:val="center"/>
          </w:tcPr>
          <w:p w14:paraId="72D67DB9" w14:textId="77777777" w:rsidR="000B4A9D" w:rsidRPr="00392E9E" w:rsidRDefault="000B4A9D" w:rsidP="000B4A9D">
            <w:pPr>
              <w:widowControl w:val="0"/>
              <w:jc w:val="center"/>
              <w:rPr>
                <w:rFonts w:ascii="Source Sans Pro" w:hAnsi="Source Sans Pro" w:cs="Arial"/>
                <w:sz w:val="16"/>
                <w:szCs w:val="16"/>
              </w:rPr>
            </w:pPr>
          </w:p>
        </w:tc>
        <w:tc>
          <w:tcPr>
            <w:tcW w:w="1185" w:type="dxa"/>
            <w:shd w:val="clear" w:color="auto" w:fill="AEAAAA" w:themeFill="background2" w:themeFillShade="BF"/>
            <w:vAlign w:val="center"/>
          </w:tcPr>
          <w:p w14:paraId="29A21095" w14:textId="77777777" w:rsidR="000B4A9D" w:rsidRDefault="000B4A9D" w:rsidP="000B4A9D">
            <w:pPr>
              <w:widowControl w:val="0"/>
              <w:jc w:val="center"/>
              <w:rPr>
                <w:rFonts w:ascii="Source Sans Pro" w:hAnsi="Source Sans Pro" w:cs="Arial"/>
                <w:sz w:val="16"/>
                <w:szCs w:val="16"/>
              </w:rPr>
            </w:pPr>
          </w:p>
        </w:tc>
      </w:tr>
      <w:tr w:rsidR="000B4A9D" w:rsidRPr="00161817" w14:paraId="5F44FAC1" w14:textId="77777777" w:rsidTr="005B7203">
        <w:trPr>
          <w:trHeight w:val="552"/>
        </w:trPr>
        <w:tc>
          <w:tcPr>
            <w:tcW w:w="687" w:type="dxa"/>
            <w:shd w:val="clear" w:color="auto" w:fill="auto"/>
            <w:vAlign w:val="center"/>
          </w:tcPr>
          <w:p w14:paraId="498977BA" w14:textId="1105717E" w:rsidR="000B4A9D" w:rsidRDefault="000B4A9D" w:rsidP="000B4A9D">
            <w:pPr>
              <w:widowControl w:val="0"/>
              <w:jc w:val="center"/>
              <w:rPr>
                <w:rFonts w:ascii="Source Sans Pro" w:hAnsi="Source Sans Pro" w:cs="Arial"/>
                <w:sz w:val="16"/>
                <w:szCs w:val="16"/>
              </w:rPr>
            </w:pPr>
            <w:r>
              <w:rPr>
                <w:rFonts w:ascii="Source Sans Pro" w:hAnsi="Source Sans Pro"/>
                <w:sz w:val="16"/>
                <w:szCs w:val="16"/>
              </w:rPr>
              <w:t>DUS</w:t>
            </w:r>
          </w:p>
        </w:tc>
        <w:tc>
          <w:tcPr>
            <w:tcW w:w="2682" w:type="dxa"/>
            <w:shd w:val="clear" w:color="auto" w:fill="auto"/>
            <w:vAlign w:val="center"/>
          </w:tcPr>
          <w:p w14:paraId="39C2F037" w14:textId="6C9546DB" w:rsidR="000B4A9D" w:rsidRDefault="000B4A9D" w:rsidP="000B4A9D">
            <w:pPr>
              <w:widowControl w:val="0"/>
              <w:jc w:val="center"/>
              <w:rPr>
                <w:rFonts w:ascii="Source Sans Pro" w:hAnsi="Source Sans Pro" w:cs="Arial"/>
                <w:sz w:val="16"/>
                <w:szCs w:val="16"/>
              </w:rPr>
            </w:pPr>
            <w:r>
              <w:rPr>
                <w:rFonts w:ascii="Source Sans Pro" w:hAnsi="Source Sans Pro"/>
                <w:sz w:val="16"/>
                <w:szCs w:val="16"/>
              </w:rPr>
              <w:t>“Maxfrei Offices”, Ulmenstrasse 91</w:t>
            </w:r>
          </w:p>
        </w:tc>
        <w:tc>
          <w:tcPr>
            <w:tcW w:w="2658" w:type="dxa"/>
            <w:shd w:val="clear" w:color="auto" w:fill="auto"/>
            <w:vAlign w:val="center"/>
          </w:tcPr>
          <w:p w14:paraId="06863910" w14:textId="4386B00C" w:rsidR="000B4A9D" w:rsidRPr="00392E9E" w:rsidRDefault="000B4A9D" w:rsidP="000B4A9D">
            <w:pPr>
              <w:widowControl w:val="0"/>
              <w:jc w:val="center"/>
              <w:rPr>
                <w:rFonts w:ascii="Source Sans Pro" w:hAnsi="Source Sans Pro" w:cs="Arial"/>
                <w:sz w:val="16"/>
                <w:szCs w:val="16"/>
              </w:rPr>
            </w:pPr>
            <w:r>
              <w:rPr>
                <w:rFonts w:ascii="Source Sans Pro" w:hAnsi="Source Sans Pro"/>
                <w:sz w:val="16"/>
                <w:szCs w:val="16"/>
              </w:rPr>
              <w:t>Barmenia</w:t>
            </w:r>
          </w:p>
        </w:tc>
        <w:tc>
          <w:tcPr>
            <w:tcW w:w="2019" w:type="dxa"/>
            <w:shd w:val="clear" w:color="auto" w:fill="auto"/>
            <w:vAlign w:val="center"/>
          </w:tcPr>
          <w:p w14:paraId="6647CE70" w14:textId="410E2EA8" w:rsidR="000B4A9D" w:rsidRPr="00392E9E" w:rsidRDefault="00405679" w:rsidP="000B4A9D">
            <w:pPr>
              <w:widowControl w:val="0"/>
              <w:jc w:val="center"/>
              <w:rPr>
                <w:rFonts w:ascii="Source Sans Pro" w:hAnsi="Source Sans Pro" w:cs="Arial"/>
                <w:sz w:val="16"/>
                <w:szCs w:val="16"/>
              </w:rPr>
            </w:pPr>
            <w:r>
              <w:rPr>
                <w:rFonts w:ascii="Source Sans Pro" w:hAnsi="Source Sans Pro"/>
                <w:sz w:val="16"/>
                <w:szCs w:val="16"/>
              </w:rPr>
              <w:t>HTTP / Interboden</w:t>
            </w:r>
          </w:p>
        </w:tc>
        <w:tc>
          <w:tcPr>
            <w:tcW w:w="1185" w:type="dxa"/>
            <w:shd w:val="clear" w:color="auto" w:fill="auto"/>
            <w:vAlign w:val="center"/>
          </w:tcPr>
          <w:p w14:paraId="6BC77E4B" w14:textId="105D9AC3" w:rsidR="000B4A9D" w:rsidRDefault="000B4A9D" w:rsidP="000B4A9D">
            <w:pPr>
              <w:widowControl w:val="0"/>
              <w:jc w:val="center"/>
              <w:rPr>
                <w:rFonts w:ascii="Source Sans Pro" w:hAnsi="Source Sans Pro" w:cs="Arial"/>
                <w:sz w:val="16"/>
                <w:szCs w:val="16"/>
              </w:rPr>
            </w:pPr>
            <w:r>
              <w:rPr>
                <w:rFonts w:ascii="Source Sans Pro" w:hAnsi="Source Sans Pro"/>
                <w:sz w:val="16"/>
                <w:szCs w:val="16"/>
              </w:rPr>
              <w:t>confidential</w:t>
            </w:r>
          </w:p>
        </w:tc>
      </w:tr>
      <w:tr w:rsidR="000B4A9D" w:rsidRPr="00161817" w14:paraId="72F51164" w14:textId="77777777" w:rsidTr="005B7203">
        <w:trPr>
          <w:trHeight w:val="552"/>
        </w:trPr>
        <w:tc>
          <w:tcPr>
            <w:tcW w:w="687" w:type="dxa"/>
            <w:shd w:val="clear" w:color="auto" w:fill="auto"/>
            <w:vAlign w:val="center"/>
          </w:tcPr>
          <w:p w14:paraId="6E275A54" w14:textId="794EF4CD" w:rsidR="000B4A9D" w:rsidRDefault="000B4A9D" w:rsidP="000B4A9D">
            <w:pPr>
              <w:widowControl w:val="0"/>
              <w:jc w:val="center"/>
              <w:rPr>
                <w:rFonts w:ascii="Source Sans Pro" w:hAnsi="Source Sans Pro" w:cs="Arial"/>
                <w:sz w:val="16"/>
                <w:szCs w:val="16"/>
              </w:rPr>
            </w:pPr>
            <w:r>
              <w:rPr>
                <w:rFonts w:ascii="Source Sans Pro" w:hAnsi="Source Sans Pro"/>
                <w:sz w:val="16"/>
                <w:szCs w:val="16"/>
              </w:rPr>
              <w:t>BER</w:t>
            </w:r>
          </w:p>
        </w:tc>
        <w:tc>
          <w:tcPr>
            <w:tcW w:w="2682" w:type="dxa"/>
            <w:shd w:val="clear" w:color="auto" w:fill="auto"/>
            <w:vAlign w:val="center"/>
          </w:tcPr>
          <w:p w14:paraId="76C13D07" w14:textId="4250A9C1" w:rsidR="000B4A9D" w:rsidRPr="00632159" w:rsidRDefault="000B4A9D" w:rsidP="000B4A9D">
            <w:pPr>
              <w:widowControl w:val="0"/>
              <w:jc w:val="center"/>
              <w:rPr>
                <w:rFonts w:ascii="Source Sans Pro" w:hAnsi="Source Sans Pro" w:cs="Arial"/>
                <w:sz w:val="16"/>
                <w:szCs w:val="16"/>
              </w:rPr>
            </w:pPr>
            <w:r>
              <w:rPr>
                <w:rFonts w:ascii="Source Sans Pro" w:hAnsi="Source Sans Pro"/>
                <w:sz w:val="16"/>
                <w:szCs w:val="16"/>
              </w:rPr>
              <w:t>Tauentzienstrasse 21-24</w:t>
            </w:r>
          </w:p>
        </w:tc>
        <w:tc>
          <w:tcPr>
            <w:tcW w:w="2658" w:type="dxa"/>
            <w:shd w:val="clear" w:color="auto" w:fill="auto"/>
            <w:vAlign w:val="center"/>
          </w:tcPr>
          <w:p w14:paraId="6E4F20C3" w14:textId="6F307FAE" w:rsidR="000B4A9D" w:rsidRPr="00462200" w:rsidRDefault="000B4A9D" w:rsidP="000B4A9D">
            <w:pPr>
              <w:widowControl w:val="0"/>
              <w:jc w:val="center"/>
              <w:rPr>
                <w:rFonts w:ascii="Source Sans Pro" w:hAnsi="Source Sans Pro" w:cs="Arial"/>
                <w:sz w:val="16"/>
                <w:szCs w:val="16"/>
              </w:rPr>
            </w:pPr>
            <w:r>
              <w:rPr>
                <w:rFonts w:ascii="Source Sans Pro" w:hAnsi="Source Sans Pro"/>
                <w:sz w:val="16"/>
                <w:szCs w:val="16"/>
              </w:rPr>
              <w:t>Harng Central Department Store</w:t>
            </w:r>
          </w:p>
        </w:tc>
        <w:tc>
          <w:tcPr>
            <w:tcW w:w="2019" w:type="dxa"/>
            <w:shd w:val="clear" w:color="auto" w:fill="auto"/>
            <w:vAlign w:val="center"/>
          </w:tcPr>
          <w:p w14:paraId="6CA8D658" w14:textId="67D57564" w:rsidR="000B4A9D" w:rsidRPr="00462200" w:rsidRDefault="000B4A9D" w:rsidP="000B4A9D">
            <w:pPr>
              <w:widowControl w:val="0"/>
              <w:jc w:val="center"/>
              <w:rPr>
                <w:rFonts w:ascii="Source Sans Pro" w:hAnsi="Source Sans Pro" w:cs="Arial"/>
                <w:sz w:val="16"/>
                <w:szCs w:val="16"/>
              </w:rPr>
            </w:pPr>
            <w:r>
              <w:rPr>
                <w:rFonts w:ascii="Source Sans Pro" w:hAnsi="Source Sans Pro"/>
                <w:sz w:val="16"/>
                <w:szCs w:val="16"/>
              </w:rPr>
              <w:t>Signa Prime Selection AG</w:t>
            </w:r>
          </w:p>
        </w:tc>
        <w:tc>
          <w:tcPr>
            <w:tcW w:w="1185" w:type="dxa"/>
            <w:shd w:val="clear" w:color="auto" w:fill="auto"/>
            <w:vAlign w:val="center"/>
          </w:tcPr>
          <w:p w14:paraId="2433D167" w14:textId="7206E368" w:rsidR="000B4A9D" w:rsidRDefault="000B4A9D" w:rsidP="000B4A9D">
            <w:pPr>
              <w:widowControl w:val="0"/>
              <w:jc w:val="center"/>
              <w:rPr>
                <w:rFonts w:ascii="Source Sans Pro" w:hAnsi="Source Sans Pro" w:cs="Arial"/>
                <w:sz w:val="16"/>
                <w:szCs w:val="16"/>
              </w:rPr>
            </w:pPr>
            <w:r>
              <w:rPr>
                <w:rFonts w:ascii="Source Sans Pro" w:hAnsi="Source Sans Pro"/>
                <w:sz w:val="16"/>
                <w:szCs w:val="16"/>
              </w:rPr>
              <w:t>confidential</w:t>
            </w:r>
          </w:p>
        </w:tc>
      </w:tr>
      <w:tr w:rsidR="000B4A9D" w:rsidRPr="00161817" w14:paraId="0522854A" w14:textId="77777777" w:rsidTr="005B7203">
        <w:trPr>
          <w:trHeight w:val="552"/>
        </w:trPr>
        <w:tc>
          <w:tcPr>
            <w:tcW w:w="687" w:type="dxa"/>
            <w:shd w:val="clear" w:color="auto" w:fill="auto"/>
            <w:vAlign w:val="center"/>
          </w:tcPr>
          <w:p w14:paraId="4C3D97D4" w14:textId="7332FE8A" w:rsidR="000B4A9D" w:rsidRDefault="000B4A9D" w:rsidP="000B4A9D">
            <w:pPr>
              <w:widowControl w:val="0"/>
              <w:jc w:val="center"/>
              <w:rPr>
                <w:rFonts w:ascii="Source Sans Pro" w:hAnsi="Source Sans Pro" w:cs="Arial"/>
                <w:sz w:val="16"/>
                <w:szCs w:val="16"/>
              </w:rPr>
            </w:pPr>
            <w:r>
              <w:rPr>
                <w:rFonts w:ascii="Source Sans Pro" w:hAnsi="Source Sans Pro"/>
                <w:sz w:val="16"/>
                <w:szCs w:val="16"/>
              </w:rPr>
              <w:t>BER</w:t>
            </w:r>
          </w:p>
        </w:tc>
        <w:tc>
          <w:tcPr>
            <w:tcW w:w="2682" w:type="dxa"/>
            <w:shd w:val="clear" w:color="auto" w:fill="auto"/>
            <w:vAlign w:val="center"/>
          </w:tcPr>
          <w:p w14:paraId="71F66CD0" w14:textId="00C5BBC6" w:rsidR="000B4A9D" w:rsidRPr="009C2D11" w:rsidRDefault="000B4A9D" w:rsidP="000B4A9D">
            <w:pPr>
              <w:widowControl w:val="0"/>
              <w:jc w:val="center"/>
              <w:rPr>
                <w:rFonts w:ascii="Source Sans Pro" w:hAnsi="Source Sans Pro" w:cs="Arial"/>
                <w:sz w:val="16"/>
                <w:szCs w:val="16"/>
              </w:rPr>
            </w:pPr>
            <w:r>
              <w:rPr>
                <w:rFonts w:ascii="Source Sans Pro" w:hAnsi="Source Sans Pro"/>
                <w:sz w:val="16"/>
                <w:szCs w:val="16"/>
              </w:rPr>
              <w:t>Spichernstrasse 2-3</w:t>
            </w:r>
          </w:p>
        </w:tc>
        <w:tc>
          <w:tcPr>
            <w:tcW w:w="2658" w:type="dxa"/>
            <w:shd w:val="clear" w:color="auto" w:fill="auto"/>
            <w:vAlign w:val="center"/>
          </w:tcPr>
          <w:p w14:paraId="15B96EBC" w14:textId="6FC4ED4C" w:rsidR="000B4A9D" w:rsidRPr="00462200" w:rsidRDefault="000B4A9D" w:rsidP="000B4A9D">
            <w:pPr>
              <w:widowControl w:val="0"/>
              <w:jc w:val="center"/>
              <w:rPr>
                <w:rFonts w:ascii="Source Sans Pro" w:hAnsi="Source Sans Pro" w:cs="Arial"/>
                <w:sz w:val="16"/>
                <w:szCs w:val="16"/>
              </w:rPr>
            </w:pPr>
            <w:r>
              <w:rPr>
                <w:rFonts w:ascii="Source Sans Pro" w:hAnsi="Source Sans Pro"/>
                <w:sz w:val="16"/>
                <w:szCs w:val="16"/>
              </w:rPr>
              <w:t>Macquarie Office Trust</w:t>
            </w:r>
          </w:p>
        </w:tc>
        <w:tc>
          <w:tcPr>
            <w:tcW w:w="2019" w:type="dxa"/>
            <w:shd w:val="clear" w:color="auto" w:fill="auto"/>
            <w:vAlign w:val="center"/>
          </w:tcPr>
          <w:p w14:paraId="05D9EFDA" w14:textId="55528504" w:rsidR="000B4A9D" w:rsidRPr="00462200" w:rsidRDefault="000B4A9D" w:rsidP="000B4A9D">
            <w:pPr>
              <w:widowControl w:val="0"/>
              <w:jc w:val="center"/>
              <w:rPr>
                <w:rFonts w:ascii="Source Sans Pro" w:hAnsi="Source Sans Pro" w:cs="Arial"/>
                <w:sz w:val="16"/>
                <w:szCs w:val="16"/>
              </w:rPr>
            </w:pPr>
            <w:r>
              <w:rPr>
                <w:rFonts w:ascii="Source Sans Pro" w:hAnsi="Source Sans Pro"/>
                <w:sz w:val="16"/>
                <w:szCs w:val="16"/>
              </w:rPr>
              <w:t>Ardian Real Estate</w:t>
            </w:r>
          </w:p>
        </w:tc>
        <w:tc>
          <w:tcPr>
            <w:tcW w:w="1185" w:type="dxa"/>
            <w:shd w:val="clear" w:color="auto" w:fill="auto"/>
            <w:vAlign w:val="center"/>
          </w:tcPr>
          <w:p w14:paraId="14D33199" w14:textId="4E9ABC62" w:rsidR="000B4A9D" w:rsidRDefault="000B4A9D" w:rsidP="000B4A9D">
            <w:pPr>
              <w:widowControl w:val="0"/>
              <w:jc w:val="center"/>
              <w:rPr>
                <w:rFonts w:ascii="Source Sans Pro" w:hAnsi="Source Sans Pro" w:cs="Arial"/>
                <w:sz w:val="16"/>
                <w:szCs w:val="16"/>
              </w:rPr>
            </w:pPr>
            <w:r>
              <w:rPr>
                <w:rFonts w:ascii="Source Sans Pro" w:hAnsi="Source Sans Pro"/>
                <w:sz w:val="16"/>
                <w:szCs w:val="16"/>
              </w:rPr>
              <w:t>confidential</w:t>
            </w:r>
          </w:p>
        </w:tc>
      </w:tr>
      <w:tr w:rsidR="000B4A9D" w:rsidRPr="00161817" w14:paraId="3C8AFCAE" w14:textId="77777777" w:rsidTr="005B7203">
        <w:trPr>
          <w:trHeight w:val="552"/>
        </w:trPr>
        <w:tc>
          <w:tcPr>
            <w:tcW w:w="687" w:type="dxa"/>
            <w:shd w:val="clear" w:color="auto" w:fill="auto"/>
            <w:vAlign w:val="center"/>
          </w:tcPr>
          <w:p w14:paraId="7AD87A39" w14:textId="2BE31614" w:rsidR="000B4A9D" w:rsidRDefault="000B4A9D" w:rsidP="000B4A9D">
            <w:pPr>
              <w:widowControl w:val="0"/>
              <w:jc w:val="center"/>
              <w:rPr>
                <w:rFonts w:ascii="Source Sans Pro" w:hAnsi="Source Sans Pro" w:cs="Arial"/>
                <w:sz w:val="16"/>
                <w:szCs w:val="16"/>
              </w:rPr>
            </w:pPr>
            <w:r>
              <w:rPr>
                <w:rFonts w:ascii="Source Sans Pro" w:hAnsi="Source Sans Pro"/>
                <w:sz w:val="16"/>
                <w:szCs w:val="16"/>
              </w:rPr>
              <w:t>BER</w:t>
            </w:r>
          </w:p>
        </w:tc>
        <w:tc>
          <w:tcPr>
            <w:tcW w:w="2682" w:type="dxa"/>
            <w:shd w:val="clear" w:color="auto" w:fill="auto"/>
            <w:vAlign w:val="center"/>
          </w:tcPr>
          <w:p w14:paraId="5DD5D2DE" w14:textId="29977E3A" w:rsidR="000B4A9D" w:rsidRPr="00632159" w:rsidRDefault="000B4A9D" w:rsidP="000B4A9D">
            <w:pPr>
              <w:widowControl w:val="0"/>
              <w:jc w:val="center"/>
              <w:rPr>
                <w:rFonts w:ascii="Source Sans Pro" w:hAnsi="Source Sans Pro" w:cs="Arial"/>
                <w:sz w:val="16"/>
                <w:szCs w:val="16"/>
              </w:rPr>
            </w:pPr>
            <w:r>
              <w:rPr>
                <w:rFonts w:ascii="Source Sans Pro" w:hAnsi="Source Sans Pro"/>
                <w:sz w:val="16"/>
                <w:szCs w:val="16"/>
              </w:rPr>
              <w:t>Mariendorfer Damm 292-298</w:t>
            </w:r>
          </w:p>
        </w:tc>
        <w:tc>
          <w:tcPr>
            <w:tcW w:w="2658" w:type="dxa"/>
            <w:shd w:val="clear" w:color="auto" w:fill="auto"/>
            <w:vAlign w:val="center"/>
          </w:tcPr>
          <w:p w14:paraId="6F0779B8" w14:textId="5B025A19" w:rsidR="000B4A9D" w:rsidRPr="00462200" w:rsidRDefault="000B4A9D" w:rsidP="000B4A9D">
            <w:pPr>
              <w:widowControl w:val="0"/>
              <w:jc w:val="center"/>
              <w:rPr>
                <w:rFonts w:ascii="Source Sans Pro" w:hAnsi="Source Sans Pro" w:cs="Arial"/>
                <w:sz w:val="16"/>
                <w:szCs w:val="16"/>
              </w:rPr>
            </w:pPr>
            <w:r>
              <w:rPr>
                <w:rFonts w:ascii="Source Sans Pro" w:hAnsi="Source Sans Pro"/>
                <w:sz w:val="16"/>
                <w:szCs w:val="16"/>
              </w:rPr>
              <w:t>Redos Real Estate</w:t>
            </w:r>
          </w:p>
        </w:tc>
        <w:tc>
          <w:tcPr>
            <w:tcW w:w="2019" w:type="dxa"/>
            <w:shd w:val="clear" w:color="auto" w:fill="auto"/>
            <w:vAlign w:val="center"/>
          </w:tcPr>
          <w:p w14:paraId="0CD57757" w14:textId="239D9ACA" w:rsidR="000B4A9D" w:rsidRPr="00462200" w:rsidRDefault="000B4A9D" w:rsidP="000B4A9D">
            <w:pPr>
              <w:widowControl w:val="0"/>
              <w:jc w:val="center"/>
              <w:rPr>
                <w:rFonts w:ascii="Source Sans Pro" w:hAnsi="Source Sans Pro" w:cs="Arial"/>
                <w:sz w:val="16"/>
                <w:szCs w:val="16"/>
              </w:rPr>
            </w:pPr>
            <w:r>
              <w:rPr>
                <w:rFonts w:ascii="Source Sans Pro" w:hAnsi="Source Sans Pro"/>
                <w:sz w:val="16"/>
                <w:szCs w:val="16"/>
              </w:rPr>
              <w:t>HGHI Holding</w:t>
            </w:r>
          </w:p>
        </w:tc>
        <w:tc>
          <w:tcPr>
            <w:tcW w:w="1185" w:type="dxa"/>
            <w:shd w:val="clear" w:color="auto" w:fill="auto"/>
            <w:vAlign w:val="center"/>
          </w:tcPr>
          <w:p w14:paraId="745002DE" w14:textId="14729A13" w:rsidR="000B4A9D" w:rsidRDefault="000B4A9D" w:rsidP="000B4A9D">
            <w:pPr>
              <w:widowControl w:val="0"/>
              <w:jc w:val="center"/>
              <w:rPr>
                <w:rFonts w:ascii="Source Sans Pro" w:hAnsi="Source Sans Pro" w:cs="Arial"/>
                <w:sz w:val="16"/>
                <w:szCs w:val="16"/>
              </w:rPr>
            </w:pPr>
            <w:r>
              <w:rPr>
                <w:rFonts w:ascii="Source Sans Pro" w:hAnsi="Source Sans Pro"/>
                <w:sz w:val="16"/>
                <w:szCs w:val="16"/>
              </w:rPr>
              <w:t>confidential</w:t>
            </w:r>
          </w:p>
        </w:tc>
      </w:tr>
    </w:tbl>
    <w:p w14:paraId="26AE2616" w14:textId="52E4655F" w:rsidR="00604E20" w:rsidRPr="004F09D7" w:rsidRDefault="00161817" w:rsidP="00EF0944">
      <w:pPr>
        <w:widowControl w:val="0"/>
        <w:rPr>
          <w:rFonts w:ascii="Source Sans Pro" w:hAnsi="Source Sans Pro" w:cs="Arial"/>
          <w:sz w:val="16"/>
          <w:szCs w:val="16"/>
        </w:rPr>
      </w:pPr>
      <w:r>
        <w:rPr>
          <w:rFonts w:ascii="Source Sans Pro" w:hAnsi="Source Sans Pro"/>
          <w:sz w:val="16"/>
          <w:szCs w:val="16"/>
        </w:rPr>
        <w:t>Source: German Property Partners (GPP)</w:t>
      </w:r>
    </w:p>
    <w:p w14:paraId="42791304" w14:textId="446AF17B" w:rsidR="00161817" w:rsidRPr="00EF0944" w:rsidRDefault="00073A63" w:rsidP="00EF0944">
      <w:pPr>
        <w:widowControl w:val="0"/>
        <w:rPr>
          <w:rFonts w:ascii="Source Sans Pro" w:hAnsi="Source Sans Pro" w:cs="Arial"/>
          <w:sz w:val="16"/>
          <w:szCs w:val="16"/>
        </w:rPr>
      </w:pPr>
      <w:r>
        <w:rPr>
          <w:rFonts w:ascii="Source Sans Pro" w:hAnsi="Source Sans Pro"/>
          <w:b/>
          <w:sz w:val="20"/>
        </w:rPr>
        <w:br/>
        <w:t>Top 7 cities | 1st quarter of 2023</w:t>
      </w:r>
    </w:p>
    <w:tbl>
      <w:tblPr>
        <w:tblStyle w:val="TableGrid2"/>
        <w:tblW w:w="0" w:type="auto"/>
        <w:tblLook w:val="04A0" w:firstRow="1" w:lastRow="0" w:firstColumn="1" w:lastColumn="0" w:noHBand="0" w:noVBand="1"/>
      </w:tblPr>
      <w:tblGrid>
        <w:gridCol w:w="1779"/>
        <w:gridCol w:w="791"/>
        <w:gridCol w:w="777"/>
        <w:gridCol w:w="874"/>
        <w:gridCol w:w="1028"/>
        <w:gridCol w:w="889"/>
        <w:gridCol w:w="1499"/>
        <w:gridCol w:w="875"/>
        <w:gridCol w:w="770"/>
      </w:tblGrid>
      <w:tr w:rsidR="0052371C" w:rsidRPr="00161817" w14:paraId="22958352" w14:textId="77777777" w:rsidTr="009E6C40">
        <w:tc>
          <w:tcPr>
            <w:tcW w:w="1939" w:type="dxa"/>
          </w:tcPr>
          <w:p w14:paraId="39DB6921" w14:textId="77777777" w:rsidR="00161817" w:rsidRPr="00161817" w:rsidRDefault="00161817" w:rsidP="009E6C40">
            <w:pPr>
              <w:widowControl w:val="0"/>
              <w:jc w:val="both"/>
              <w:rPr>
                <w:rFonts w:ascii="Source Sans Pro" w:hAnsi="Source Sans Pro" w:cs="Arial"/>
                <w:b/>
                <w:sz w:val="16"/>
                <w:szCs w:val="16"/>
              </w:rPr>
            </w:pPr>
          </w:p>
        </w:tc>
        <w:tc>
          <w:tcPr>
            <w:tcW w:w="817" w:type="dxa"/>
          </w:tcPr>
          <w:p w14:paraId="315CE750" w14:textId="77777777" w:rsidR="00161817" w:rsidRPr="00161817" w:rsidRDefault="00161817" w:rsidP="009E6C40">
            <w:pPr>
              <w:widowControl w:val="0"/>
              <w:jc w:val="center"/>
              <w:rPr>
                <w:rFonts w:ascii="Source Sans Pro" w:hAnsi="Source Sans Pro" w:cs="Arial"/>
                <w:b/>
                <w:sz w:val="16"/>
                <w:szCs w:val="16"/>
              </w:rPr>
            </w:pPr>
            <w:r>
              <w:rPr>
                <w:rFonts w:ascii="Source Sans Pro" w:hAnsi="Source Sans Pro"/>
                <w:b/>
                <w:sz w:val="16"/>
                <w:szCs w:val="16"/>
              </w:rPr>
              <w:t>HAM</w:t>
            </w:r>
          </w:p>
        </w:tc>
        <w:tc>
          <w:tcPr>
            <w:tcW w:w="816" w:type="dxa"/>
          </w:tcPr>
          <w:p w14:paraId="5422B71C" w14:textId="77777777" w:rsidR="00161817" w:rsidRPr="00161817" w:rsidRDefault="00161817" w:rsidP="009E6C40">
            <w:pPr>
              <w:widowControl w:val="0"/>
              <w:jc w:val="center"/>
              <w:rPr>
                <w:rFonts w:ascii="Source Sans Pro" w:hAnsi="Source Sans Pro" w:cs="Arial"/>
                <w:b/>
                <w:sz w:val="16"/>
                <w:szCs w:val="16"/>
              </w:rPr>
            </w:pPr>
            <w:r>
              <w:rPr>
                <w:rFonts w:ascii="Source Sans Pro" w:hAnsi="Source Sans Pro"/>
                <w:b/>
                <w:sz w:val="16"/>
                <w:szCs w:val="16"/>
              </w:rPr>
              <w:t>BER</w:t>
            </w:r>
          </w:p>
        </w:tc>
        <w:tc>
          <w:tcPr>
            <w:tcW w:w="933" w:type="dxa"/>
          </w:tcPr>
          <w:p w14:paraId="52D79F36" w14:textId="77777777" w:rsidR="00161817" w:rsidRPr="00161817" w:rsidRDefault="00161817" w:rsidP="009E6C40">
            <w:pPr>
              <w:widowControl w:val="0"/>
              <w:jc w:val="center"/>
              <w:rPr>
                <w:rFonts w:ascii="Source Sans Pro" w:hAnsi="Source Sans Pro" w:cs="Arial"/>
                <w:b/>
                <w:sz w:val="16"/>
                <w:szCs w:val="16"/>
              </w:rPr>
            </w:pPr>
            <w:r>
              <w:rPr>
                <w:rFonts w:ascii="Source Sans Pro" w:hAnsi="Source Sans Pro"/>
                <w:b/>
                <w:sz w:val="16"/>
                <w:szCs w:val="16"/>
              </w:rPr>
              <w:t>DUS</w:t>
            </w:r>
          </w:p>
        </w:tc>
        <w:tc>
          <w:tcPr>
            <w:tcW w:w="937" w:type="dxa"/>
          </w:tcPr>
          <w:p w14:paraId="3503C5FE" w14:textId="77777777" w:rsidR="00161817" w:rsidRPr="00161817" w:rsidRDefault="00161817" w:rsidP="009E6C40">
            <w:pPr>
              <w:widowControl w:val="0"/>
              <w:jc w:val="center"/>
              <w:rPr>
                <w:rFonts w:ascii="Source Sans Pro" w:hAnsi="Source Sans Pro" w:cs="Arial"/>
                <w:b/>
                <w:sz w:val="16"/>
                <w:szCs w:val="16"/>
              </w:rPr>
            </w:pPr>
            <w:r>
              <w:rPr>
                <w:rFonts w:ascii="Source Sans Pro" w:hAnsi="Source Sans Pro"/>
                <w:b/>
                <w:sz w:val="16"/>
                <w:szCs w:val="16"/>
              </w:rPr>
              <w:t>CGN</w:t>
            </w:r>
          </w:p>
        </w:tc>
        <w:tc>
          <w:tcPr>
            <w:tcW w:w="937" w:type="dxa"/>
          </w:tcPr>
          <w:p w14:paraId="6CCF5FE9" w14:textId="77777777" w:rsidR="00161817" w:rsidRPr="00161817" w:rsidRDefault="00161817" w:rsidP="009E6C40">
            <w:pPr>
              <w:widowControl w:val="0"/>
              <w:jc w:val="center"/>
              <w:rPr>
                <w:rFonts w:ascii="Source Sans Pro" w:hAnsi="Source Sans Pro" w:cs="Arial"/>
                <w:b/>
                <w:sz w:val="16"/>
                <w:szCs w:val="16"/>
              </w:rPr>
            </w:pPr>
            <w:r>
              <w:rPr>
                <w:rFonts w:ascii="Source Sans Pro" w:hAnsi="Source Sans Pro"/>
                <w:b/>
                <w:sz w:val="16"/>
                <w:szCs w:val="16"/>
              </w:rPr>
              <w:t>FFM</w:t>
            </w:r>
          </w:p>
        </w:tc>
        <w:tc>
          <w:tcPr>
            <w:tcW w:w="932" w:type="dxa"/>
          </w:tcPr>
          <w:p w14:paraId="6A9F6826" w14:textId="77777777" w:rsidR="00161817" w:rsidRPr="00161817" w:rsidRDefault="00161817" w:rsidP="009E6C40">
            <w:pPr>
              <w:widowControl w:val="0"/>
              <w:jc w:val="center"/>
              <w:rPr>
                <w:rFonts w:ascii="Source Sans Pro" w:hAnsi="Source Sans Pro" w:cs="Arial"/>
                <w:b/>
                <w:sz w:val="16"/>
                <w:szCs w:val="16"/>
              </w:rPr>
            </w:pPr>
            <w:r>
              <w:rPr>
                <w:rFonts w:ascii="Source Sans Pro" w:hAnsi="Source Sans Pro"/>
                <w:b/>
                <w:sz w:val="16"/>
                <w:szCs w:val="16"/>
              </w:rPr>
              <w:t>STU</w:t>
            </w:r>
          </w:p>
        </w:tc>
        <w:tc>
          <w:tcPr>
            <w:tcW w:w="936" w:type="dxa"/>
          </w:tcPr>
          <w:p w14:paraId="006B7969" w14:textId="77777777" w:rsidR="00161817" w:rsidRPr="00161817" w:rsidRDefault="00161817" w:rsidP="009E6C40">
            <w:pPr>
              <w:widowControl w:val="0"/>
              <w:jc w:val="center"/>
              <w:rPr>
                <w:rFonts w:ascii="Source Sans Pro" w:hAnsi="Source Sans Pro" w:cs="Arial"/>
                <w:b/>
                <w:sz w:val="16"/>
                <w:szCs w:val="16"/>
              </w:rPr>
            </w:pPr>
            <w:r>
              <w:rPr>
                <w:rFonts w:ascii="Source Sans Pro" w:hAnsi="Source Sans Pro"/>
                <w:b/>
                <w:sz w:val="16"/>
                <w:szCs w:val="16"/>
              </w:rPr>
              <w:t>MUC</w:t>
            </w:r>
          </w:p>
        </w:tc>
        <w:tc>
          <w:tcPr>
            <w:tcW w:w="800" w:type="dxa"/>
          </w:tcPr>
          <w:p w14:paraId="361D716F" w14:textId="77777777" w:rsidR="00161817" w:rsidRPr="00161817" w:rsidRDefault="00161817" w:rsidP="009E6C40">
            <w:pPr>
              <w:widowControl w:val="0"/>
              <w:jc w:val="center"/>
              <w:rPr>
                <w:rFonts w:ascii="Source Sans Pro" w:hAnsi="Source Sans Pro" w:cs="Arial"/>
                <w:b/>
                <w:sz w:val="16"/>
                <w:szCs w:val="16"/>
              </w:rPr>
            </w:pPr>
            <w:r>
              <w:rPr>
                <w:rFonts w:ascii="Source Sans Pro" w:hAnsi="Source Sans Pro"/>
                <w:b/>
                <w:sz w:val="16"/>
                <w:szCs w:val="16"/>
              </w:rPr>
              <w:t>Top 7</w:t>
            </w:r>
          </w:p>
        </w:tc>
      </w:tr>
      <w:tr w:rsidR="0052371C" w:rsidRPr="00161817" w14:paraId="5211E41C" w14:textId="77777777" w:rsidTr="009E6C40">
        <w:tc>
          <w:tcPr>
            <w:tcW w:w="1939" w:type="dxa"/>
          </w:tcPr>
          <w:p w14:paraId="5CDBB77B" w14:textId="77777777" w:rsidR="00161817" w:rsidRPr="00161817" w:rsidRDefault="00161817" w:rsidP="009E6C40">
            <w:pPr>
              <w:widowControl w:val="0"/>
              <w:jc w:val="both"/>
              <w:rPr>
                <w:rFonts w:ascii="Source Sans Pro" w:hAnsi="Source Sans Pro" w:cs="Arial"/>
                <w:b/>
                <w:sz w:val="16"/>
                <w:szCs w:val="16"/>
              </w:rPr>
            </w:pPr>
            <w:r>
              <w:rPr>
                <w:rFonts w:ascii="Source Sans Pro" w:hAnsi="Source Sans Pro"/>
                <w:b/>
                <w:sz w:val="16"/>
                <w:szCs w:val="16"/>
              </w:rPr>
              <w:t>Transaction volume</w:t>
            </w:r>
          </w:p>
          <w:p w14:paraId="741AC997" w14:textId="77777777" w:rsidR="00161817" w:rsidRPr="00161817" w:rsidRDefault="00161817" w:rsidP="009E6C40">
            <w:pPr>
              <w:widowControl w:val="0"/>
              <w:jc w:val="both"/>
              <w:rPr>
                <w:rFonts w:ascii="Source Sans Pro" w:hAnsi="Source Sans Pro" w:cs="Arial"/>
                <w:b/>
                <w:sz w:val="16"/>
                <w:szCs w:val="16"/>
              </w:rPr>
            </w:pPr>
            <w:r>
              <w:rPr>
                <w:rFonts w:ascii="Source Sans Pro" w:hAnsi="Source Sans Pro"/>
                <w:sz w:val="16"/>
                <w:szCs w:val="16"/>
              </w:rPr>
              <w:t>In €m</w:t>
            </w:r>
          </w:p>
        </w:tc>
        <w:tc>
          <w:tcPr>
            <w:tcW w:w="817" w:type="dxa"/>
            <w:vAlign w:val="center"/>
          </w:tcPr>
          <w:p w14:paraId="42B492E0" w14:textId="6C96BD05" w:rsidR="00161817" w:rsidRPr="00161817" w:rsidRDefault="004F09D7" w:rsidP="009E6C40">
            <w:pPr>
              <w:widowControl w:val="0"/>
              <w:jc w:val="center"/>
              <w:rPr>
                <w:rFonts w:ascii="Source Sans Pro" w:hAnsi="Source Sans Pro" w:cs="Arial"/>
                <w:sz w:val="16"/>
                <w:szCs w:val="16"/>
              </w:rPr>
            </w:pPr>
            <w:r>
              <w:rPr>
                <w:rFonts w:ascii="Source Sans Pro" w:hAnsi="Source Sans Pro"/>
                <w:sz w:val="16"/>
                <w:szCs w:val="16"/>
              </w:rPr>
              <w:t>170</w:t>
            </w:r>
          </w:p>
        </w:tc>
        <w:tc>
          <w:tcPr>
            <w:tcW w:w="816" w:type="dxa"/>
            <w:vAlign w:val="center"/>
          </w:tcPr>
          <w:p w14:paraId="2473804E" w14:textId="08405C97" w:rsidR="00161817" w:rsidRPr="000610DA" w:rsidRDefault="004F09D7" w:rsidP="009E6C40">
            <w:pPr>
              <w:widowControl w:val="0"/>
              <w:jc w:val="center"/>
              <w:rPr>
                <w:rFonts w:ascii="Source Sans Pro" w:hAnsi="Source Sans Pro" w:cs="Arial"/>
                <w:sz w:val="16"/>
                <w:szCs w:val="16"/>
              </w:rPr>
            </w:pPr>
            <w:r>
              <w:rPr>
                <w:rFonts w:ascii="Source Sans Pro" w:hAnsi="Source Sans Pro"/>
                <w:sz w:val="16"/>
                <w:szCs w:val="16"/>
              </w:rPr>
              <w:t>700</w:t>
            </w:r>
          </w:p>
        </w:tc>
        <w:tc>
          <w:tcPr>
            <w:tcW w:w="933" w:type="dxa"/>
            <w:vAlign w:val="center"/>
          </w:tcPr>
          <w:p w14:paraId="7E0DFD82" w14:textId="22C24DAC" w:rsidR="00161817" w:rsidRPr="00EC4845" w:rsidRDefault="004F09D7" w:rsidP="009E6C40">
            <w:pPr>
              <w:widowControl w:val="0"/>
              <w:jc w:val="center"/>
              <w:rPr>
                <w:rFonts w:ascii="Source Sans Pro" w:hAnsi="Source Sans Pro" w:cs="Arial"/>
                <w:sz w:val="16"/>
                <w:szCs w:val="16"/>
              </w:rPr>
            </w:pPr>
            <w:r>
              <w:rPr>
                <w:rFonts w:ascii="Source Sans Pro" w:hAnsi="Source Sans Pro"/>
                <w:sz w:val="16"/>
                <w:szCs w:val="16"/>
              </w:rPr>
              <w:t>360</w:t>
            </w:r>
          </w:p>
        </w:tc>
        <w:tc>
          <w:tcPr>
            <w:tcW w:w="937" w:type="dxa"/>
            <w:vAlign w:val="center"/>
          </w:tcPr>
          <w:p w14:paraId="79C367DF" w14:textId="38D2D6BE" w:rsidR="00161817" w:rsidRPr="00161817" w:rsidRDefault="004F09D7" w:rsidP="009E6C40">
            <w:pPr>
              <w:widowControl w:val="0"/>
              <w:jc w:val="center"/>
              <w:rPr>
                <w:rFonts w:ascii="Source Sans Pro" w:hAnsi="Source Sans Pro" w:cs="Arial"/>
                <w:sz w:val="16"/>
                <w:szCs w:val="16"/>
              </w:rPr>
            </w:pPr>
            <w:r>
              <w:rPr>
                <w:rFonts w:ascii="Source Sans Pro" w:hAnsi="Source Sans Pro"/>
                <w:sz w:val="16"/>
                <w:szCs w:val="16"/>
              </w:rPr>
              <w:t>100</w:t>
            </w:r>
          </w:p>
        </w:tc>
        <w:tc>
          <w:tcPr>
            <w:tcW w:w="937" w:type="dxa"/>
            <w:vAlign w:val="center"/>
          </w:tcPr>
          <w:p w14:paraId="5874DBC2" w14:textId="5D44E1F0" w:rsidR="00161817" w:rsidRPr="00161817" w:rsidRDefault="004F09D7" w:rsidP="009E6C40">
            <w:pPr>
              <w:widowControl w:val="0"/>
              <w:jc w:val="center"/>
              <w:rPr>
                <w:rFonts w:ascii="Source Sans Pro" w:hAnsi="Source Sans Pro" w:cs="Arial"/>
                <w:sz w:val="16"/>
                <w:szCs w:val="16"/>
              </w:rPr>
            </w:pPr>
            <w:r>
              <w:rPr>
                <w:rFonts w:ascii="Source Sans Pro" w:hAnsi="Source Sans Pro"/>
                <w:sz w:val="16"/>
                <w:szCs w:val="16"/>
              </w:rPr>
              <w:t>104</w:t>
            </w:r>
          </w:p>
        </w:tc>
        <w:tc>
          <w:tcPr>
            <w:tcW w:w="932" w:type="dxa"/>
            <w:vAlign w:val="center"/>
          </w:tcPr>
          <w:p w14:paraId="161F8429" w14:textId="69258F11" w:rsidR="00161817" w:rsidRPr="00E06757" w:rsidRDefault="004F09D7" w:rsidP="009E6C40">
            <w:pPr>
              <w:widowControl w:val="0"/>
              <w:jc w:val="center"/>
              <w:rPr>
                <w:rFonts w:ascii="Source Sans Pro" w:hAnsi="Source Sans Pro" w:cs="Arial"/>
                <w:sz w:val="16"/>
                <w:szCs w:val="16"/>
              </w:rPr>
            </w:pPr>
            <w:r>
              <w:rPr>
                <w:rFonts w:ascii="Source Sans Pro" w:hAnsi="Source Sans Pro"/>
                <w:sz w:val="16"/>
                <w:szCs w:val="16"/>
              </w:rPr>
              <w:t>170</w:t>
            </w:r>
          </w:p>
        </w:tc>
        <w:tc>
          <w:tcPr>
            <w:tcW w:w="936" w:type="dxa"/>
            <w:shd w:val="clear" w:color="auto" w:fill="auto"/>
            <w:vAlign w:val="center"/>
          </w:tcPr>
          <w:p w14:paraId="521DD4D6" w14:textId="1F703F74" w:rsidR="00161817" w:rsidRPr="004F09D7" w:rsidRDefault="004F09D7" w:rsidP="009E6C40">
            <w:pPr>
              <w:widowControl w:val="0"/>
              <w:jc w:val="center"/>
              <w:rPr>
                <w:rFonts w:ascii="Source Sans Pro" w:hAnsi="Source Sans Pro" w:cs="Arial"/>
                <w:sz w:val="16"/>
                <w:szCs w:val="16"/>
                <w:u w:val="single"/>
              </w:rPr>
            </w:pPr>
            <w:r>
              <w:rPr>
                <w:rFonts w:ascii="Source Sans Pro" w:hAnsi="Source Sans Pro"/>
                <w:sz w:val="16"/>
                <w:szCs w:val="16"/>
                <w:u w:val="single"/>
              </w:rPr>
              <w:t>1,025</w:t>
            </w:r>
          </w:p>
        </w:tc>
        <w:tc>
          <w:tcPr>
            <w:tcW w:w="800" w:type="dxa"/>
            <w:vAlign w:val="center"/>
          </w:tcPr>
          <w:p w14:paraId="5D7AFB91" w14:textId="61843C2C" w:rsidR="00161817" w:rsidRPr="00E06757" w:rsidRDefault="004F09D7" w:rsidP="009E6C40">
            <w:pPr>
              <w:widowControl w:val="0"/>
              <w:jc w:val="center"/>
              <w:rPr>
                <w:rFonts w:ascii="Source Sans Pro" w:hAnsi="Source Sans Pro" w:cs="Arial"/>
                <w:b/>
                <w:sz w:val="16"/>
                <w:szCs w:val="16"/>
              </w:rPr>
            </w:pPr>
            <w:r>
              <w:rPr>
                <w:rFonts w:ascii="Source Sans Pro" w:hAnsi="Source Sans Pro"/>
                <w:b/>
                <w:sz w:val="16"/>
                <w:szCs w:val="16"/>
              </w:rPr>
              <w:t>2,629</w:t>
            </w:r>
          </w:p>
        </w:tc>
      </w:tr>
      <w:tr w:rsidR="0052371C" w:rsidRPr="00161817" w14:paraId="6B0F06BC" w14:textId="77777777" w:rsidTr="009E6C40">
        <w:tc>
          <w:tcPr>
            <w:tcW w:w="1939" w:type="dxa"/>
          </w:tcPr>
          <w:p w14:paraId="1368D85F" w14:textId="77777777" w:rsidR="00161817" w:rsidRPr="00161817" w:rsidRDefault="00161817" w:rsidP="009E6C40">
            <w:pPr>
              <w:widowControl w:val="0"/>
              <w:jc w:val="both"/>
              <w:rPr>
                <w:rFonts w:ascii="Source Sans Pro" w:hAnsi="Source Sans Pro" w:cs="Arial"/>
                <w:b/>
                <w:sz w:val="16"/>
                <w:szCs w:val="16"/>
              </w:rPr>
            </w:pPr>
            <w:r>
              <w:rPr>
                <w:rFonts w:ascii="Source Sans Pro" w:hAnsi="Source Sans Pro"/>
                <w:b/>
                <w:sz w:val="16"/>
                <w:szCs w:val="16"/>
              </w:rPr>
              <w:t>Change</w:t>
            </w:r>
          </w:p>
          <w:p w14:paraId="384171F4" w14:textId="77777777" w:rsidR="00161817" w:rsidRPr="00161817" w:rsidRDefault="00161817" w:rsidP="009E6C40">
            <w:pPr>
              <w:widowControl w:val="0"/>
              <w:jc w:val="both"/>
              <w:rPr>
                <w:rFonts w:ascii="Source Sans Pro" w:hAnsi="Source Sans Pro" w:cs="Arial"/>
                <w:b/>
                <w:sz w:val="16"/>
                <w:szCs w:val="16"/>
              </w:rPr>
            </w:pPr>
            <w:r>
              <w:rPr>
                <w:rFonts w:ascii="Source Sans Pro" w:hAnsi="Source Sans Pro"/>
                <w:sz w:val="16"/>
                <w:szCs w:val="16"/>
              </w:rPr>
              <w:t>against prior yr in %</w:t>
            </w:r>
          </w:p>
        </w:tc>
        <w:tc>
          <w:tcPr>
            <w:tcW w:w="817" w:type="dxa"/>
            <w:vAlign w:val="center"/>
          </w:tcPr>
          <w:p w14:paraId="41BD7562" w14:textId="40B4F0B3" w:rsidR="00161817" w:rsidRPr="00B46BC1" w:rsidRDefault="004F09D7" w:rsidP="009E6C40">
            <w:pPr>
              <w:widowControl w:val="0"/>
              <w:jc w:val="center"/>
              <w:rPr>
                <w:rFonts w:ascii="Source Sans Pro" w:hAnsi="Source Sans Pro" w:cs="Arial"/>
                <w:sz w:val="16"/>
                <w:szCs w:val="16"/>
              </w:rPr>
            </w:pPr>
            <w:r>
              <w:rPr>
                <w:rFonts w:ascii="Source Sans Pro" w:hAnsi="Source Sans Pro"/>
                <w:sz w:val="16"/>
                <w:szCs w:val="16"/>
              </w:rPr>
              <w:t>-91 %</w:t>
            </w:r>
          </w:p>
        </w:tc>
        <w:tc>
          <w:tcPr>
            <w:tcW w:w="816" w:type="dxa"/>
            <w:vAlign w:val="center"/>
          </w:tcPr>
          <w:p w14:paraId="1C4CFEFB" w14:textId="7882ECD3" w:rsidR="00161817" w:rsidRPr="000610DA" w:rsidRDefault="004F09D7" w:rsidP="009E6C40">
            <w:pPr>
              <w:widowControl w:val="0"/>
              <w:jc w:val="center"/>
              <w:rPr>
                <w:rFonts w:ascii="Source Sans Pro" w:hAnsi="Source Sans Pro" w:cs="Arial"/>
                <w:sz w:val="16"/>
                <w:szCs w:val="16"/>
              </w:rPr>
            </w:pPr>
            <w:r>
              <w:rPr>
                <w:rFonts w:ascii="Source Sans Pro" w:hAnsi="Source Sans Pro"/>
                <w:sz w:val="16"/>
                <w:szCs w:val="16"/>
              </w:rPr>
              <w:t>-70 %</w:t>
            </w:r>
          </w:p>
        </w:tc>
        <w:tc>
          <w:tcPr>
            <w:tcW w:w="933" w:type="dxa"/>
            <w:vAlign w:val="center"/>
          </w:tcPr>
          <w:p w14:paraId="50DE9682" w14:textId="51C446C6" w:rsidR="00161817" w:rsidRPr="00EC4845" w:rsidRDefault="004F09D7" w:rsidP="009E6C40">
            <w:pPr>
              <w:widowControl w:val="0"/>
              <w:jc w:val="center"/>
              <w:rPr>
                <w:rFonts w:ascii="Source Sans Pro" w:hAnsi="Source Sans Pro" w:cs="Arial"/>
                <w:sz w:val="16"/>
                <w:szCs w:val="16"/>
              </w:rPr>
            </w:pPr>
            <w:r>
              <w:rPr>
                <w:rFonts w:ascii="Source Sans Pro" w:hAnsi="Source Sans Pro"/>
                <w:sz w:val="16"/>
                <w:szCs w:val="16"/>
              </w:rPr>
              <w:t>-64 %</w:t>
            </w:r>
          </w:p>
        </w:tc>
        <w:tc>
          <w:tcPr>
            <w:tcW w:w="937" w:type="dxa"/>
            <w:vAlign w:val="center"/>
          </w:tcPr>
          <w:p w14:paraId="0640E354" w14:textId="71DBF7F6" w:rsidR="00161817" w:rsidRPr="00073A63" w:rsidRDefault="004F09D7" w:rsidP="009E6C40">
            <w:pPr>
              <w:widowControl w:val="0"/>
              <w:jc w:val="center"/>
              <w:rPr>
                <w:rFonts w:ascii="Source Sans Pro" w:hAnsi="Source Sans Pro" w:cs="Arial"/>
                <w:sz w:val="16"/>
                <w:szCs w:val="16"/>
              </w:rPr>
            </w:pPr>
            <w:r>
              <w:rPr>
                <w:rFonts w:ascii="Source Sans Pro" w:hAnsi="Source Sans Pro"/>
                <w:sz w:val="16"/>
                <w:szCs w:val="16"/>
              </w:rPr>
              <w:t>-67 %</w:t>
            </w:r>
          </w:p>
        </w:tc>
        <w:tc>
          <w:tcPr>
            <w:tcW w:w="937" w:type="dxa"/>
            <w:vAlign w:val="center"/>
          </w:tcPr>
          <w:p w14:paraId="025DC8CA" w14:textId="1EC49700" w:rsidR="00161817" w:rsidRPr="004F09D7" w:rsidRDefault="004F09D7" w:rsidP="009E6C40">
            <w:pPr>
              <w:widowControl w:val="0"/>
              <w:jc w:val="center"/>
              <w:rPr>
                <w:rFonts w:ascii="Source Sans Pro" w:hAnsi="Source Sans Pro" w:cs="Arial"/>
                <w:sz w:val="16"/>
                <w:szCs w:val="16"/>
                <w:u w:val="single"/>
              </w:rPr>
            </w:pPr>
            <w:r>
              <w:rPr>
                <w:rFonts w:ascii="Source Sans Pro" w:hAnsi="Source Sans Pro"/>
                <w:sz w:val="16"/>
                <w:szCs w:val="16"/>
                <w:u w:val="single"/>
              </w:rPr>
              <w:t>-95 %</w:t>
            </w:r>
          </w:p>
        </w:tc>
        <w:tc>
          <w:tcPr>
            <w:tcW w:w="932" w:type="dxa"/>
            <w:vAlign w:val="center"/>
          </w:tcPr>
          <w:p w14:paraId="62EC947E" w14:textId="76E18D93" w:rsidR="00161817" w:rsidRPr="00E06757" w:rsidRDefault="004F09D7" w:rsidP="009E6C40">
            <w:pPr>
              <w:widowControl w:val="0"/>
              <w:jc w:val="center"/>
              <w:rPr>
                <w:rFonts w:ascii="Source Sans Pro" w:hAnsi="Source Sans Pro" w:cs="Arial"/>
                <w:sz w:val="16"/>
                <w:szCs w:val="16"/>
              </w:rPr>
            </w:pPr>
            <w:r>
              <w:rPr>
                <w:rFonts w:ascii="Source Sans Pro" w:hAnsi="Source Sans Pro"/>
                <w:sz w:val="16"/>
                <w:szCs w:val="16"/>
              </w:rPr>
              <w:t>-68 %</w:t>
            </w:r>
          </w:p>
        </w:tc>
        <w:tc>
          <w:tcPr>
            <w:tcW w:w="936" w:type="dxa"/>
            <w:shd w:val="clear" w:color="auto" w:fill="auto"/>
            <w:vAlign w:val="center"/>
          </w:tcPr>
          <w:p w14:paraId="29099EF0" w14:textId="4601318B" w:rsidR="00161817" w:rsidRPr="00E06757" w:rsidRDefault="004F09D7" w:rsidP="009E6C40">
            <w:pPr>
              <w:widowControl w:val="0"/>
              <w:jc w:val="center"/>
              <w:rPr>
                <w:rFonts w:ascii="Source Sans Pro" w:hAnsi="Source Sans Pro" w:cs="Arial"/>
                <w:sz w:val="16"/>
                <w:szCs w:val="16"/>
              </w:rPr>
            </w:pPr>
            <w:r>
              <w:rPr>
                <w:rFonts w:ascii="Source Sans Pro" w:hAnsi="Source Sans Pro"/>
                <w:sz w:val="16"/>
                <w:szCs w:val="16"/>
              </w:rPr>
              <w:t>-21 %</w:t>
            </w:r>
          </w:p>
        </w:tc>
        <w:tc>
          <w:tcPr>
            <w:tcW w:w="800" w:type="dxa"/>
            <w:vAlign w:val="center"/>
          </w:tcPr>
          <w:p w14:paraId="71231CA6" w14:textId="36D68620" w:rsidR="00161817" w:rsidRPr="00E06757" w:rsidRDefault="004F09D7" w:rsidP="009E6C40">
            <w:pPr>
              <w:widowControl w:val="0"/>
              <w:jc w:val="center"/>
              <w:rPr>
                <w:rFonts w:ascii="Source Sans Pro" w:hAnsi="Source Sans Pro" w:cs="Arial"/>
                <w:b/>
                <w:sz w:val="16"/>
                <w:szCs w:val="16"/>
              </w:rPr>
            </w:pPr>
            <w:r>
              <w:rPr>
                <w:rFonts w:ascii="Source Sans Pro" w:hAnsi="Source Sans Pro"/>
                <w:b/>
                <w:sz w:val="16"/>
                <w:szCs w:val="16"/>
              </w:rPr>
              <w:t>-72 %</w:t>
            </w:r>
          </w:p>
        </w:tc>
      </w:tr>
      <w:tr w:rsidR="0052371C" w:rsidRPr="00161817" w14:paraId="7F708548" w14:textId="77777777" w:rsidTr="009E6C40">
        <w:tc>
          <w:tcPr>
            <w:tcW w:w="1939" w:type="dxa"/>
          </w:tcPr>
          <w:p w14:paraId="3A825302" w14:textId="77777777" w:rsidR="00161817" w:rsidRPr="00161817" w:rsidRDefault="00161817" w:rsidP="009E6C40">
            <w:pPr>
              <w:widowControl w:val="0"/>
              <w:jc w:val="both"/>
              <w:rPr>
                <w:rFonts w:ascii="Source Sans Pro" w:hAnsi="Source Sans Pro" w:cs="Arial"/>
                <w:b/>
                <w:sz w:val="16"/>
                <w:szCs w:val="16"/>
              </w:rPr>
            </w:pPr>
            <w:r>
              <w:rPr>
                <w:rFonts w:ascii="Source Sans Pro" w:hAnsi="Source Sans Pro"/>
                <w:b/>
                <w:sz w:val="16"/>
                <w:szCs w:val="16"/>
              </w:rPr>
              <w:t>Prime yield*, offices</w:t>
            </w:r>
          </w:p>
          <w:p w14:paraId="34B73F2E" w14:textId="77777777" w:rsidR="00161817" w:rsidRPr="00161817" w:rsidRDefault="00161817" w:rsidP="009E6C40">
            <w:pPr>
              <w:widowControl w:val="0"/>
              <w:jc w:val="both"/>
              <w:rPr>
                <w:rFonts w:ascii="Source Sans Pro" w:hAnsi="Source Sans Pro" w:cs="Arial"/>
                <w:b/>
                <w:sz w:val="16"/>
                <w:szCs w:val="16"/>
              </w:rPr>
            </w:pPr>
            <w:r>
              <w:rPr>
                <w:rFonts w:ascii="Source Sans Pro" w:hAnsi="Source Sans Pro"/>
                <w:sz w:val="16"/>
                <w:szCs w:val="16"/>
              </w:rPr>
              <w:t>in %</w:t>
            </w:r>
          </w:p>
        </w:tc>
        <w:tc>
          <w:tcPr>
            <w:tcW w:w="817" w:type="dxa"/>
            <w:vAlign w:val="center"/>
          </w:tcPr>
          <w:p w14:paraId="74FF9E2D" w14:textId="3BD47A97" w:rsidR="00161817" w:rsidRPr="000610DA" w:rsidRDefault="00A06310" w:rsidP="009E6C40">
            <w:pPr>
              <w:widowControl w:val="0"/>
              <w:jc w:val="center"/>
              <w:rPr>
                <w:rFonts w:ascii="Source Sans Pro" w:hAnsi="Source Sans Pro" w:cs="Arial"/>
                <w:sz w:val="16"/>
                <w:szCs w:val="16"/>
              </w:rPr>
            </w:pPr>
            <w:r>
              <w:rPr>
                <w:rFonts w:ascii="Source Sans Pro" w:hAnsi="Source Sans Pro"/>
                <w:sz w:val="16"/>
                <w:szCs w:val="16"/>
              </w:rPr>
              <w:t>3.50</w:t>
            </w:r>
          </w:p>
        </w:tc>
        <w:tc>
          <w:tcPr>
            <w:tcW w:w="816" w:type="dxa"/>
            <w:vAlign w:val="center"/>
          </w:tcPr>
          <w:p w14:paraId="0D6415B8" w14:textId="23884BD6" w:rsidR="00161817" w:rsidRPr="000610DA" w:rsidRDefault="00A06310" w:rsidP="009E6C40">
            <w:pPr>
              <w:widowControl w:val="0"/>
              <w:jc w:val="center"/>
              <w:rPr>
                <w:rFonts w:ascii="Source Sans Pro" w:hAnsi="Source Sans Pro" w:cs="Arial"/>
                <w:sz w:val="16"/>
                <w:szCs w:val="16"/>
              </w:rPr>
            </w:pPr>
            <w:r>
              <w:rPr>
                <w:rFonts w:ascii="Source Sans Pro" w:hAnsi="Source Sans Pro"/>
                <w:sz w:val="16"/>
                <w:szCs w:val="16"/>
              </w:rPr>
              <w:t>3.75</w:t>
            </w:r>
          </w:p>
        </w:tc>
        <w:tc>
          <w:tcPr>
            <w:tcW w:w="933" w:type="dxa"/>
            <w:vAlign w:val="center"/>
          </w:tcPr>
          <w:p w14:paraId="53A1E093" w14:textId="7357DCD1" w:rsidR="00161817" w:rsidRPr="00EC4845" w:rsidRDefault="00A06310" w:rsidP="009E6C40">
            <w:pPr>
              <w:widowControl w:val="0"/>
              <w:jc w:val="center"/>
              <w:rPr>
                <w:rFonts w:ascii="Source Sans Pro" w:hAnsi="Source Sans Pro" w:cs="Arial"/>
                <w:sz w:val="16"/>
                <w:szCs w:val="16"/>
              </w:rPr>
            </w:pPr>
            <w:r>
              <w:rPr>
                <w:rFonts w:ascii="Source Sans Pro" w:hAnsi="Source Sans Pro"/>
                <w:sz w:val="16"/>
                <w:szCs w:val="16"/>
              </w:rPr>
              <w:t>3.60</w:t>
            </w:r>
          </w:p>
        </w:tc>
        <w:tc>
          <w:tcPr>
            <w:tcW w:w="937" w:type="dxa"/>
            <w:vAlign w:val="center"/>
          </w:tcPr>
          <w:p w14:paraId="0431521B" w14:textId="68056D3F" w:rsidR="00161817" w:rsidRPr="00073A63" w:rsidRDefault="00A06310" w:rsidP="009E6C40">
            <w:pPr>
              <w:widowControl w:val="0"/>
              <w:jc w:val="center"/>
              <w:rPr>
                <w:rFonts w:ascii="Source Sans Pro" w:hAnsi="Source Sans Pro" w:cs="Arial"/>
                <w:sz w:val="16"/>
                <w:szCs w:val="16"/>
              </w:rPr>
            </w:pPr>
            <w:r>
              <w:rPr>
                <w:rFonts w:ascii="Source Sans Pro" w:hAnsi="Source Sans Pro"/>
                <w:sz w:val="16"/>
                <w:szCs w:val="16"/>
              </w:rPr>
              <w:t>3.50</w:t>
            </w:r>
          </w:p>
        </w:tc>
        <w:tc>
          <w:tcPr>
            <w:tcW w:w="937" w:type="dxa"/>
            <w:vAlign w:val="center"/>
          </w:tcPr>
          <w:p w14:paraId="73277C18" w14:textId="58D72D50" w:rsidR="00161817" w:rsidRPr="00091D49" w:rsidRDefault="00A06310" w:rsidP="009E6C40">
            <w:pPr>
              <w:widowControl w:val="0"/>
              <w:jc w:val="center"/>
              <w:rPr>
                <w:rFonts w:ascii="Source Sans Pro" w:hAnsi="Source Sans Pro" w:cs="Arial"/>
                <w:sz w:val="16"/>
                <w:szCs w:val="16"/>
                <w:u w:val="single"/>
              </w:rPr>
            </w:pPr>
            <w:r>
              <w:rPr>
                <w:rFonts w:ascii="Source Sans Pro" w:hAnsi="Source Sans Pro"/>
                <w:sz w:val="16"/>
                <w:szCs w:val="16"/>
                <w:u w:val="single"/>
              </w:rPr>
              <w:t>3.85</w:t>
            </w:r>
          </w:p>
        </w:tc>
        <w:tc>
          <w:tcPr>
            <w:tcW w:w="932" w:type="dxa"/>
            <w:vAlign w:val="center"/>
          </w:tcPr>
          <w:p w14:paraId="4CD09DF4" w14:textId="1212DF0E" w:rsidR="00161817" w:rsidRPr="00091D49" w:rsidRDefault="00F67B89" w:rsidP="00F67B89">
            <w:pPr>
              <w:widowControl w:val="0"/>
              <w:jc w:val="center"/>
              <w:rPr>
                <w:rFonts w:ascii="Source Sans Pro" w:hAnsi="Source Sans Pro" w:cs="Arial"/>
                <w:sz w:val="16"/>
                <w:szCs w:val="16"/>
              </w:rPr>
            </w:pPr>
            <w:r>
              <w:rPr>
                <w:rFonts w:ascii="Source Sans Pro" w:hAnsi="Source Sans Pro"/>
                <w:sz w:val="16"/>
                <w:szCs w:val="16"/>
              </w:rPr>
              <w:t>3.60</w:t>
            </w:r>
          </w:p>
        </w:tc>
        <w:tc>
          <w:tcPr>
            <w:tcW w:w="936" w:type="dxa"/>
            <w:shd w:val="clear" w:color="auto" w:fill="auto"/>
            <w:vAlign w:val="center"/>
          </w:tcPr>
          <w:p w14:paraId="7A486F95" w14:textId="745F67B7" w:rsidR="00161817" w:rsidRPr="00E06757" w:rsidRDefault="00F67B89" w:rsidP="009E6C40">
            <w:pPr>
              <w:widowControl w:val="0"/>
              <w:jc w:val="center"/>
              <w:rPr>
                <w:rFonts w:ascii="Source Sans Pro" w:hAnsi="Source Sans Pro" w:cs="Arial"/>
                <w:sz w:val="16"/>
                <w:szCs w:val="16"/>
              </w:rPr>
            </w:pPr>
            <w:r>
              <w:rPr>
                <w:rFonts w:ascii="Source Sans Pro" w:hAnsi="Source Sans Pro"/>
                <w:sz w:val="16"/>
                <w:szCs w:val="16"/>
              </w:rPr>
              <w:t>3.50</w:t>
            </w:r>
          </w:p>
        </w:tc>
        <w:tc>
          <w:tcPr>
            <w:tcW w:w="800" w:type="dxa"/>
            <w:vAlign w:val="center"/>
          </w:tcPr>
          <w:p w14:paraId="47ED8E15" w14:textId="0B1AC4CE" w:rsidR="00161817" w:rsidRPr="00E06757" w:rsidRDefault="00A06310" w:rsidP="00F67B89">
            <w:pPr>
              <w:widowControl w:val="0"/>
              <w:jc w:val="center"/>
              <w:rPr>
                <w:rFonts w:ascii="Source Sans Pro" w:hAnsi="Source Sans Pro" w:cs="Arial"/>
                <w:b/>
                <w:sz w:val="16"/>
                <w:szCs w:val="16"/>
              </w:rPr>
            </w:pPr>
            <w:r>
              <w:rPr>
                <w:rFonts w:ascii="Source Sans Pro" w:hAnsi="Source Sans Pro"/>
                <w:b/>
                <w:sz w:val="16"/>
                <w:szCs w:val="16"/>
              </w:rPr>
              <w:t>3.61</w:t>
            </w:r>
          </w:p>
        </w:tc>
      </w:tr>
      <w:tr w:rsidR="0052371C" w:rsidRPr="00161817" w14:paraId="24583354" w14:textId="77777777" w:rsidTr="009E6C40">
        <w:tc>
          <w:tcPr>
            <w:tcW w:w="1939" w:type="dxa"/>
          </w:tcPr>
          <w:p w14:paraId="1AB60A34" w14:textId="77777777" w:rsidR="00161817" w:rsidRPr="00161817" w:rsidRDefault="00161817" w:rsidP="009E6C40">
            <w:pPr>
              <w:widowControl w:val="0"/>
              <w:jc w:val="both"/>
              <w:rPr>
                <w:rFonts w:ascii="Source Sans Pro" w:hAnsi="Source Sans Pro" w:cs="Arial"/>
                <w:b/>
                <w:sz w:val="16"/>
                <w:szCs w:val="16"/>
              </w:rPr>
            </w:pPr>
            <w:r>
              <w:rPr>
                <w:rFonts w:ascii="Source Sans Pro" w:hAnsi="Source Sans Pro"/>
                <w:b/>
                <w:sz w:val="16"/>
                <w:szCs w:val="16"/>
              </w:rPr>
              <w:t>against prior yr</w:t>
            </w:r>
            <w:r>
              <w:rPr>
                <w:rFonts w:ascii="Source Sans Pro" w:hAnsi="Source Sans Pro"/>
                <w:sz w:val="16"/>
                <w:szCs w:val="16"/>
              </w:rPr>
              <w:t xml:space="preserve"> in percentage points</w:t>
            </w:r>
          </w:p>
        </w:tc>
        <w:tc>
          <w:tcPr>
            <w:tcW w:w="817" w:type="dxa"/>
            <w:vAlign w:val="center"/>
          </w:tcPr>
          <w:p w14:paraId="54B227DC" w14:textId="4ACE2CF2" w:rsidR="00161817" w:rsidRPr="00161817" w:rsidRDefault="00A06310" w:rsidP="009E6C40">
            <w:pPr>
              <w:widowControl w:val="0"/>
              <w:jc w:val="center"/>
              <w:rPr>
                <w:rFonts w:ascii="Source Sans Pro" w:hAnsi="Source Sans Pro" w:cs="Arial"/>
                <w:sz w:val="16"/>
                <w:szCs w:val="16"/>
              </w:rPr>
            </w:pPr>
            <w:r>
              <w:rPr>
                <w:rFonts w:ascii="Source Sans Pro" w:hAnsi="Source Sans Pro"/>
                <w:sz w:val="16"/>
                <w:szCs w:val="16"/>
              </w:rPr>
              <w:t>0.90</w:t>
            </w:r>
          </w:p>
        </w:tc>
        <w:tc>
          <w:tcPr>
            <w:tcW w:w="816" w:type="dxa"/>
            <w:vAlign w:val="center"/>
          </w:tcPr>
          <w:p w14:paraId="51AFFAE3" w14:textId="629F1B8D" w:rsidR="00161817" w:rsidRPr="00091D49" w:rsidRDefault="00A06310" w:rsidP="009E6C40">
            <w:pPr>
              <w:widowControl w:val="0"/>
              <w:jc w:val="center"/>
              <w:rPr>
                <w:rFonts w:ascii="Source Sans Pro" w:hAnsi="Source Sans Pro" w:cs="Arial"/>
                <w:sz w:val="16"/>
                <w:szCs w:val="16"/>
                <w:u w:val="single"/>
              </w:rPr>
            </w:pPr>
            <w:r>
              <w:rPr>
                <w:rFonts w:ascii="Source Sans Pro" w:hAnsi="Source Sans Pro"/>
                <w:sz w:val="16"/>
                <w:szCs w:val="16"/>
                <w:u w:val="single"/>
              </w:rPr>
              <w:t>1.15</w:t>
            </w:r>
          </w:p>
        </w:tc>
        <w:tc>
          <w:tcPr>
            <w:tcW w:w="933" w:type="dxa"/>
            <w:vAlign w:val="center"/>
          </w:tcPr>
          <w:p w14:paraId="6738B9BE" w14:textId="0CF0CFAF" w:rsidR="00161817" w:rsidRPr="00161817" w:rsidRDefault="00A06310" w:rsidP="009E6C40">
            <w:pPr>
              <w:widowControl w:val="0"/>
              <w:jc w:val="center"/>
              <w:rPr>
                <w:rFonts w:ascii="Source Sans Pro" w:hAnsi="Source Sans Pro" w:cs="Arial"/>
                <w:sz w:val="16"/>
                <w:szCs w:val="16"/>
              </w:rPr>
            </w:pPr>
            <w:r>
              <w:rPr>
                <w:rFonts w:ascii="Source Sans Pro" w:hAnsi="Source Sans Pro"/>
                <w:sz w:val="16"/>
                <w:szCs w:val="16"/>
              </w:rPr>
              <w:t>0.80</w:t>
            </w:r>
          </w:p>
        </w:tc>
        <w:tc>
          <w:tcPr>
            <w:tcW w:w="937" w:type="dxa"/>
            <w:vAlign w:val="center"/>
          </w:tcPr>
          <w:p w14:paraId="063AA1B7" w14:textId="0D5C2FCA" w:rsidR="00161817" w:rsidRPr="00073A63" w:rsidRDefault="00A06310" w:rsidP="009E6C40">
            <w:pPr>
              <w:widowControl w:val="0"/>
              <w:jc w:val="center"/>
              <w:rPr>
                <w:rFonts w:ascii="Source Sans Pro" w:hAnsi="Source Sans Pro" w:cs="Arial"/>
                <w:sz w:val="16"/>
                <w:szCs w:val="16"/>
              </w:rPr>
            </w:pPr>
            <w:r>
              <w:rPr>
                <w:rFonts w:ascii="Source Sans Pro" w:hAnsi="Source Sans Pro"/>
                <w:sz w:val="16"/>
                <w:szCs w:val="16"/>
              </w:rPr>
              <w:t>0.90</w:t>
            </w:r>
          </w:p>
        </w:tc>
        <w:tc>
          <w:tcPr>
            <w:tcW w:w="937" w:type="dxa"/>
            <w:vAlign w:val="center"/>
          </w:tcPr>
          <w:p w14:paraId="125AAE58" w14:textId="24A2093D" w:rsidR="00161817" w:rsidRPr="00073A63" w:rsidRDefault="00A06310" w:rsidP="009E6C40">
            <w:pPr>
              <w:widowControl w:val="0"/>
              <w:jc w:val="center"/>
              <w:rPr>
                <w:rFonts w:ascii="Source Sans Pro" w:hAnsi="Source Sans Pro" w:cs="Arial"/>
                <w:sz w:val="16"/>
                <w:szCs w:val="16"/>
              </w:rPr>
            </w:pPr>
            <w:r>
              <w:rPr>
                <w:rFonts w:ascii="Source Sans Pro" w:hAnsi="Source Sans Pro"/>
                <w:sz w:val="16"/>
                <w:szCs w:val="16"/>
              </w:rPr>
              <w:t>1.05</w:t>
            </w:r>
          </w:p>
        </w:tc>
        <w:tc>
          <w:tcPr>
            <w:tcW w:w="932" w:type="dxa"/>
            <w:vAlign w:val="center"/>
          </w:tcPr>
          <w:p w14:paraId="3BDF16AC" w14:textId="1CFCC6EA" w:rsidR="00161817" w:rsidRPr="00091D49" w:rsidRDefault="00F67B89" w:rsidP="009E6C40">
            <w:pPr>
              <w:widowControl w:val="0"/>
              <w:jc w:val="center"/>
              <w:rPr>
                <w:rFonts w:ascii="Source Sans Pro" w:hAnsi="Source Sans Pro" w:cs="Arial"/>
                <w:sz w:val="16"/>
                <w:szCs w:val="16"/>
              </w:rPr>
            </w:pPr>
            <w:r>
              <w:rPr>
                <w:rFonts w:ascii="Source Sans Pro" w:hAnsi="Source Sans Pro"/>
                <w:sz w:val="16"/>
                <w:szCs w:val="16"/>
              </w:rPr>
              <w:t>0.90</w:t>
            </w:r>
          </w:p>
        </w:tc>
        <w:tc>
          <w:tcPr>
            <w:tcW w:w="936" w:type="dxa"/>
            <w:shd w:val="clear" w:color="auto" w:fill="auto"/>
            <w:vAlign w:val="center"/>
          </w:tcPr>
          <w:p w14:paraId="7875A0DE" w14:textId="258320F7" w:rsidR="00161817" w:rsidRPr="00462200" w:rsidRDefault="00F67B89" w:rsidP="009E6C40">
            <w:pPr>
              <w:widowControl w:val="0"/>
              <w:jc w:val="center"/>
              <w:rPr>
                <w:rFonts w:ascii="Source Sans Pro" w:hAnsi="Source Sans Pro" w:cs="Arial"/>
                <w:sz w:val="16"/>
                <w:szCs w:val="16"/>
              </w:rPr>
            </w:pPr>
            <w:r>
              <w:rPr>
                <w:rFonts w:ascii="Source Sans Pro" w:hAnsi="Source Sans Pro"/>
                <w:sz w:val="16"/>
                <w:szCs w:val="16"/>
              </w:rPr>
              <w:t>0.80</w:t>
            </w:r>
          </w:p>
        </w:tc>
        <w:tc>
          <w:tcPr>
            <w:tcW w:w="800" w:type="dxa"/>
            <w:vAlign w:val="center"/>
          </w:tcPr>
          <w:p w14:paraId="53A9636D" w14:textId="550E2B1F" w:rsidR="00161817" w:rsidRPr="00161817" w:rsidRDefault="00F67B89" w:rsidP="009E6C40">
            <w:pPr>
              <w:widowControl w:val="0"/>
              <w:jc w:val="center"/>
              <w:rPr>
                <w:rFonts w:ascii="Source Sans Pro" w:hAnsi="Source Sans Pro" w:cs="Arial"/>
                <w:b/>
                <w:sz w:val="16"/>
                <w:szCs w:val="16"/>
              </w:rPr>
            </w:pPr>
            <w:r>
              <w:rPr>
                <w:rFonts w:ascii="Source Sans Pro" w:hAnsi="Source Sans Pro"/>
                <w:b/>
                <w:sz w:val="16"/>
                <w:szCs w:val="16"/>
              </w:rPr>
              <w:t>0.93</w:t>
            </w:r>
          </w:p>
        </w:tc>
      </w:tr>
      <w:tr w:rsidR="0052371C" w:rsidRPr="00161817" w14:paraId="2D937C1C" w14:textId="77777777" w:rsidTr="009E6C40">
        <w:tc>
          <w:tcPr>
            <w:tcW w:w="1939" w:type="dxa"/>
          </w:tcPr>
          <w:p w14:paraId="66B5D21D" w14:textId="77777777" w:rsidR="00161817" w:rsidRPr="00161817" w:rsidRDefault="00161817" w:rsidP="009E6C40">
            <w:pPr>
              <w:widowControl w:val="0"/>
              <w:jc w:val="both"/>
              <w:rPr>
                <w:rFonts w:ascii="Source Sans Pro" w:hAnsi="Source Sans Pro" w:cs="Arial"/>
                <w:b/>
                <w:sz w:val="16"/>
                <w:szCs w:val="16"/>
              </w:rPr>
            </w:pPr>
            <w:r>
              <w:rPr>
                <w:rFonts w:ascii="Source Sans Pro" w:hAnsi="Source Sans Pro"/>
                <w:b/>
                <w:sz w:val="16"/>
                <w:szCs w:val="16"/>
              </w:rPr>
              <w:t>Prime yield*, logistics</w:t>
            </w:r>
            <w:r>
              <w:rPr>
                <w:rFonts w:ascii="Source Sans Pro" w:hAnsi="Source Sans Pro"/>
                <w:sz w:val="16"/>
                <w:szCs w:val="16"/>
              </w:rPr>
              <w:t xml:space="preserve"> in %</w:t>
            </w:r>
          </w:p>
        </w:tc>
        <w:tc>
          <w:tcPr>
            <w:tcW w:w="817" w:type="dxa"/>
            <w:vAlign w:val="center"/>
          </w:tcPr>
          <w:p w14:paraId="684A9001" w14:textId="2D36DDCA" w:rsidR="00161817" w:rsidRPr="00FB551B" w:rsidRDefault="00A06310" w:rsidP="009E6C40">
            <w:pPr>
              <w:widowControl w:val="0"/>
              <w:jc w:val="center"/>
              <w:rPr>
                <w:rFonts w:ascii="Source Sans Pro" w:hAnsi="Source Sans Pro" w:cs="Arial"/>
                <w:sz w:val="16"/>
                <w:szCs w:val="16"/>
              </w:rPr>
            </w:pPr>
            <w:r>
              <w:rPr>
                <w:rFonts w:ascii="Source Sans Pro" w:hAnsi="Source Sans Pro"/>
                <w:sz w:val="16"/>
                <w:szCs w:val="16"/>
              </w:rPr>
              <w:t>4.20</w:t>
            </w:r>
          </w:p>
        </w:tc>
        <w:tc>
          <w:tcPr>
            <w:tcW w:w="816" w:type="dxa"/>
            <w:vAlign w:val="center"/>
          </w:tcPr>
          <w:p w14:paraId="0F835EAB" w14:textId="47DECFF5" w:rsidR="00161817" w:rsidRPr="00A06310" w:rsidRDefault="00A06310" w:rsidP="009E6C40">
            <w:pPr>
              <w:widowControl w:val="0"/>
              <w:jc w:val="center"/>
              <w:rPr>
                <w:rFonts w:ascii="Source Sans Pro" w:hAnsi="Source Sans Pro" w:cs="Arial"/>
                <w:sz w:val="16"/>
                <w:szCs w:val="16"/>
              </w:rPr>
            </w:pPr>
            <w:r>
              <w:rPr>
                <w:rFonts w:ascii="Source Sans Pro" w:hAnsi="Source Sans Pro"/>
                <w:sz w:val="16"/>
                <w:szCs w:val="16"/>
              </w:rPr>
              <w:t>3.80</w:t>
            </w:r>
          </w:p>
        </w:tc>
        <w:tc>
          <w:tcPr>
            <w:tcW w:w="933" w:type="dxa"/>
            <w:vAlign w:val="center"/>
          </w:tcPr>
          <w:p w14:paraId="3DD3739A" w14:textId="1DF0CFF2" w:rsidR="00161817" w:rsidRPr="00161817" w:rsidRDefault="00A06310" w:rsidP="009E6C40">
            <w:pPr>
              <w:widowControl w:val="0"/>
              <w:jc w:val="center"/>
              <w:rPr>
                <w:rFonts w:ascii="Source Sans Pro" w:hAnsi="Source Sans Pro" w:cs="Arial"/>
                <w:sz w:val="16"/>
                <w:szCs w:val="16"/>
              </w:rPr>
            </w:pPr>
            <w:r>
              <w:rPr>
                <w:rFonts w:ascii="Source Sans Pro" w:hAnsi="Source Sans Pro"/>
                <w:sz w:val="16"/>
                <w:szCs w:val="16"/>
              </w:rPr>
              <w:t>4.10</w:t>
            </w:r>
          </w:p>
        </w:tc>
        <w:tc>
          <w:tcPr>
            <w:tcW w:w="937" w:type="dxa"/>
            <w:vAlign w:val="center"/>
          </w:tcPr>
          <w:p w14:paraId="7406BE99" w14:textId="446C33B4" w:rsidR="00161817" w:rsidRPr="00073A63" w:rsidRDefault="00A06310" w:rsidP="009E6C40">
            <w:pPr>
              <w:widowControl w:val="0"/>
              <w:jc w:val="center"/>
              <w:rPr>
                <w:rFonts w:ascii="Source Sans Pro" w:hAnsi="Source Sans Pro" w:cs="Arial"/>
                <w:sz w:val="16"/>
                <w:szCs w:val="16"/>
              </w:rPr>
            </w:pPr>
            <w:r>
              <w:rPr>
                <w:rFonts w:ascii="Source Sans Pro" w:hAnsi="Source Sans Pro"/>
                <w:sz w:val="16"/>
                <w:szCs w:val="16"/>
              </w:rPr>
              <w:t>4.00</w:t>
            </w:r>
          </w:p>
        </w:tc>
        <w:tc>
          <w:tcPr>
            <w:tcW w:w="937" w:type="dxa"/>
            <w:vAlign w:val="center"/>
          </w:tcPr>
          <w:p w14:paraId="41CAE3C0" w14:textId="0F046621" w:rsidR="00161817" w:rsidRPr="00073A63" w:rsidRDefault="00A06310" w:rsidP="009E6C40">
            <w:pPr>
              <w:widowControl w:val="0"/>
              <w:jc w:val="center"/>
              <w:rPr>
                <w:rFonts w:ascii="Source Sans Pro" w:hAnsi="Source Sans Pro" w:cs="Arial"/>
                <w:sz w:val="16"/>
                <w:szCs w:val="16"/>
              </w:rPr>
            </w:pPr>
            <w:r>
              <w:rPr>
                <w:rFonts w:ascii="Source Sans Pro" w:hAnsi="Source Sans Pro"/>
                <w:sz w:val="16"/>
                <w:szCs w:val="16"/>
              </w:rPr>
              <w:t>3.90</w:t>
            </w:r>
          </w:p>
        </w:tc>
        <w:tc>
          <w:tcPr>
            <w:tcW w:w="932" w:type="dxa"/>
            <w:vAlign w:val="center"/>
          </w:tcPr>
          <w:p w14:paraId="1F901372" w14:textId="28FC21D0" w:rsidR="00161817" w:rsidRPr="00A06310" w:rsidRDefault="00F67B89" w:rsidP="009E6C40">
            <w:pPr>
              <w:widowControl w:val="0"/>
              <w:jc w:val="center"/>
              <w:rPr>
                <w:rFonts w:ascii="Source Sans Pro" w:hAnsi="Source Sans Pro" w:cs="Arial"/>
                <w:sz w:val="16"/>
                <w:szCs w:val="16"/>
                <w:u w:val="single"/>
              </w:rPr>
            </w:pPr>
            <w:r>
              <w:rPr>
                <w:rFonts w:ascii="Source Sans Pro" w:hAnsi="Source Sans Pro"/>
                <w:sz w:val="16"/>
                <w:szCs w:val="16"/>
                <w:u w:val="single"/>
              </w:rPr>
              <w:t>4.50</w:t>
            </w:r>
          </w:p>
        </w:tc>
        <w:tc>
          <w:tcPr>
            <w:tcW w:w="936" w:type="dxa"/>
            <w:shd w:val="clear" w:color="auto" w:fill="auto"/>
            <w:vAlign w:val="center"/>
          </w:tcPr>
          <w:p w14:paraId="7546B5F5" w14:textId="66154C9F" w:rsidR="00161817" w:rsidRPr="00091D49" w:rsidRDefault="00A06310" w:rsidP="009E6C40">
            <w:pPr>
              <w:widowControl w:val="0"/>
              <w:jc w:val="center"/>
              <w:rPr>
                <w:rFonts w:ascii="Source Sans Pro" w:hAnsi="Source Sans Pro" w:cs="Arial"/>
                <w:sz w:val="16"/>
                <w:szCs w:val="16"/>
                <w:u w:val="single"/>
              </w:rPr>
            </w:pPr>
            <w:r>
              <w:rPr>
                <w:rFonts w:ascii="Source Sans Pro" w:hAnsi="Source Sans Pro"/>
                <w:sz w:val="16"/>
                <w:szCs w:val="16"/>
                <w:u w:val="single"/>
              </w:rPr>
              <w:t>4.50</w:t>
            </w:r>
          </w:p>
        </w:tc>
        <w:tc>
          <w:tcPr>
            <w:tcW w:w="800" w:type="dxa"/>
            <w:vAlign w:val="center"/>
          </w:tcPr>
          <w:p w14:paraId="34BF6507" w14:textId="6BA9F8A9" w:rsidR="00161817" w:rsidRPr="00161817" w:rsidRDefault="00584565" w:rsidP="00584565">
            <w:pPr>
              <w:widowControl w:val="0"/>
              <w:jc w:val="center"/>
              <w:rPr>
                <w:rFonts w:ascii="Source Sans Pro" w:hAnsi="Source Sans Pro" w:cs="Arial"/>
                <w:b/>
                <w:sz w:val="16"/>
                <w:szCs w:val="16"/>
              </w:rPr>
            </w:pPr>
            <w:r>
              <w:rPr>
                <w:rFonts w:ascii="Source Sans Pro" w:hAnsi="Source Sans Pro"/>
                <w:b/>
                <w:sz w:val="16"/>
                <w:szCs w:val="16"/>
              </w:rPr>
              <w:t>4.14</w:t>
            </w:r>
          </w:p>
        </w:tc>
      </w:tr>
      <w:tr w:rsidR="0052371C" w:rsidRPr="00161817" w14:paraId="5A0BD9F2" w14:textId="77777777" w:rsidTr="009E6C40">
        <w:tc>
          <w:tcPr>
            <w:tcW w:w="1939" w:type="dxa"/>
          </w:tcPr>
          <w:p w14:paraId="0E0D0B5A" w14:textId="77777777" w:rsidR="00161817" w:rsidRPr="00161817" w:rsidRDefault="00161817" w:rsidP="009E6C40">
            <w:pPr>
              <w:widowControl w:val="0"/>
              <w:jc w:val="both"/>
              <w:rPr>
                <w:rFonts w:ascii="Source Sans Pro" w:hAnsi="Source Sans Pro" w:cs="Arial"/>
                <w:b/>
                <w:sz w:val="16"/>
                <w:szCs w:val="16"/>
              </w:rPr>
            </w:pPr>
            <w:r>
              <w:rPr>
                <w:rFonts w:ascii="Source Sans Pro" w:hAnsi="Source Sans Pro"/>
                <w:b/>
                <w:sz w:val="16"/>
                <w:szCs w:val="16"/>
              </w:rPr>
              <w:t>against prior yr</w:t>
            </w:r>
            <w:r>
              <w:rPr>
                <w:rFonts w:ascii="Source Sans Pro" w:hAnsi="Source Sans Pro"/>
                <w:sz w:val="16"/>
                <w:szCs w:val="16"/>
              </w:rPr>
              <w:t xml:space="preserve"> in percentage points</w:t>
            </w:r>
          </w:p>
        </w:tc>
        <w:tc>
          <w:tcPr>
            <w:tcW w:w="817" w:type="dxa"/>
            <w:vAlign w:val="center"/>
          </w:tcPr>
          <w:p w14:paraId="2579329F" w14:textId="318AF4AC" w:rsidR="00161817" w:rsidRPr="00072A30" w:rsidRDefault="00A06310" w:rsidP="009E6C40">
            <w:pPr>
              <w:widowControl w:val="0"/>
              <w:jc w:val="center"/>
              <w:rPr>
                <w:rFonts w:ascii="Source Sans Pro" w:hAnsi="Source Sans Pro" w:cs="Arial"/>
                <w:sz w:val="16"/>
                <w:szCs w:val="16"/>
              </w:rPr>
            </w:pPr>
            <w:r>
              <w:rPr>
                <w:rFonts w:ascii="Source Sans Pro" w:hAnsi="Source Sans Pro"/>
                <w:sz w:val="16"/>
                <w:szCs w:val="16"/>
              </w:rPr>
              <w:t>0.90</w:t>
            </w:r>
          </w:p>
        </w:tc>
        <w:tc>
          <w:tcPr>
            <w:tcW w:w="816" w:type="dxa"/>
            <w:vAlign w:val="center"/>
          </w:tcPr>
          <w:p w14:paraId="3597B6B5" w14:textId="3AD94AC5" w:rsidR="00161817" w:rsidRPr="00161817" w:rsidRDefault="00A06310" w:rsidP="00A06310">
            <w:pPr>
              <w:widowControl w:val="0"/>
              <w:jc w:val="center"/>
              <w:rPr>
                <w:rFonts w:ascii="Source Sans Pro" w:hAnsi="Source Sans Pro" w:cs="Arial"/>
                <w:sz w:val="16"/>
                <w:szCs w:val="16"/>
              </w:rPr>
            </w:pPr>
            <w:r>
              <w:rPr>
                <w:rFonts w:ascii="Source Sans Pro" w:hAnsi="Source Sans Pro"/>
                <w:sz w:val="16"/>
                <w:szCs w:val="16"/>
              </w:rPr>
              <w:t>0.60</w:t>
            </w:r>
          </w:p>
        </w:tc>
        <w:tc>
          <w:tcPr>
            <w:tcW w:w="933" w:type="dxa"/>
            <w:vAlign w:val="center"/>
          </w:tcPr>
          <w:p w14:paraId="18491965" w14:textId="3D162AB4" w:rsidR="00161817" w:rsidRPr="00161817" w:rsidRDefault="00A06310" w:rsidP="009E6C40">
            <w:pPr>
              <w:widowControl w:val="0"/>
              <w:jc w:val="center"/>
              <w:rPr>
                <w:rFonts w:ascii="Source Sans Pro" w:hAnsi="Source Sans Pro" w:cs="Arial"/>
                <w:sz w:val="16"/>
                <w:szCs w:val="16"/>
              </w:rPr>
            </w:pPr>
            <w:r>
              <w:rPr>
                <w:rFonts w:ascii="Source Sans Pro" w:hAnsi="Source Sans Pro"/>
                <w:sz w:val="16"/>
                <w:szCs w:val="16"/>
              </w:rPr>
              <w:t>0.65</w:t>
            </w:r>
          </w:p>
        </w:tc>
        <w:tc>
          <w:tcPr>
            <w:tcW w:w="937" w:type="dxa"/>
            <w:vAlign w:val="center"/>
          </w:tcPr>
          <w:p w14:paraId="475FF0C9" w14:textId="16710BA4" w:rsidR="00161817" w:rsidRPr="00073A63" w:rsidRDefault="00A06310" w:rsidP="009E6C40">
            <w:pPr>
              <w:widowControl w:val="0"/>
              <w:jc w:val="center"/>
              <w:rPr>
                <w:rFonts w:ascii="Source Sans Pro" w:hAnsi="Source Sans Pro" w:cs="Arial"/>
                <w:sz w:val="16"/>
                <w:szCs w:val="16"/>
              </w:rPr>
            </w:pPr>
            <w:r>
              <w:rPr>
                <w:rFonts w:ascii="Source Sans Pro" w:hAnsi="Source Sans Pro"/>
                <w:sz w:val="16"/>
                <w:szCs w:val="16"/>
              </w:rPr>
              <w:t>0.70</w:t>
            </w:r>
          </w:p>
        </w:tc>
        <w:tc>
          <w:tcPr>
            <w:tcW w:w="937" w:type="dxa"/>
            <w:vAlign w:val="center"/>
          </w:tcPr>
          <w:p w14:paraId="46A53898" w14:textId="09D85AAA" w:rsidR="00161817" w:rsidRPr="00073A63" w:rsidRDefault="00A06310" w:rsidP="009E6C40">
            <w:pPr>
              <w:widowControl w:val="0"/>
              <w:jc w:val="center"/>
              <w:rPr>
                <w:rFonts w:ascii="Source Sans Pro" w:hAnsi="Source Sans Pro" w:cs="Arial"/>
                <w:sz w:val="16"/>
                <w:szCs w:val="16"/>
              </w:rPr>
            </w:pPr>
            <w:r>
              <w:rPr>
                <w:rFonts w:ascii="Source Sans Pro" w:hAnsi="Source Sans Pro"/>
                <w:sz w:val="16"/>
                <w:szCs w:val="16"/>
              </w:rPr>
              <w:t>0.70</w:t>
            </w:r>
          </w:p>
        </w:tc>
        <w:tc>
          <w:tcPr>
            <w:tcW w:w="932" w:type="dxa"/>
            <w:vAlign w:val="center"/>
          </w:tcPr>
          <w:p w14:paraId="4B78F66F" w14:textId="72B55767" w:rsidR="00161817" w:rsidRPr="00091D49" w:rsidRDefault="00A06310" w:rsidP="009E6C40">
            <w:pPr>
              <w:widowControl w:val="0"/>
              <w:jc w:val="center"/>
              <w:rPr>
                <w:rFonts w:ascii="Source Sans Pro" w:hAnsi="Source Sans Pro" w:cs="Arial"/>
                <w:sz w:val="16"/>
                <w:szCs w:val="16"/>
              </w:rPr>
            </w:pPr>
            <w:r>
              <w:rPr>
                <w:rFonts w:ascii="Source Sans Pro" w:hAnsi="Source Sans Pro"/>
                <w:sz w:val="16"/>
                <w:szCs w:val="16"/>
              </w:rPr>
              <w:t>1.00</w:t>
            </w:r>
          </w:p>
        </w:tc>
        <w:tc>
          <w:tcPr>
            <w:tcW w:w="936" w:type="dxa"/>
            <w:shd w:val="clear" w:color="auto" w:fill="auto"/>
            <w:vAlign w:val="center"/>
          </w:tcPr>
          <w:p w14:paraId="7A92EAA5" w14:textId="1F7369D5" w:rsidR="00161817" w:rsidRPr="00091D49" w:rsidRDefault="00A06310" w:rsidP="009E6C40">
            <w:pPr>
              <w:widowControl w:val="0"/>
              <w:jc w:val="center"/>
              <w:rPr>
                <w:rFonts w:ascii="Source Sans Pro" w:hAnsi="Source Sans Pro" w:cs="Arial"/>
                <w:sz w:val="16"/>
                <w:szCs w:val="16"/>
                <w:u w:val="single"/>
              </w:rPr>
            </w:pPr>
            <w:r>
              <w:rPr>
                <w:rFonts w:ascii="Source Sans Pro" w:hAnsi="Source Sans Pro"/>
                <w:sz w:val="16"/>
                <w:szCs w:val="16"/>
                <w:u w:val="single"/>
              </w:rPr>
              <w:t>1.40</w:t>
            </w:r>
          </w:p>
        </w:tc>
        <w:tc>
          <w:tcPr>
            <w:tcW w:w="800" w:type="dxa"/>
            <w:vAlign w:val="center"/>
          </w:tcPr>
          <w:p w14:paraId="7140B27A" w14:textId="31E6F125" w:rsidR="00161817" w:rsidRPr="00161817" w:rsidRDefault="00A06310" w:rsidP="00584565">
            <w:pPr>
              <w:widowControl w:val="0"/>
              <w:jc w:val="center"/>
              <w:rPr>
                <w:rFonts w:ascii="Source Sans Pro" w:hAnsi="Source Sans Pro" w:cs="Arial"/>
                <w:b/>
                <w:sz w:val="16"/>
                <w:szCs w:val="16"/>
              </w:rPr>
            </w:pPr>
            <w:r>
              <w:rPr>
                <w:rFonts w:ascii="Source Sans Pro" w:hAnsi="Source Sans Pro"/>
                <w:b/>
                <w:sz w:val="16"/>
                <w:szCs w:val="16"/>
              </w:rPr>
              <w:t>0.85</w:t>
            </w:r>
          </w:p>
        </w:tc>
      </w:tr>
      <w:tr w:rsidR="0052371C" w:rsidRPr="00161817" w14:paraId="57899BA9" w14:textId="77777777" w:rsidTr="009E6C40">
        <w:tc>
          <w:tcPr>
            <w:tcW w:w="1939" w:type="dxa"/>
          </w:tcPr>
          <w:p w14:paraId="13B4FAD9" w14:textId="77777777" w:rsidR="00161817" w:rsidRPr="00161817" w:rsidRDefault="00161817" w:rsidP="009E6C40">
            <w:pPr>
              <w:widowControl w:val="0"/>
              <w:jc w:val="both"/>
              <w:rPr>
                <w:rFonts w:ascii="Source Sans Pro" w:hAnsi="Source Sans Pro" w:cs="Arial"/>
                <w:b/>
                <w:sz w:val="16"/>
                <w:szCs w:val="16"/>
              </w:rPr>
            </w:pPr>
            <w:r>
              <w:rPr>
                <w:rFonts w:ascii="Source Sans Pro" w:hAnsi="Source Sans Pro"/>
                <w:b/>
                <w:sz w:val="16"/>
                <w:szCs w:val="16"/>
              </w:rPr>
              <w:t>Strongest</w:t>
            </w:r>
          </w:p>
          <w:p w14:paraId="210819D2" w14:textId="77777777" w:rsidR="00161817" w:rsidRPr="00161817" w:rsidRDefault="00161817" w:rsidP="009E6C40">
            <w:pPr>
              <w:widowControl w:val="0"/>
              <w:jc w:val="both"/>
              <w:rPr>
                <w:rFonts w:ascii="Source Sans Pro" w:hAnsi="Source Sans Pro" w:cs="Arial"/>
                <w:b/>
                <w:sz w:val="16"/>
                <w:szCs w:val="16"/>
              </w:rPr>
            </w:pPr>
            <w:r>
              <w:rPr>
                <w:rFonts w:ascii="Source Sans Pro" w:hAnsi="Source Sans Pro"/>
                <w:b/>
                <w:sz w:val="16"/>
                <w:szCs w:val="16"/>
              </w:rPr>
              <w:t>Asset class</w:t>
            </w:r>
          </w:p>
        </w:tc>
        <w:tc>
          <w:tcPr>
            <w:tcW w:w="817" w:type="dxa"/>
            <w:vAlign w:val="center"/>
          </w:tcPr>
          <w:p w14:paraId="4ED34F9A" w14:textId="564A1E31" w:rsidR="00161817" w:rsidRPr="00161817" w:rsidRDefault="00ED3FA6" w:rsidP="009E6C40">
            <w:pPr>
              <w:widowControl w:val="0"/>
              <w:jc w:val="center"/>
              <w:rPr>
                <w:rFonts w:ascii="Source Sans Pro" w:hAnsi="Source Sans Pro" w:cs="Arial"/>
                <w:sz w:val="16"/>
                <w:szCs w:val="16"/>
              </w:rPr>
            </w:pPr>
            <w:r>
              <w:rPr>
                <w:rFonts w:ascii="Source Sans Pro" w:hAnsi="Source Sans Pro"/>
                <w:sz w:val="16"/>
                <w:szCs w:val="16"/>
              </w:rPr>
              <w:t>Offices</w:t>
            </w:r>
          </w:p>
        </w:tc>
        <w:tc>
          <w:tcPr>
            <w:tcW w:w="816" w:type="dxa"/>
            <w:vAlign w:val="center"/>
          </w:tcPr>
          <w:p w14:paraId="1BA19745" w14:textId="54EDF25F" w:rsidR="00161817" w:rsidRPr="00161817" w:rsidRDefault="00ED3FA6" w:rsidP="009E6C40">
            <w:pPr>
              <w:widowControl w:val="0"/>
              <w:jc w:val="center"/>
              <w:rPr>
                <w:rFonts w:ascii="Source Sans Pro" w:hAnsi="Source Sans Pro" w:cs="Arial"/>
                <w:sz w:val="16"/>
                <w:szCs w:val="16"/>
              </w:rPr>
            </w:pPr>
            <w:r>
              <w:rPr>
                <w:rFonts w:ascii="Source Sans Pro" w:hAnsi="Source Sans Pro"/>
                <w:sz w:val="16"/>
                <w:szCs w:val="16"/>
              </w:rPr>
              <w:t>Retail</w:t>
            </w:r>
          </w:p>
        </w:tc>
        <w:tc>
          <w:tcPr>
            <w:tcW w:w="933" w:type="dxa"/>
            <w:vAlign w:val="center"/>
          </w:tcPr>
          <w:p w14:paraId="2135011E" w14:textId="727E50F1" w:rsidR="00161817" w:rsidRPr="00161817" w:rsidRDefault="00ED3FA6" w:rsidP="009E6C40">
            <w:pPr>
              <w:widowControl w:val="0"/>
              <w:jc w:val="center"/>
              <w:rPr>
                <w:rFonts w:ascii="Source Sans Pro" w:hAnsi="Source Sans Pro" w:cs="Arial"/>
                <w:sz w:val="16"/>
                <w:szCs w:val="16"/>
              </w:rPr>
            </w:pPr>
            <w:r>
              <w:rPr>
                <w:rFonts w:ascii="Source Sans Pro" w:hAnsi="Source Sans Pro"/>
                <w:sz w:val="16"/>
                <w:szCs w:val="16"/>
              </w:rPr>
              <w:t>Mixed use</w:t>
            </w:r>
          </w:p>
        </w:tc>
        <w:tc>
          <w:tcPr>
            <w:tcW w:w="937" w:type="dxa"/>
            <w:vAlign w:val="center"/>
          </w:tcPr>
          <w:p w14:paraId="0978A794" w14:textId="2BD6893B" w:rsidR="00161817" w:rsidRPr="00073A63" w:rsidRDefault="0052371C" w:rsidP="009E6C40">
            <w:pPr>
              <w:widowControl w:val="0"/>
              <w:jc w:val="center"/>
              <w:rPr>
                <w:rFonts w:ascii="Source Sans Pro" w:hAnsi="Source Sans Pro" w:cs="Arial"/>
                <w:sz w:val="16"/>
                <w:szCs w:val="16"/>
              </w:rPr>
            </w:pPr>
            <w:r>
              <w:rPr>
                <w:rFonts w:ascii="Source Sans Pro" w:hAnsi="Source Sans Pro"/>
                <w:sz w:val="16"/>
                <w:szCs w:val="16"/>
              </w:rPr>
              <w:t>Commercial buildings</w:t>
            </w:r>
          </w:p>
        </w:tc>
        <w:tc>
          <w:tcPr>
            <w:tcW w:w="937" w:type="dxa"/>
            <w:vAlign w:val="center"/>
          </w:tcPr>
          <w:p w14:paraId="74C19DC6" w14:textId="465718BA" w:rsidR="00161817" w:rsidRPr="00073A63" w:rsidRDefault="00ED3FA6" w:rsidP="009E6C40">
            <w:pPr>
              <w:widowControl w:val="0"/>
              <w:jc w:val="center"/>
              <w:rPr>
                <w:rFonts w:ascii="Source Sans Pro" w:hAnsi="Source Sans Pro" w:cs="Arial"/>
                <w:sz w:val="16"/>
                <w:szCs w:val="16"/>
              </w:rPr>
            </w:pPr>
            <w:r>
              <w:rPr>
                <w:rFonts w:ascii="Source Sans Pro" w:hAnsi="Source Sans Pro"/>
                <w:sz w:val="16"/>
                <w:szCs w:val="16"/>
              </w:rPr>
              <w:t>Offices</w:t>
            </w:r>
          </w:p>
        </w:tc>
        <w:tc>
          <w:tcPr>
            <w:tcW w:w="932" w:type="dxa"/>
            <w:vAlign w:val="center"/>
          </w:tcPr>
          <w:p w14:paraId="42CE99EF" w14:textId="63566752" w:rsidR="00161817" w:rsidRPr="00073A63" w:rsidRDefault="00ED3FA6" w:rsidP="009E6C40">
            <w:pPr>
              <w:widowControl w:val="0"/>
              <w:jc w:val="center"/>
              <w:rPr>
                <w:rFonts w:ascii="Source Sans Pro" w:hAnsi="Source Sans Pro" w:cs="Arial"/>
                <w:sz w:val="16"/>
                <w:szCs w:val="16"/>
              </w:rPr>
            </w:pPr>
            <w:r>
              <w:rPr>
                <w:rFonts w:ascii="Source Sans Pro" w:hAnsi="Source Sans Pro"/>
                <w:sz w:val="16"/>
                <w:szCs w:val="16"/>
              </w:rPr>
              <w:t>Land/development</w:t>
            </w:r>
          </w:p>
        </w:tc>
        <w:tc>
          <w:tcPr>
            <w:tcW w:w="936" w:type="dxa"/>
            <w:shd w:val="clear" w:color="auto" w:fill="auto"/>
            <w:vAlign w:val="center"/>
          </w:tcPr>
          <w:p w14:paraId="0AF439F9" w14:textId="000A06BA" w:rsidR="00161817" w:rsidRPr="00462200" w:rsidRDefault="00ED3FA6" w:rsidP="009E6C40">
            <w:pPr>
              <w:widowControl w:val="0"/>
              <w:jc w:val="center"/>
              <w:rPr>
                <w:rFonts w:ascii="Source Sans Pro" w:hAnsi="Source Sans Pro" w:cs="Arial"/>
                <w:sz w:val="16"/>
                <w:szCs w:val="16"/>
              </w:rPr>
            </w:pPr>
            <w:r>
              <w:rPr>
                <w:rFonts w:ascii="Source Sans Pro" w:hAnsi="Source Sans Pro"/>
                <w:sz w:val="16"/>
                <w:szCs w:val="16"/>
              </w:rPr>
              <w:t>Retail</w:t>
            </w:r>
          </w:p>
        </w:tc>
        <w:tc>
          <w:tcPr>
            <w:tcW w:w="800" w:type="dxa"/>
            <w:vAlign w:val="center"/>
          </w:tcPr>
          <w:p w14:paraId="5660B842" w14:textId="0569D767" w:rsidR="00161817" w:rsidRPr="00161817" w:rsidRDefault="00ED3FA6" w:rsidP="009E6C40">
            <w:pPr>
              <w:widowControl w:val="0"/>
              <w:jc w:val="center"/>
              <w:rPr>
                <w:rFonts w:ascii="Source Sans Pro" w:hAnsi="Source Sans Pro" w:cs="Arial"/>
                <w:b/>
                <w:sz w:val="16"/>
                <w:szCs w:val="16"/>
              </w:rPr>
            </w:pPr>
            <w:r>
              <w:rPr>
                <w:rFonts w:ascii="Source Sans Pro" w:hAnsi="Source Sans Pro"/>
                <w:b/>
                <w:sz w:val="16"/>
                <w:szCs w:val="16"/>
              </w:rPr>
              <w:t>Retail</w:t>
            </w:r>
          </w:p>
        </w:tc>
      </w:tr>
      <w:tr w:rsidR="0052371C" w:rsidRPr="00161817" w14:paraId="7FF3344D" w14:textId="77777777" w:rsidTr="009E6C40">
        <w:tc>
          <w:tcPr>
            <w:tcW w:w="1939" w:type="dxa"/>
          </w:tcPr>
          <w:p w14:paraId="55257A82" w14:textId="77777777" w:rsidR="00161817" w:rsidRPr="00161817" w:rsidRDefault="00161817" w:rsidP="009E6C40">
            <w:pPr>
              <w:widowControl w:val="0"/>
              <w:jc w:val="both"/>
              <w:rPr>
                <w:rFonts w:ascii="Source Sans Pro" w:hAnsi="Source Sans Pro" w:cs="Arial"/>
                <w:b/>
                <w:sz w:val="16"/>
                <w:szCs w:val="16"/>
              </w:rPr>
            </w:pPr>
            <w:r>
              <w:rPr>
                <w:rFonts w:ascii="Source Sans Pro" w:hAnsi="Source Sans Pro"/>
                <w:b/>
                <w:sz w:val="16"/>
                <w:szCs w:val="16"/>
              </w:rPr>
              <w:t>Strongest</w:t>
            </w:r>
          </w:p>
          <w:p w14:paraId="19D9BE72" w14:textId="77777777" w:rsidR="00161817" w:rsidRPr="00161817" w:rsidRDefault="00161817" w:rsidP="009E6C40">
            <w:pPr>
              <w:widowControl w:val="0"/>
              <w:jc w:val="both"/>
              <w:rPr>
                <w:rFonts w:ascii="Source Sans Pro" w:hAnsi="Source Sans Pro" w:cs="Arial"/>
                <w:b/>
                <w:sz w:val="16"/>
                <w:szCs w:val="16"/>
              </w:rPr>
            </w:pPr>
            <w:r>
              <w:rPr>
                <w:rFonts w:ascii="Source Sans Pro" w:hAnsi="Source Sans Pro"/>
                <w:b/>
                <w:sz w:val="16"/>
                <w:szCs w:val="16"/>
              </w:rPr>
              <w:t xml:space="preserve">asset class </w:t>
            </w:r>
            <w:r>
              <w:rPr>
                <w:rFonts w:ascii="Source Sans Pro" w:hAnsi="Source Sans Pro"/>
                <w:sz w:val="16"/>
                <w:szCs w:val="16"/>
              </w:rPr>
              <w:t>in %</w:t>
            </w:r>
          </w:p>
        </w:tc>
        <w:tc>
          <w:tcPr>
            <w:tcW w:w="817" w:type="dxa"/>
            <w:vAlign w:val="center"/>
          </w:tcPr>
          <w:p w14:paraId="516BE07F" w14:textId="5EE4514A" w:rsidR="00161817" w:rsidRPr="00161817" w:rsidRDefault="00ED3FA6" w:rsidP="009E6C40">
            <w:pPr>
              <w:widowControl w:val="0"/>
              <w:jc w:val="center"/>
              <w:rPr>
                <w:rFonts w:ascii="Source Sans Pro" w:hAnsi="Source Sans Pro" w:cs="Arial"/>
                <w:sz w:val="16"/>
                <w:szCs w:val="16"/>
              </w:rPr>
            </w:pPr>
            <w:r>
              <w:rPr>
                <w:rFonts w:ascii="Source Sans Pro" w:hAnsi="Source Sans Pro"/>
                <w:sz w:val="16"/>
                <w:szCs w:val="16"/>
              </w:rPr>
              <w:t>42 %</w:t>
            </w:r>
          </w:p>
        </w:tc>
        <w:tc>
          <w:tcPr>
            <w:tcW w:w="816" w:type="dxa"/>
            <w:vAlign w:val="center"/>
          </w:tcPr>
          <w:p w14:paraId="3290541C" w14:textId="2F7F1818" w:rsidR="00161817" w:rsidRPr="00161817" w:rsidRDefault="00ED3FA6" w:rsidP="009E6C40">
            <w:pPr>
              <w:widowControl w:val="0"/>
              <w:jc w:val="center"/>
              <w:rPr>
                <w:rFonts w:ascii="Source Sans Pro" w:hAnsi="Source Sans Pro" w:cs="Arial"/>
                <w:sz w:val="16"/>
                <w:szCs w:val="16"/>
              </w:rPr>
            </w:pPr>
            <w:r>
              <w:rPr>
                <w:rFonts w:ascii="Source Sans Pro" w:hAnsi="Source Sans Pro"/>
                <w:sz w:val="16"/>
                <w:szCs w:val="16"/>
              </w:rPr>
              <w:t>50 %</w:t>
            </w:r>
          </w:p>
        </w:tc>
        <w:tc>
          <w:tcPr>
            <w:tcW w:w="933" w:type="dxa"/>
            <w:vAlign w:val="center"/>
          </w:tcPr>
          <w:p w14:paraId="65F78631" w14:textId="5F468E41" w:rsidR="00161817" w:rsidRPr="00161817" w:rsidRDefault="00ED3FA6" w:rsidP="009E6C40">
            <w:pPr>
              <w:widowControl w:val="0"/>
              <w:jc w:val="center"/>
              <w:rPr>
                <w:rFonts w:ascii="Source Sans Pro" w:hAnsi="Source Sans Pro" w:cs="Arial"/>
                <w:sz w:val="16"/>
                <w:szCs w:val="16"/>
              </w:rPr>
            </w:pPr>
            <w:r>
              <w:rPr>
                <w:rFonts w:ascii="Source Sans Pro" w:hAnsi="Source Sans Pro"/>
                <w:sz w:val="16"/>
                <w:szCs w:val="16"/>
              </w:rPr>
              <w:t>50 %</w:t>
            </w:r>
          </w:p>
        </w:tc>
        <w:tc>
          <w:tcPr>
            <w:tcW w:w="937" w:type="dxa"/>
            <w:vAlign w:val="center"/>
          </w:tcPr>
          <w:p w14:paraId="63E405B4" w14:textId="1E1BC003" w:rsidR="00161817" w:rsidRPr="00073A63" w:rsidRDefault="00ED3FA6" w:rsidP="009E6C40">
            <w:pPr>
              <w:widowControl w:val="0"/>
              <w:jc w:val="center"/>
              <w:rPr>
                <w:rFonts w:ascii="Source Sans Pro" w:hAnsi="Source Sans Pro" w:cs="Arial"/>
                <w:sz w:val="16"/>
                <w:szCs w:val="16"/>
              </w:rPr>
            </w:pPr>
            <w:r>
              <w:rPr>
                <w:rFonts w:ascii="Source Sans Pro" w:hAnsi="Source Sans Pro"/>
                <w:sz w:val="16"/>
                <w:szCs w:val="16"/>
              </w:rPr>
              <w:t>49 %</w:t>
            </w:r>
          </w:p>
        </w:tc>
        <w:tc>
          <w:tcPr>
            <w:tcW w:w="937" w:type="dxa"/>
            <w:vAlign w:val="center"/>
          </w:tcPr>
          <w:p w14:paraId="3DBBA68E" w14:textId="77C4CB6D" w:rsidR="00161817" w:rsidRPr="00ED3FA6" w:rsidRDefault="00ED3FA6" w:rsidP="009E6C40">
            <w:pPr>
              <w:widowControl w:val="0"/>
              <w:jc w:val="center"/>
              <w:rPr>
                <w:rFonts w:ascii="Source Sans Pro" w:hAnsi="Source Sans Pro" w:cs="Arial"/>
                <w:sz w:val="16"/>
                <w:szCs w:val="16"/>
                <w:u w:val="single"/>
              </w:rPr>
            </w:pPr>
            <w:r>
              <w:rPr>
                <w:rFonts w:ascii="Source Sans Pro" w:hAnsi="Source Sans Pro"/>
                <w:sz w:val="16"/>
                <w:szCs w:val="16"/>
                <w:u w:val="single"/>
              </w:rPr>
              <w:t>85 %</w:t>
            </w:r>
          </w:p>
        </w:tc>
        <w:tc>
          <w:tcPr>
            <w:tcW w:w="932" w:type="dxa"/>
            <w:vAlign w:val="center"/>
          </w:tcPr>
          <w:p w14:paraId="62F15918" w14:textId="03BDF37C" w:rsidR="00161817" w:rsidRPr="00073A63" w:rsidRDefault="0092334A" w:rsidP="009E6C40">
            <w:pPr>
              <w:widowControl w:val="0"/>
              <w:jc w:val="center"/>
              <w:rPr>
                <w:rFonts w:ascii="Source Sans Pro" w:hAnsi="Source Sans Pro" w:cs="Arial"/>
                <w:sz w:val="16"/>
                <w:szCs w:val="16"/>
              </w:rPr>
            </w:pPr>
            <w:r>
              <w:rPr>
                <w:rFonts w:ascii="Source Sans Pro" w:hAnsi="Source Sans Pro"/>
                <w:sz w:val="16"/>
                <w:szCs w:val="16"/>
              </w:rPr>
              <w:t>40 %</w:t>
            </w:r>
          </w:p>
        </w:tc>
        <w:tc>
          <w:tcPr>
            <w:tcW w:w="936" w:type="dxa"/>
            <w:shd w:val="clear" w:color="auto" w:fill="auto"/>
            <w:vAlign w:val="center"/>
          </w:tcPr>
          <w:p w14:paraId="5FF3E0CF" w14:textId="09D85BA1" w:rsidR="00161817" w:rsidRPr="00462200" w:rsidRDefault="00ED3FA6" w:rsidP="009E6C40">
            <w:pPr>
              <w:widowControl w:val="0"/>
              <w:jc w:val="center"/>
              <w:rPr>
                <w:rFonts w:ascii="Source Sans Pro" w:hAnsi="Source Sans Pro" w:cs="Arial"/>
                <w:sz w:val="16"/>
                <w:szCs w:val="16"/>
              </w:rPr>
            </w:pPr>
            <w:r>
              <w:rPr>
                <w:rFonts w:ascii="Source Sans Pro" w:hAnsi="Source Sans Pro"/>
                <w:sz w:val="16"/>
                <w:szCs w:val="16"/>
              </w:rPr>
              <w:t>52 %</w:t>
            </w:r>
          </w:p>
        </w:tc>
        <w:tc>
          <w:tcPr>
            <w:tcW w:w="800" w:type="dxa"/>
            <w:vAlign w:val="center"/>
          </w:tcPr>
          <w:p w14:paraId="2A043F0A" w14:textId="1794D98F" w:rsidR="00161817" w:rsidRPr="00161817" w:rsidRDefault="00ED3FA6" w:rsidP="009E6C40">
            <w:pPr>
              <w:widowControl w:val="0"/>
              <w:jc w:val="center"/>
              <w:rPr>
                <w:rFonts w:ascii="Source Sans Pro" w:hAnsi="Source Sans Pro" w:cs="Arial"/>
                <w:b/>
                <w:sz w:val="16"/>
                <w:szCs w:val="16"/>
              </w:rPr>
            </w:pPr>
            <w:r>
              <w:rPr>
                <w:rFonts w:ascii="Source Sans Pro" w:hAnsi="Source Sans Pro"/>
                <w:b/>
                <w:sz w:val="16"/>
                <w:szCs w:val="16"/>
              </w:rPr>
              <w:t>37 %</w:t>
            </w:r>
          </w:p>
        </w:tc>
      </w:tr>
    </w:tbl>
    <w:p w14:paraId="24F7C797" w14:textId="5003AE93" w:rsidR="00DA733A" w:rsidRPr="00161817" w:rsidRDefault="00161817" w:rsidP="00DA733A">
      <w:pPr>
        <w:pStyle w:val="EinfAbs"/>
        <w:tabs>
          <w:tab w:val="left" w:pos="200"/>
        </w:tabs>
        <w:jc w:val="both"/>
        <w:rPr>
          <w:rFonts w:ascii="Source Sans Pro" w:hAnsi="Source Sans Pro" w:cs="Arial"/>
          <w:sz w:val="16"/>
          <w:szCs w:val="16"/>
        </w:rPr>
      </w:pPr>
      <w:r>
        <w:rPr>
          <w:rFonts w:ascii="Source Sans Pro" w:hAnsi="Source Sans Pro"/>
          <w:sz w:val="16"/>
          <w:szCs w:val="16"/>
        </w:rPr>
        <w:t>* Net initial yield; Source: German Property Partners (GPP)</w:t>
      </w:r>
    </w:p>
    <w:p w14:paraId="384D0EB4" w14:textId="77777777" w:rsidR="00161817" w:rsidRDefault="00161817" w:rsidP="00DA733A">
      <w:pPr>
        <w:pStyle w:val="EinfAbs"/>
        <w:tabs>
          <w:tab w:val="left" w:pos="200"/>
        </w:tabs>
        <w:jc w:val="both"/>
        <w:rPr>
          <w:rFonts w:ascii="Source Sans Pro" w:hAnsi="Source Sans Pro" w:cs="Source Sans Pro"/>
          <w:sz w:val="22"/>
          <w:szCs w:val="22"/>
        </w:rPr>
      </w:pPr>
    </w:p>
    <w:p w14:paraId="50B0AF24" w14:textId="04CDDE4D" w:rsidR="00DA733A" w:rsidRPr="00966A04" w:rsidRDefault="002B63FD" w:rsidP="00966A04">
      <w:pPr>
        <w:overflowPunct/>
        <w:autoSpaceDE/>
        <w:autoSpaceDN/>
        <w:adjustRightInd/>
        <w:textAlignment w:val="auto"/>
        <w:rPr>
          <w:rFonts w:ascii="Source Sans Pro SemiBold" w:hAnsi="Source Sans Pro SemiBold" w:cs="Source Sans Pro SemiBold"/>
          <w:b/>
          <w:bCs/>
          <w:caps/>
          <w:color w:val="0087A8"/>
          <w:sz w:val="18"/>
          <w:szCs w:val="18"/>
        </w:rPr>
      </w:pPr>
      <w:r>
        <w:rPr>
          <w:rFonts w:ascii="Source Sans Pro SemiBold" w:hAnsi="Source Sans Pro SemiBold"/>
          <w:b/>
          <w:bCs/>
          <w:caps/>
          <w:color w:val="0087A8"/>
          <w:sz w:val="18"/>
          <w:szCs w:val="18"/>
        </w:rPr>
        <w:t xml:space="preserve">ABOUT GERMAN PROPERTY PARTNERS </w:t>
      </w:r>
    </w:p>
    <w:p w14:paraId="47B60849" w14:textId="77777777" w:rsidR="00E1280F" w:rsidRPr="00E1280F" w:rsidRDefault="00FE6B13" w:rsidP="00E1280F">
      <w:pPr>
        <w:pStyle w:val="EinfAbs"/>
        <w:tabs>
          <w:tab w:val="left" w:pos="200"/>
        </w:tabs>
        <w:spacing w:line="220" w:lineRule="exact"/>
        <w:jc w:val="both"/>
        <w:rPr>
          <w:rFonts w:ascii="Source Sans Pro SemiBold" w:hAnsi="Source Sans Pro SemiBold" w:cs="Source Sans Pro SemiBold"/>
          <w:bCs/>
          <w:caps/>
          <w:color w:val="0087A8"/>
          <w:sz w:val="18"/>
          <w:szCs w:val="18"/>
        </w:rPr>
      </w:pPr>
      <w:hyperlink r:id="rId8" w:history="1">
        <w:r w:rsidR="00091D49">
          <w:rPr>
            <w:rFonts w:ascii="Source Sans Pro SemiBold" w:hAnsi="Source Sans Pro SemiBold"/>
            <w:bCs/>
            <w:caps/>
            <w:color w:val="0087A8"/>
            <w:sz w:val="18"/>
            <w:szCs w:val="18"/>
          </w:rPr>
          <w:t>German Property Partners</w:t>
        </w:r>
      </w:hyperlink>
      <w:r w:rsidR="00091D49">
        <w:rPr>
          <w:rFonts w:ascii="Source Sans Pro SemiBold" w:hAnsi="Source Sans Pro SemiBold"/>
          <w:bCs/>
          <w:caps/>
          <w:color w:val="0087A8"/>
          <w:sz w:val="18"/>
          <w:szCs w:val="18"/>
        </w:rPr>
        <w:t xml:space="preserve"> is a national network of property service providers; they are all leaders in their local markets. Membership now consists of Grossmann &amp; Berger, Anteon Immobilien, GREIF &amp; CONTZEN Immobilien, blackolive and E &amp; G Real Estate. The network is remarkable for the members’ intimate knowledge of local markets, the experience of the partner firms’ long-standing property consultants and the personal dedication of the owners and directors. </w:t>
      </w:r>
    </w:p>
    <w:p w14:paraId="0E6D674A" w14:textId="77777777" w:rsidR="00E1280F" w:rsidRPr="00E1280F" w:rsidRDefault="00E1280F" w:rsidP="00E1280F">
      <w:pPr>
        <w:pStyle w:val="EinfAbs"/>
        <w:tabs>
          <w:tab w:val="left" w:pos="200"/>
        </w:tabs>
        <w:spacing w:line="220" w:lineRule="exact"/>
        <w:jc w:val="both"/>
        <w:rPr>
          <w:rFonts w:ascii="Source Sans Pro SemiBold" w:hAnsi="Source Sans Pro SemiBold" w:cs="Source Sans Pro SemiBold"/>
          <w:bCs/>
          <w:caps/>
          <w:color w:val="0087A8"/>
          <w:sz w:val="18"/>
          <w:szCs w:val="18"/>
        </w:rPr>
      </w:pPr>
    </w:p>
    <w:p w14:paraId="36C5C800" w14:textId="77777777" w:rsidR="00E1280F" w:rsidRPr="00E1280F" w:rsidRDefault="00E1280F" w:rsidP="00E1280F">
      <w:pPr>
        <w:pStyle w:val="EinfAbs"/>
        <w:tabs>
          <w:tab w:val="left" w:pos="200"/>
        </w:tabs>
        <w:spacing w:line="220" w:lineRule="exact"/>
        <w:jc w:val="both"/>
        <w:rPr>
          <w:rFonts w:ascii="Source Sans Pro SemiBold" w:hAnsi="Source Sans Pro SemiBold" w:cs="Source Sans Pro SemiBold"/>
          <w:bCs/>
          <w:caps/>
          <w:color w:val="0087A8"/>
          <w:sz w:val="18"/>
          <w:szCs w:val="18"/>
        </w:rPr>
      </w:pPr>
      <w:r>
        <w:rPr>
          <w:rFonts w:ascii="Source Sans Pro SemiBold" w:hAnsi="Source Sans Pro SemiBold"/>
          <w:bCs/>
          <w:caps/>
          <w:color w:val="0087A8"/>
          <w:sz w:val="18"/>
          <w:szCs w:val="18"/>
        </w:rPr>
        <w:t xml:space="preserve">In Germany’s top 7 cities - Hamburg, Berlin, Düsseldorf, Cologne | Bonn, Frankfurt, Stuttgart and Munich - network partners have their own offices offering services in the field of property investment, commercial letting, corporate real estate management (CREM), property valuation and research. Rounding off the range of skills are banking, finance and administration services. </w:t>
      </w:r>
    </w:p>
    <w:p w14:paraId="24310FE5" w14:textId="77777777" w:rsidR="00E1280F" w:rsidRPr="00E1280F" w:rsidRDefault="00E1280F" w:rsidP="00E1280F">
      <w:pPr>
        <w:pStyle w:val="EinfAbs"/>
        <w:tabs>
          <w:tab w:val="left" w:pos="200"/>
        </w:tabs>
        <w:spacing w:line="220" w:lineRule="exact"/>
        <w:jc w:val="both"/>
        <w:rPr>
          <w:rFonts w:ascii="Source Sans Pro SemiBold" w:hAnsi="Source Sans Pro SemiBold" w:cs="Source Sans Pro SemiBold"/>
          <w:bCs/>
          <w:caps/>
          <w:color w:val="0087A8"/>
          <w:sz w:val="18"/>
          <w:szCs w:val="18"/>
        </w:rPr>
      </w:pPr>
    </w:p>
    <w:p w14:paraId="7A96D1EF" w14:textId="77777777" w:rsidR="007F12A3" w:rsidRPr="00E1280F" w:rsidRDefault="007F12A3" w:rsidP="007F12A3">
      <w:pPr>
        <w:pStyle w:val="EinfAbs"/>
        <w:tabs>
          <w:tab w:val="left" w:pos="200"/>
        </w:tabs>
        <w:spacing w:line="220" w:lineRule="exact"/>
        <w:jc w:val="both"/>
        <w:rPr>
          <w:rFonts w:ascii="Source Sans Pro SemiBold" w:hAnsi="Source Sans Pro SemiBold" w:cs="Source Sans Pro SemiBold"/>
          <w:bCs/>
          <w:caps/>
          <w:color w:val="0087A8"/>
          <w:sz w:val="18"/>
          <w:szCs w:val="18"/>
        </w:rPr>
      </w:pPr>
      <w:r>
        <w:rPr>
          <w:rFonts w:ascii="Source Sans Pro SemiBold" w:hAnsi="Source Sans Pro SemiBold"/>
          <w:bCs/>
          <w:caps/>
          <w:color w:val="0087A8"/>
          <w:sz w:val="18"/>
          <w:szCs w:val="18"/>
        </w:rPr>
        <w:t>Currently, more than 420 property specialists work for the network. Nationwide, German Property Partners brokered lets in 2022 involving 580,000 m² of commercial property, and managed investment transactions totalling €1.5bn.</w:t>
      </w:r>
    </w:p>
    <w:p w14:paraId="03D0C7E2" w14:textId="6011ECBB" w:rsidR="00DA733A" w:rsidRPr="006456EA" w:rsidRDefault="00DA733A" w:rsidP="00DA733A">
      <w:pPr>
        <w:pStyle w:val="EinfAbs"/>
        <w:tabs>
          <w:tab w:val="left" w:pos="200"/>
        </w:tabs>
        <w:spacing w:line="220" w:lineRule="exact"/>
        <w:jc w:val="both"/>
        <w:rPr>
          <w:rFonts w:ascii="Source Sans Pro" w:hAnsi="Source Sans Pro" w:cs="Source Sans Pro"/>
          <w:color w:val="0087A8"/>
          <w:sz w:val="18"/>
          <w:szCs w:val="18"/>
        </w:rPr>
      </w:pPr>
    </w:p>
    <w:p w14:paraId="3267071B" w14:textId="05540F4C" w:rsidR="00D56A51" w:rsidRDefault="00FE6B13" w:rsidP="00D56A51">
      <w:pPr>
        <w:pStyle w:val="EinfAbs"/>
        <w:tabs>
          <w:tab w:val="left" w:pos="200"/>
        </w:tabs>
        <w:spacing w:line="220" w:lineRule="exact"/>
        <w:jc w:val="both"/>
        <w:rPr>
          <w:rFonts w:ascii="Source Sans Pro SemiBold" w:hAnsi="Source Sans Pro SemiBold" w:cs="Source Sans Pro"/>
          <w:b/>
          <w:bCs/>
          <w:color w:val="0087A8"/>
          <w:sz w:val="18"/>
          <w:szCs w:val="18"/>
        </w:rPr>
      </w:pPr>
      <w:hyperlink r:id="rId9" w:history="1">
        <w:r w:rsidR="00091D49">
          <w:rPr>
            <w:rStyle w:val="Hyperlink"/>
            <w:rFonts w:ascii="Source Sans Pro SemiBold" w:hAnsi="Source Sans Pro SemiBold"/>
            <w:b/>
            <w:bCs/>
            <w:sz w:val="18"/>
            <w:szCs w:val="18"/>
          </w:rPr>
          <w:t>www.germanpropertypartners.de</w:t>
        </w:r>
      </w:hyperlink>
    </w:p>
    <w:p w14:paraId="468FAFF6" w14:textId="33FAAA60" w:rsidR="005C25D5" w:rsidRPr="00D56A51" w:rsidRDefault="00290672" w:rsidP="00D56A51">
      <w:pPr>
        <w:pStyle w:val="EinfAbs"/>
        <w:tabs>
          <w:tab w:val="left" w:pos="200"/>
        </w:tabs>
        <w:spacing w:line="220" w:lineRule="exact"/>
        <w:jc w:val="both"/>
        <w:rPr>
          <w:rFonts w:ascii="Source Sans Pro SemiBold" w:hAnsi="Source Sans Pro SemiBold" w:cs="Source Sans Pro"/>
          <w:b/>
          <w:bCs/>
          <w:color w:val="0087A8"/>
          <w:sz w:val="18"/>
          <w:szCs w:val="18"/>
        </w:rPr>
      </w:pPr>
      <w:r>
        <w:rPr>
          <w:sz w:val="14"/>
          <w:szCs w:val="14"/>
        </w:rPr>
        <w:t xml:space="preserve">German Property Partners’ </w:t>
      </w:r>
      <w:r>
        <w:rPr>
          <w:b/>
          <w:sz w:val="14"/>
          <w:szCs w:val="14"/>
        </w:rPr>
        <w:t>data protection declaration</w:t>
      </w:r>
      <w:r>
        <w:rPr>
          <w:sz w:val="14"/>
          <w:szCs w:val="14"/>
        </w:rPr>
        <w:t xml:space="preserve"> is available on the GPP website: www.germanpropertypartners.de/en/privacy-policy.</w:t>
      </w:r>
      <w:r>
        <w:rPr>
          <w:rFonts w:ascii="Source Sans Pro" w:hAnsi="Source Sans Pro"/>
          <w:sz w:val="14"/>
          <w:szCs w:val="14"/>
        </w:rPr>
        <w:t xml:space="preserve"> If in future you would prefer not to receive any more information from the GPP press office, please e-mail us at presse@germanpropertypartners.de quoting as reference "Abmeldung aus Presseverteiler” / “Unsubscribe from press mailing list”. </w:t>
      </w:r>
    </w:p>
    <w:sectPr w:rsidR="005C25D5" w:rsidRPr="00D56A51" w:rsidSect="001B786B">
      <w:headerReference w:type="default" r:id="rId10"/>
      <w:footerReference w:type="default" r:id="rId11"/>
      <w:headerReference w:type="first" r:id="rId12"/>
      <w:footerReference w:type="first" r:id="rId13"/>
      <w:pgSz w:w="11900" w:h="16820" w:code="9"/>
      <w:pgMar w:top="2552" w:right="1304" w:bottom="567" w:left="1304" w:header="885" w:footer="567"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12F1F" w14:textId="77777777" w:rsidR="00F72EA4" w:rsidRDefault="00F72EA4">
      <w:r>
        <w:separator/>
      </w:r>
    </w:p>
  </w:endnote>
  <w:endnote w:type="continuationSeparator" w:id="0">
    <w:p w14:paraId="232ED5B3" w14:textId="77777777" w:rsidR="00F72EA4" w:rsidRDefault="00F72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ource Sans Pro">
    <w:altName w:val="Cambria Math"/>
    <w:panose1 w:val="020B05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ource Sans Pro SemiBold">
    <w:altName w:val="Cambria Math"/>
    <w:panose1 w:val="020B0603030403020204"/>
    <w:charset w:val="00"/>
    <w:family w:val="swiss"/>
    <w:pitch w:val="variable"/>
    <w:sig w:usb0="600002F7" w:usb1="02000001" w:usb2="00000000" w:usb3="00000000" w:csb0="0000019F" w:csb1="00000000"/>
  </w:font>
  <w:font w:name="HelveticaNeueLT Pro 55 Roman">
    <w:altName w:val="Arial"/>
    <w:charset w:val="4D"/>
    <w:family w:val="swiss"/>
    <w:pitch w:val="variable"/>
    <w:sig w:usb0="A00000AF" w:usb1="5000204A" w:usb2="00000000" w:usb3="00000000" w:csb0="00000093" w:csb1="00000000"/>
  </w:font>
  <w:font w:name="DengXian Light">
    <w:altName w:val="Microsoft JhengHei Light"/>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FC666" w14:textId="0B1390D1" w:rsidR="001B786B" w:rsidRDefault="001B786B" w:rsidP="001B786B">
    <w:pPr>
      <w:pStyle w:val="Fuzeile"/>
      <w:spacing w:line="220" w:lineRule="exact"/>
      <w:rPr>
        <w:rStyle w:val="Seitenzahl"/>
        <w:rFonts w:ascii="Source Sans Pro" w:hAnsi="Source Sans Pro" w:cs="Arial"/>
        <w:color w:val="0086A8"/>
        <w:sz w:val="18"/>
        <w:szCs w:val="18"/>
      </w:rPr>
    </w:pPr>
  </w:p>
  <w:p w14:paraId="08A74C44" w14:textId="77777777" w:rsidR="006F154A" w:rsidRDefault="006F154A" w:rsidP="001B786B">
    <w:pPr>
      <w:pStyle w:val="Fuzeile"/>
      <w:spacing w:line="220" w:lineRule="exact"/>
      <w:rPr>
        <w:rStyle w:val="Seitenzahl"/>
        <w:rFonts w:ascii="Source Sans Pro" w:hAnsi="Source Sans Pro" w:cs="Arial"/>
        <w:color w:val="0086A8"/>
        <w:sz w:val="18"/>
        <w:szCs w:val="18"/>
      </w:rPr>
    </w:pPr>
  </w:p>
  <w:p w14:paraId="1F725FAF" w14:textId="77777777" w:rsidR="006F154A" w:rsidRPr="006456EA" w:rsidRDefault="006F154A" w:rsidP="001B786B">
    <w:pPr>
      <w:pStyle w:val="Fuzeile"/>
      <w:spacing w:line="220" w:lineRule="exact"/>
      <w:rPr>
        <w:rStyle w:val="Seitenzahl"/>
        <w:rFonts w:ascii="Source Sans Pro" w:hAnsi="Source Sans Pro" w:cs="Arial"/>
        <w:color w:val="0087A8"/>
        <w:sz w:val="18"/>
        <w:szCs w:val="18"/>
      </w:rPr>
    </w:pPr>
  </w:p>
  <w:p w14:paraId="3E5BA6C5" w14:textId="0D51B096" w:rsidR="005644BE" w:rsidRPr="006456EA" w:rsidRDefault="005644BE" w:rsidP="005644BE">
    <w:pPr>
      <w:pStyle w:val="Fuzeile"/>
      <w:spacing w:line="220" w:lineRule="exact"/>
      <w:rPr>
        <w:rStyle w:val="Seitenzahl"/>
        <w:rFonts w:ascii="Source Sans Pro" w:hAnsi="Source Sans Pro" w:cs="Arial"/>
        <w:color w:val="0087A8"/>
        <w:sz w:val="18"/>
        <w:szCs w:val="18"/>
      </w:rPr>
    </w:pPr>
    <w:r w:rsidRPr="006456EA">
      <w:rPr>
        <w:rStyle w:val="Seitenzahl"/>
        <w:rFonts w:ascii="Source Sans Pro" w:hAnsi="Source Sans Pro" w:cs="Arial"/>
        <w:color w:val="0087A8"/>
        <w:sz w:val="18"/>
        <w:szCs w:val="18"/>
      </w:rPr>
      <w:fldChar w:fldCharType="begin"/>
    </w:r>
    <w:r w:rsidRPr="006456EA">
      <w:rPr>
        <w:rStyle w:val="Seitenzahl"/>
        <w:rFonts w:ascii="Source Sans Pro" w:hAnsi="Source Sans Pro" w:cs="Arial"/>
        <w:color w:val="0087A8"/>
        <w:sz w:val="18"/>
        <w:szCs w:val="18"/>
      </w:rPr>
      <w:instrText xml:space="preserve"> PAGE </w:instrText>
    </w:r>
    <w:r w:rsidRPr="006456EA">
      <w:rPr>
        <w:rStyle w:val="Seitenzahl"/>
        <w:rFonts w:ascii="Source Sans Pro" w:hAnsi="Source Sans Pro" w:cs="Arial"/>
        <w:color w:val="0087A8"/>
        <w:sz w:val="18"/>
        <w:szCs w:val="18"/>
      </w:rPr>
      <w:fldChar w:fldCharType="separate"/>
    </w:r>
    <w:r w:rsidR="00FE6B13">
      <w:rPr>
        <w:rStyle w:val="Seitenzahl"/>
        <w:rFonts w:ascii="Source Sans Pro" w:hAnsi="Source Sans Pro" w:cs="Arial"/>
        <w:noProof/>
        <w:color w:val="0087A8"/>
        <w:sz w:val="18"/>
        <w:szCs w:val="18"/>
      </w:rPr>
      <w:t>3</w:t>
    </w:r>
    <w:r w:rsidRPr="006456EA">
      <w:rPr>
        <w:rStyle w:val="Seitenzahl"/>
        <w:rFonts w:ascii="Source Sans Pro" w:hAnsi="Source Sans Pro" w:cs="Arial"/>
        <w:color w:val="0087A8"/>
        <w:sz w:val="18"/>
        <w:szCs w:val="18"/>
      </w:rPr>
      <w:fldChar w:fldCharType="end"/>
    </w:r>
    <w:r>
      <w:rPr>
        <w:rStyle w:val="Seitenzahl"/>
        <w:rFonts w:ascii="Source Sans Pro" w:hAnsi="Source Sans Pro"/>
        <w:color w:val="0087A8"/>
        <w:sz w:val="18"/>
        <w:szCs w:val="18"/>
      </w:rPr>
      <w:t xml:space="preserve"> I </w:t>
    </w:r>
    <w:r w:rsidRPr="006456EA">
      <w:rPr>
        <w:rStyle w:val="Seitenzahl"/>
        <w:rFonts w:ascii="Source Sans Pro" w:hAnsi="Source Sans Pro" w:cs="Arial"/>
        <w:color w:val="0087A8"/>
        <w:sz w:val="18"/>
        <w:szCs w:val="18"/>
      </w:rPr>
      <w:fldChar w:fldCharType="begin"/>
    </w:r>
    <w:r w:rsidRPr="006456EA">
      <w:rPr>
        <w:rStyle w:val="Seitenzahl"/>
        <w:rFonts w:ascii="Source Sans Pro" w:hAnsi="Source Sans Pro" w:cs="Arial"/>
        <w:color w:val="0087A8"/>
        <w:sz w:val="18"/>
        <w:szCs w:val="18"/>
      </w:rPr>
      <w:instrText xml:space="preserve"> NUMPAGES </w:instrText>
    </w:r>
    <w:r w:rsidRPr="006456EA">
      <w:rPr>
        <w:rStyle w:val="Seitenzahl"/>
        <w:rFonts w:ascii="Source Sans Pro" w:hAnsi="Source Sans Pro" w:cs="Arial"/>
        <w:color w:val="0087A8"/>
        <w:sz w:val="18"/>
        <w:szCs w:val="18"/>
      </w:rPr>
      <w:fldChar w:fldCharType="separate"/>
    </w:r>
    <w:r w:rsidR="00FE6B13">
      <w:rPr>
        <w:rStyle w:val="Seitenzahl"/>
        <w:rFonts w:ascii="Source Sans Pro" w:hAnsi="Source Sans Pro" w:cs="Arial"/>
        <w:noProof/>
        <w:color w:val="0087A8"/>
        <w:sz w:val="18"/>
        <w:szCs w:val="18"/>
      </w:rPr>
      <w:t>3</w:t>
    </w:r>
    <w:r w:rsidRPr="006456EA">
      <w:rPr>
        <w:rStyle w:val="Seitenzahl"/>
        <w:rFonts w:ascii="Source Sans Pro" w:hAnsi="Source Sans Pro" w:cs="Arial"/>
        <w:color w:val="0087A8"/>
        <w:sz w:val="18"/>
        <w:szCs w:val="18"/>
      </w:rPr>
      <w:fldChar w:fldCharType="end"/>
    </w:r>
  </w:p>
  <w:p w14:paraId="5D199B7F" w14:textId="3415D950" w:rsidR="005644BE" w:rsidRPr="006456EA" w:rsidRDefault="005644BE" w:rsidP="005644BE">
    <w:pPr>
      <w:pStyle w:val="EinfAbs"/>
      <w:tabs>
        <w:tab w:val="left" w:pos="2268"/>
      </w:tabs>
      <w:spacing w:line="220" w:lineRule="exact"/>
      <w:rPr>
        <w:rFonts w:ascii="Source Sans Pro" w:hAnsi="Source Sans Pro" w:cs="Source Sans Pro"/>
        <w:color w:val="0087A8"/>
        <w:sz w:val="18"/>
        <w:szCs w:val="18"/>
      </w:rPr>
    </w:pPr>
    <w:r>
      <w:rPr>
        <w:rFonts w:ascii="Source Sans Pro SemiBold" w:hAnsi="Source Sans Pro SemiBold"/>
        <w:b/>
        <w:bCs/>
        <w:caps/>
        <w:color w:val="0087A8"/>
        <w:sz w:val="18"/>
        <w:szCs w:val="18"/>
      </w:rPr>
      <w:t>PRESS CONTACT</w:t>
    </w:r>
    <w:r>
      <w:rPr>
        <w:rFonts w:ascii="Source Sans Pro SemiBold" w:hAnsi="Source Sans Pro SemiBold"/>
        <w:b/>
        <w:bCs/>
        <w:caps/>
        <w:color w:val="0087A8"/>
        <w:sz w:val="18"/>
        <w:szCs w:val="18"/>
      </w:rPr>
      <w:tab/>
    </w:r>
    <w:r>
      <w:rPr>
        <w:rFonts w:ascii="Source Sans Pro" w:hAnsi="Source Sans Pro"/>
        <w:color w:val="0087A8"/>
        <w:sz w:val="18"/>
        <w:szCs w:val="18"/>
      </w:rPr>
      <w:t xml:space="preserve">Tel.: +490 350802 -988 </w:t>
    </w:r>
  </w:p>
  <w:p w14:paraId="6F9C1B3C" w14:textId="42A6765D" w:rsidR="00C41C74" w:rsidRPr="005644BE" w:rsidRDefault="00965DEB" w:rsidP="001B786B">
    <w:pPr>
      <w:pStyle w:val="EinfAbs"/>
      <w:tabs>
        <w:tab w:val="left" w:pos="2268"/>
      </w:tabs>
      <w:spacing w:line="220" w:lineRule="exact"/>
      <w:rPr>
        <w:rFonts w:ascii="Source Sans Pro" w:hAnsi="Source Sans Pro" w:cs="Source Sans Pro"/>
        <w:color w:val="0086A8"/>
        <w:sz w:val="18"/>
        <w:szCs w:val="18"/>
      </w:rPr>
    </w:pPr>
    <w:r>
      <w:rPr>
        <w:noProof/>
        <w:lang w:val="de-DE"/>
      </w:rPr>
      <w:drawing>
        <wp:anchor distT="0" distB="0" distL="114300" distR="114300" simplePos="0" relativeHeight="251676672" behindDoc="0" locked="0" layoutInCell="1" allowOverlap="1" wp14:anchorId="74B63C0B" wp14:editId="0C6711F5">
          <wp:simplePos x="0" y="0"/>
          <wp:positionH relativeFrom="page">
            <wp:posOffset>4788535</wp:posOffset>
          </wp:positionH>
          <wp:positionV relativeFrom="page">
            <wp:posOffset>10196195</wp:posOffset>
          </wp:positionV>
          <wp:extent cx="1947600" cy="100800"/>
          <wp:effectExtent l="0" t="0" r="0" b="1270"/>
          <wp:wrapNone/>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fik 47"/>
                  <pic:cNvPicPr/>
                </pic:nvPicPr>
                <pic:blipFill>
                  <a:blip r:embed="rId1">
                    <a:extLst>
                      <a:ext uri="{28A0092B-C50C-407E-A947-70E740481C1C}">
                        <a14:useLocalDpi xmlns:a14="http://schemas.microsoft.com/office/drawing/2010/main" val="0"/>
                      </a:ext>
                    </a:extLst>
                  </a:blip>
                  <a:stretch>
                    <a:fillRect/>
                  </a:stretch>
                </pic:blipFill>
                <pic:spPr>
                  <a:xfrm>
                    <a:off x="0" y="0"/>
                    <a:ext cx="1947600" cy="100800"/>
                  </a:xfrm>
                  <a:prstGeom prst="rect">
                    <a:avLst/>
                  </a:prstGeom>
                </pic:spPr>
              </pic:pic>
            </a:graphicData>
          </a:graphic>
          <wp14:sizeRelH relativeFrom="margin">
            <wp14:pctWidth>0</wp14:pctWidth>
          </wp14:sizeRelH>
          <wp14:sizeRelV relativeFrom="margin">
            <wp14:pctHeight>0</wp14:pctHeight>
          </wp14:sizeRelV>
        </wp:anchor>
      </w:drawing>
    </w:r>
    <w:r>
      <w:rPr>
        <w:rFonts w:ascii="Source Sans Pro" w:hAnsi="Source Sans Pro"/>
        <w:color w:val="0087A8"/>
        <w:sz w:val="18"/>
        <w:szCs w:val="18"/>
      </w:rPr>
      <w:t>Katharina Koester</w:t>
    </w:r>
    <w:r>
      <w:rPr>
        <w:rFonts w:ascii="Source Sans Pro" w:hAnsi="Source Sans Pro"/>
        <w:color w:val="0087A8"/>
        <w:sz w:val="18"/>
        <w:szCs w:val="18"/>
      </w:rPr>
      <w:tab/>
      <w:t>presse@germanpropertypartners.de</w:t>
    </w:r>
    <w:r>
      <w:rPr>
        <w:rStyle w:val="Seitenzahl"/>
      </w:rPr>
      <w:tab/>
    </w:r>
    <w:r>
      <w:rPr>
        <w:rStyle w:val="Seitenzahl"/>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0AF12" w14:textId="78D04753" w:rsidR="00C41C74" w:rsidRPr="001B786B" w:rsidRDefault="00C41C74" w:rsidP="001B786B">
    <w:pPr>
      <w:pStyle w:val="Fuzeile"/>
      <w:spacing w:line="220" w:lineRule="exact"/>
      <w:rPr>
        <w:rStyle w:val="Seitenzahl"/>
        <w:rFonts w:ascii="Source Sans Pro" w:hAnsi="Source Sans Pro"/>
        <w:color w:val="0086A8"/>
        <w:sz w:val="18"/>
        <w:szCs w:val="18"/>
      </w:rPr>
    </w:pPr>
  </w:p>
  <w:p w14:paraId="00991498" w14:textId="59BA33E8" w:rsidR="00C41C74" w:rsidRPr="006456EA" w:rsidRDefault="00C41C74" w:rsidP="00C35841">
    <w:pPr>
      <w:pStyle w:val="Fuzeile"/>
      <w:spacing w:line="220" w:lineRule="exact"/>
      <w:rPr>
        <w:rStyle w:val="Seitenzahl"/>
        <w:rFonts w:ascii="Source Sans Pro" w:hAnsi="Source Sans Pro" w:cs="Arial"/>
        <w:color w:val="0087A8"/>
        <w:sz w:val="18"/>
        <w:szCs w:val="18"/>
      </w:rPr>
    </w:pPr>
    <w:r w:rsidRPr="006456EA">
      <w:rPr>
        <w:rStyle w:val="Seitenzahl"/>
        <w:rFonts w:ascii="Source Sans Pro" w:hAnsi="Source Sans Pro" w:cs="Arial"/>
        <w:color w:val="0087A8"/>
        <w:sz w:val="18"/>
        <w:szCs w:val="18"/>
      </w:rPr>
      <w:fldChar w:fldCharType="begin"/>
    </w:r>
    <w:r w:rsidRPr="006456EA">
      <w:rPr>
        <w:rStyle w:val="Seitenzahl"/>
        <w:rFonts w:ascii="Source Sans Pro" w:hAnsi="Source Sans Pro" w:cs="Arial"/>
        <w:color w:val="0087A8"/>
        <w:sz w:val="18"/>
        <w:szCs w:val="18"/>
      </w:rPr>
      <w:instrText xml:space="preserve"> PAGE </w:instrText>
    </w:r>
    <w:r w:rsidRPr="006456EA">
      <w:rPr>
        <w:rStyle w:val="Seitenzahl"/>
        <w:rFonts w:ascii="Source Sans Pro" w:hAnsi="Source Sans Pro" w:cs="Arial"/>
        <w:color w:val="0087A8"/>
        <w:sz w:val="18"/>
        <w:szCs w:val="18"/>
      </w:rPr>
      <w:fldChar w:fldCharType="separate"/>
    </w:r>
    <w:r w:rsidR="00FE6B13">
      <w:rPr>
        <w:rStyle w:val="Seitenzahl"/>
        <w:rFonts w:ascii="Source Sans Pro" w:hAnsi="Source Sans Pro" w:cs="Arial"/>
        <w:noProof/>
        <w:color w:val="0087A8"/>
        <w:sz w:val="18"/>
        <w:szCs w:val="18"/>
      </w:rPr>
      <w:t>1</w:t>
    </w:r>
    <w:r w:rsidRPr="006456EA">
      <w:rPr>
        <w:rStyle w:val="Seitenzahl"/>
        <w:rFonts w:ascii="Source Sans Pro" w:hAnsi="Source Sans Pro" w:cs="Arial"/>
        <w:color w:val="0087A8"/>
        <w:sz w:val="18"/>
        <w:szCs w:val="18"/>
      </w:rPr>
      <w:fldChar w:fldCharType="end"/>
    </w:r>
    <w:r>
      <w:rPr>
        <w:rStyle w:val="Seitenzahl"/>
        <w:rFonts w:ascii="Source Sans Pro" w:hAnsi="Source Sans Pro"/>
        <w:color w:val="0087A8"/>
        <w:sz w:val="18"/>
        <w:szCs w:val="18"/>
      </w:rPr>
      <w:t xml:space="preserve"> I </w:t>
    </w:r>
    <w:r w:rsidRPr="006456EA">
      <w:rPr>
        <w:rStyle w:val="Seitenzahl"/>
        <w:rFonts w:ascii="Source Sans Pro" w:hAnsi="Source Sans Pro" w:cs="Arial"/>
        <w:color w:val="0087A8"/>
        <w:sz w:val="18"/>
        <w:szCs w:val="18"/>
      </w:rPr>
      <w:fldChar w:fldCharType="begin"/>
    </w:r>
    <w:r w:rsidRPr="006456EA">
      <w:rPr>
        <w:rStyle w:val="Seitenzahl"/>
        <w:rFonts w:ascii="Source Sans Pro" w:hAnsi="Source Sans Pro" w:cs="Arial"/>
        <w:color w:val="0087A8"/>
        <w:sz w:val="18"/>
        <w:szCs w:val="18"/>
      </w:rPr>
      <w:instrText xml:space="preserve"> NUMPAGES </w:instrText>
    </w:r>
    <w:r w:rsidRPr="006456EA">
      <w:rPr>
        <w:rStyle w:val="Seitenzahl"/>
        <w:rFonts w:ascii="Source Sans Pro" w:hAnsi="Source Sans Pro" w:cs="Arial"/>
        <w:color w:val="0087A8"/>
        <w:sz w:val="18"/>
        <w:szCs w:val="18"/>
      </w:rPr>
      <w:fldChar w:fldCharType="separate"/>
    </w:r>
    <w:r w:rsidR="00FE6B13">
      <w:rPr>
        <w:rStyle w:val="Seitenzahl"/>
        <w:rFonts w:ascii="Source Sans Pro" w:hAnsi="Source Sans Pro" w:cs="Arial"/>
        <w:noProof/>
        <w:color w:val="0087A8"/>
        <w:sz w:val="18"/>
        <w:szCs w:val="18"/>
      </w:rPr>
      <w:t>3</w:t>
    </w:r>
    <w:r w:rsidRPr="006456EA">
      <w:rPr>
        <w:rStyle w:val="Seitenzahl"/>
        <w:rFonts w:ascii="Source Sans Pro" w:hAnsi="Source Sans Pro" w:cs="Arial"/>
        <w:color w:val="0087A8"/>
        <w:sz w:val="18"/>
        <w:szCs w:val="18"/>
      </w:rPr>
      <w:fldChar w:fldCharType="end"/>
    </w:r>
  </w:p>
  <w:p w14:paraId="664ECE5C" w14:textId="7630B142" w:rsidR="001E1829" w:rsidRPr="006456EA" w:rsidRDefault="001E1829" w:rsidP="00C846F6">
    <w:pPr>
      <w:pStyle w:val="EinfAbs"/>
      <w:tabs>
        <w:tab w:val="left" w:pos="2268"/>
      </w:tabs>
      <w:spacing w:line="220" w:lineRule="exact"/>
      <w:rPr>
        <w:rFonts w:ascii="Source Sans Pro" w:hAnsi="Source Sans Pro" w:cs="Source Sans Pro"/>
        <w:color w:val="0087A8"/>
        <w:sz w:val="18"/>
        <w:szCs w:val="18"/>
      </w:rPr>
    </w:pPr>
    <w:r>
      <w:rPr>
        <w:rFonts w:ascii="Source Sans Pro SemiBold" w:hAnsi="Source Sans Pro SemiBold"/>
        <w:b/>
        <w:bCs/>
        <w:caps/>
        <w:color w:val="0087A8"/>
        <w:sz w:val="18"/>
        <w:szCs w:val="18"/>
      </w:rPr>
      <w:t>PRESS CONTACT</w:t>
    </w:r>
    <w:r>
      <w:rPr>
        <w:rFonts w:ascii="Source Sans Pro SemiBold" w:hAnsi="Source Sans Pro SemiBold"/>
        <w:b/>
        <w:bCs/>
        <w:caps/>
        <w:color w:val="0087A8"/>
        <w:sz w:val="18"/>
        <w:szCs w:val="18"/>
      </w:rPr>
      <w:tab/>
    </w:r>
    <w:r>
      <w:rPr>
        <w:rFonts w:ascii="Source Sans Pro" w:hAnsi="Source Sans Pro"/>
        <w:color w:val="0087A8"/>
        <w:sz w:val="18"/>
        <w:szCs w:val="18"/>
      </w:rPr>
      <w:t xml:space="preserve">Tel.: +490 350802 -988 </w:t>
    </w:r>
  </w:p>
  <w:p w14:paraId="5F7CBAE8" w14:textId="2F505F91" w:rsidR="001E1829" w:rsidRPr="006456EA" w:rsidRDefault="00965DEB" w:rsidP="001B786B">
    <w:pPr>
      <w:pStyle w:val="EinfAbs"/>
      <w:tabs>
        <w:tab w:val="left" w:pos="2268"/>
      </w:tabs>
      <w:spacing w:line="220" w:lineRule="exact"/>
      <w:rPr>
        <w:rFonts w:ascii="Source Sans Pro" w:hAnsi="Source Sans Pro" w:cs="Source Sans Pro"/>
        <w:color w:val="0087A8"/>
        <w:sz w:val="18"/>
        <w:szCs w:val="18"/>
      </w:rPr>
    </w:pPr>
    <w:r>
      <w:rPr>
        <w:rFonts w:ascii="Source Sans Pro" w:hAnsi="Source Sans Pro"/>
        <w:noProof/>
        <w:color w:val="0087A8"/>
        <w:sz w:val="18"/>
        <w:szCs w:val="18"/>
        <w:lang w:val="de-DE"/>
      </w:rPr>
      <w:drawing>
        <wp:anchor distT="0" distB="0" distL="114300" distR="114300" simplePos="0" relativeHeight="251673600" behindDoc="0" locked="0" layoutInCell="1" allowOverlap="1" wp14:anchorId="5D69998A" wp14:editId="68FB5133">
          <wp:simplePos x="0" y="0"/>
          <wp:positionH relativeFrom="page">
            <wp:posOffset>4788535</wp:posOffset>
          </wp:positionH>
          <wp:positionV relativeFrom="page">
            <wp:posOffset>10196195</wp:posOffset>
          </wp:positionV>
          <wp:extent cx="1947600" cy="100800"/>
          <wp:effectExtent l="0" t="0" r="0" b="1270"/>
          <wp:wrapNone/>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fik 47"/>
                  <pic:cNvPicPr/>
                </pic:nvPicPr>
                <pic:blipFill>
                  <a:blip r:embed="rId1">
                    <a:extLst>
                      <a:ext uri="{28A0092B-C50C-407E-A947-70E740481C1C}">
                        <a14:useLocalDpi xmlns:a14="http://schemas.microsoft.com/office/drawing/2010/main" val="0"/>
                      </a:ext>
                    </a:extLst>
                  </a:blip>
                  <a:stretch>
                    <a:fillRect/>
                  </a:stretch>
                </pic:blipFill>
                <pic:spPr>
                  <a:xfrm>
                    <a:off x="0" y="0"/>
                    <a:ext cx="1947600" cy="100800"/>
                  </a:xfrm>
                  <a:prstGeom prst="rect">
                    <a:avLst/>
                  </a:prstGeom>
                </pic:spPr>
              </pic:pic>
            </a:graphicData>
          </a:graphic>
          <wp14:sizeRelH relativeFrom="margin">
            <wp14:pctWidth>0</wp14:pctWidth>
          </wp14:sizeRelH>
          <wp14:sizeRelV relativeFrom="margin">
            <wp14:pctHeight>0</wp14:pctHeight>
          </wp14:sizeRelV>
        </wp:anchor>
      </w:drawing>
    </w:r>
    <w:r>
      <w:rPr>
        <w:rFonts w:ascii="Source Sans Pro" w:hAnsi="Source Sans Pro"/>
        <w:color w:val="0087A8"/>
        <w:sz w:val="18"/>
        <w:szCs w:val="18"/>
      </w:rPr>
      <w:t>Katharina Koester</w:t>
    </w:r>
    <w:r>
      <w:rPr>
        <w:rFonts w:ascii="Source Sans Pro" w:hAnsi="Source Sans Pro"/>
        <w:color w:val="0087A8"/>
        <w:sz w:val="18"/>
        <w:szCs w:val="18"/>
      </w:rPr>
      <w:tab/>
      <w:t>presse@germanpropertypartners.de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F1523" w14:textId="77777777" w:rsidR="00F72EA4" w:rsidRDefault="00F72EA4">
      <w:r>
        <w:separator/>
      </w:r>
    </w:p>
  </w:footnote>
  <w:footnote w:type="continuationSeparator" w:id="0">
    <w:p w14:paraId="234078D9" w14:textId="77777777" w:rsidR="00F72EA4" w:rsidRDefault="00F72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9AE73" w14:textId="5A8CA290" w:rsidR="004D2CD0" w:rsidRDefault="00965DEB" w:rsidP="004D2CD0">
    <w:pPr>
      <w:pStyle w:val="Kopfzeile"/>
      <w:tabs>
        <w:tab w:val="clear" w:pos="4536"/>
        <w:tab w:val="clear" w:pos="9072"/>
        <w:tab w:val="left" w:pos="7938"/>
      </w:tabs>
      <w:ind w:right="-2043"/>
    </w:pPr>
    <w:r>
      <w:rPr>
        <w:noProof/>
        <w:lang w:val="de-DE"/>
      </w:rPr>
      <w:drawing>
        <wp:anchor distT="0" distB="0" distL="114300" distR="114300" simplePos="0" relativeHeight="251675648" behindDoc="0" locked="0" layoutInCell="1" allowOverlap="1" wp14:anchorId="08033756" wp14:editId="605ECF66">
          <wp:simplePos x="0" y="0"/>
          <wp:positionH relativeFrom="page">
            <wp:posOffset>5995035</wp:posOffset>
          </wp:positionH>
          <wp:positionV relativeFrom="page">
            <wp:posOffset>100965</wp:posOffset>
          </wp:positionV>
          <wp:extent cx="828000" cy="1065600"/>
          <wp:effectExtent l="0" t="0" r="0" b="1270"/>
          <wp:wrapNone/>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pic:cNvPicPr/>
                </pic:nvPicPr>
                <pic:blipFill>
                  <a:blip r:embed="rId1">
                    <a:extLst>
                      <a:ext uri="{28A0092B-C50C-407E-A947-70E740481C1C}">
                        <a14:useLocalDpi xmlns:a14="http://schemas.microsoft.com/office/drawing/2010/main" val="0"/>
                      </a:ext>
                    </a:extLst>
                  </a:blip>
                  <a:stretch>
                    <a:fillRect/>
                  </a:stretch>
                </pic:blipFill>
                <pic:spPr>
                  <a:xfrm>
                    <a:off x="0" y="0"/>
                    <a:ext cx="828000" cy="1065600"/>
                  </a:xfrm>
                  <a:prstGeom prst="rect">
                    <a:avLst/>
                  </a:prstGeom>
                </pic:spPr>
              </pic:pic>
            </a:graphicData>
          </a:graphic>
          <wp14:sizeRelH relativeFrom="margin">
            <wp14:pctWidth>0</wp14:pctWidth>
          </wp14:sizeRelH>
          <wp14:sizeRelV relativeFrom="margin">
            <wp14:pctHeight>0</wp14:pctHeight>
          </wp14:sizeRelV>
        </wp:anchor>
      </w:drawing>
    </w:r>
    <w:r>
      <w:tab/>
    </w:r>
  </w:p>
  <w:p w14:paraId="1736273E" w14:textId="0051BB57" w:rsidR="004D2CD0" w:rsidRDefault="004D2CD0" w:rsidP="004D2CD0">
    <w:pPr>
      <w:pStyle w:val="Kopfzeile"/>
      <w:tabs>
        <w:tab w:val="clear" w:pos="4536"/>
        <w:tab w:val="clear" w:pos="9072"/>
        <w:tab w:val="left" w:pos="7938"/>
      </w:tabs>
      <w:ind w:right="-1985"/>
    </w:pPr>
  </w:p>
  <w:p w14:paraId="138C2CDC" w14:textId="18B83CBB" w:rsidR="00C41C74" w:rsidRDefault="00BB0F85" w:rsidP="001E5503">
    <w:pPr>
      <w:pStyle w:val="Kopfzeile"/>
      <w:tabs>
        <w:tab w:val="clear" w:pos="4536"/>
        <w:tab w:val="clear" w:pos="9072"/>
        <w:tab w:val="left" w:pos="7938"/>
      </w:tabs>
      <w:ind w:right="-1985"/>
    </w:pPr>
    <w:r>
      <w:rPr>
        <w:noProof/>
        <w:lang w:val="de-DE"/>
      </w:rPr>
      <mc:AlternateContent>
        <mc:Choice Requires="wps">
          <w:drawing>
            <wp:anchor distT="0" distB="0" distL="114300" distR="114300" simplePos="0" relativeHeight="251655168" behindDoc="0" locked="0" layoutInCell="0" allowOverlap="1" wp14:anchorId="36E0A73C" wp14:editId="0C60B6D8">
              <wp:simplePos x="0" y="0"/>
              <wp:positionH relativeFrom="column">
                <wp:posOffset>-26035</wp:posOffset>
              </wp:positionH>
              <wp:positionV relativeFrom="page">
                <wp:posOffset>1332865</wp:posOffset>
              </wp:positionV>
              <wp:extent cx="685800" cy="601345"/>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01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498C7" id="Rectangle 5" o:spid="_x0000_s1026" style="position:absolute;margin-left:-2.05pt;margin-top:104.95pt;width:54pt;height:47.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" o:allowincell="f" filled="f" stroked="f" strokeweight="0">
              <w10:wrap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5C617" w14:textId="0096DDD3" w:rsidR="00C41C74" w:rsidRDefault="007B33CE" w:rsidP="009F28F5">
    <w:pPr>
      <w:pStyle w:val="Kopfzeile"/>
      <w:tabs>
        <w:tab w:val="clear" w:pos="4536"/>
        <w:tab w:val="clear" w:pos="9072"/>
        <w:tab w:val="left" w:pos="7938"/>
      </w:tabs>
      <w:ind w:right="-2043"/>
    </w:pPr>
    <w:r>
      <w:rPr>
        <w:noProof/>
        <w:lang w:val="de-DE"/>
      </w:rPr>
      <w:drawing>
        <wp:anchor distT="0" distB="0" distL="114300" distR="114300" simplePos="0" relativeHeight="251654143" behindDoc="0" locked="0" layoutInCell="1" allowOverlap="1" wp14:anchorId="5CC17046" wp14:editId="66798E8E">
          <wp:simplePos x="0" y="0"/>
          <wp:positionH relativeFrom="page">
            <wp:posOffset>5995035</wp:posOffset>
          </wp:positionH>
          <wp:positionV relativeFrom="page">
            <wp:posOffset>102235</wp:posOffset>
          </wp:positionV>
          <wp:extent cx="828000" cy="1065600"/>
          <wp:effectExtent l="0" t="0" r="0" b="1270"/>
          <wp:wrapNone/>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pic:cNvPicPr/>
                </pic:nvPicPr>
                <pic:blipFill>
                  <a:blip r:embed="rId1">
                    <a:extLst>
                      <a:ext uri="{28A0092B-C50C-407E-A947-70E740481C1C}">
                        <a14:useLocalDpi xmlns:a14="http://schemas.microsoft.com/office/drawing/2010/main" val="0"/>
                      </a:ext>
                    </a:extLst>
                  </a:blip>
                  <a:stretch>
                    <a:fillRect/>
                  </a:stretch>
                </pic:blipFill>
                <pic:spPr>
                  <a:xfrm>
                    <a:off x="0" y="0"/>
                    <a:ext cx="828000" cy="10656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rPr>
      <mc:AlternateContent>
        <mc:Choice Requires="wps">
          <w:drawing>
            <wp:anchor distT="0" distB="0" distL="114300" distR="114300" simplePos="0" relativeHeight="251666432" behindDoc="0" locked="1" layoutInCell="0" allowOverlap="1" wp14:anchorId="7A25BCC8" wp14:editId="12A8C88E">
              <wp:simplePos x="0" y="0"/>
              <wp:positionH relativeFrom="page">
                <wp:posOffset>828040</wp:posOffset>
              </wp:positionH>
              <wp:positionV relativeFrom="page">
                <wp:posOffset>617220</wp:posOffset>
              </wp:positionV>
              <wp:extent cx="3333600" cy="288000"/>
              <wp:effectExtent l="0" t="0" r="6985" b="4445"/>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600" cy="2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B4E771" w14:textId="77777777" w:rsidR="000E6577" w:rsidRDefault="000E6577" w:rsidP="000E6577">
                          <w:pPr>
                            <w:pStyle w:val="EinfAbs"/>
                            <w:rPr>
                              <w:rFonts w:ascii="Source Sans Pro" w:hAnsi="Source Sans Pro" w:cs="Source Sans Pro"/>
                              <w:sz w:val="32"/>
                              <w:szCs w:val="32"/>
                            </w:rPr>
                          </w:pPr>
                          <w:r>
                            <w:rPr>
                              <w:rFonts w:ascii="Source Sans Pro" w:hAnsi="Source Sans Pro"/>
                              <w:sz w:val="32"/>
                              <w:szCs w:val="32"/>
                            </w:rPr>
                            <w:t>PRESS RELEASE</w:t>
                          </w:r>
                          <w:r>
                            <w:rPr>
                              <w:rFonts w:ascii="Source Sans Pro" w:hAnsi="Source Sans Pro"/>
                              <w:sz w:val="32"/>
                              <w:szCs w:val="32"/>
                            </w:rPr>
                            <w:br/>
                          </w:r>
                        </w:p>
                        <w:p w14:paraId="10D6939D" w14:textId="4BFF8C44" w:rsidR="00E775AC" w:rsidRPr="00B922EE" w:rsidRDefault="00E775AC" w:rsidP="00E775AC">
                          <w:pPr>
                            <w:pStyle w:val="AbsenderArial2"/>
                            <w:spacing w:line="240" w:lineRule="auto"/>
                            <w:rPr>
                              <w:rFonts w:ascii="HelveticaNeueLT Pro 55 Roman" w:hAnsi="HelveticaNeueLT Pro 55 Roman" w:cs="Arial"/>
                              <w:b w:val="0"/>
                              <w:color w:val="002639"/>
                              <w:sz w:val="36"/>
                              <w:szCs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5BCC8" id="Rectangle 6" o:spid="_x0000_s1026" style="position:absolute;margin-left:65.2pt;margin-top:48.6pt;width:262.5pt;height:22.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" o:allowincell="f" filled="f" stroked="f" strokeweight="0">
              <v:textbox inset="0,0,0,0">
                <w:txbxContent>
                  <w:p w14:paraId="25B4E771" w14:textId="77777777" w:rsidR="000E6577" w:rsidRDefault="000E6577" w:rsidP="000E6577">
                    <w:pPr>
                      <w:pStyle w:val="EinfAbs"/>
                      <w:rPr>
                        <w:rFonts w:ascii="Source Sans Pro" w:hAnsi="Source Sans Pro" w:cs="Source Sans Pro"/>
                        <w:sz w:val="32"/>
                        <w:szCs w:val="32"/>
                      </w:rPr>
                    </w:pPr>
                    <w:r>
                      <w:rPr>
                        <w:rFonts w:ascii="Source Sans Pro" w:hAnsi="Source Sans Pro"/>
                        <w:sz w:val="32"/>
                        <w:szCs w:val="32"/>
                      </w:rPr>
                      <w:t>PRESS RELEASE</w:t>
                    </w:r>
                    <w:r>
                      <w:rPr>
                        <w:rFonts w:ascii="Source Sans Pro" w:hAnsi="Source Sans Pro"/>
                        <w:sz w:val="32"/>
                        <w:szCs w:val="32"/>
                      </w:rPr>
                      <w:br/>
                    </w:r>
                  </w:p>
                  <w:p w14:paraId="10D6939D" w14:textId="4BFF8C44" w:rsidR="00E775AC" w:rsidRPr="00B922EE" w:rsidRDefault="00E775AC" w:rsidP="00E775AC">
                    <w:pPr>
                      <w:pStyle w:val="AbsenderArial2"/>
                      <w:spacing w:line="240" w:lineRule="auto"/>
                      <w:rPr>
                        <w:rFonts w:ascii="HelveticaNeueLT Pro 55 Roman" w:hAnsi="HelveticaNeueLT Pro 55 Roman" w:cs="Arial"/>
                        <w:b w:val="0"/>
                        <w:color w:val="002639"/>
                        <w:sz w:val="36"/>
                        <w:szCs w:val="36"/>
                      </w:rPr>
                    </w:pPr>
                  </w:p>
                </w:txbxContent>
              </v:textbox>
              <w10:wrap anchorx="page" anchory="page"/>
              <w10:anchorlock/>
            </v:rect>
          </w:pict>
        </mc:Fallback>
      </mc:AlternateContent>
    </w:r>
    <w:r>
      <w:tab/>
    </w:r>
  </w:p>
  <w:p w14:paraId="3EAD45CF" w14:textId="5FC2DEDD" w:rsidR="004D2CD0" w:rsidRDefault="004D2CD0" w:rsidP="0005029E">
    <w:r>
      <w:tab/>
    </w:r>
  </w:p>
  <w:p w14:paraId="185BEDCB" w14:textId="4F512084" w:rsidR="004D2CD0" w:rsidRDefault="004D2CD0" w:rsidP="004D2CD0">
    <w:pPr>
      <w:pStyle w:val="Kopfzeile"/>
      <w:tabs>
        <w:tab w:val="clear" w:pos="4536"/>
        <w:tab w:val="clear" w:pos="9072"/>
        <w:tab w:val="left" w:pos="7938"/>
      </w:tabs>
      <w:ind w:right="-1985"/>
    </w:pPr>
    <w:r>
      <w:tab/>
    </w:r>
  </w:p>
  <w:p w14:paraId="19BE4530" w14:textId="5BD8E383" w:rsidR="004D2CD0" w:rsidRDefault="004D2CD0" w:rsidP="004D2CD0">
    <w:pPr>
      <w:pStyle w:val="Kopfzeile"/>
      <w:tabs>
        <w:tab w:val="clear" w:pos="4536"/>
        <w:tab w:val="clear" w:pos="9072"/>
        <w:tab w:val="left" w:pos="6265"/>
      </w:tabs>
      <w:ind w:right="-2043"/>
    </w:pPr>
  </w:p>
  <w:p w14:paraId="3370FE02" w14:textId="755B0682" w:rsidR="00C41C74" w:rsidRPr="00DA6836" w:rsidRDefault="00DA6836" w:rsidP="00FC69D9">
    <w:pPr>
      <w:pStyle w:val="Kopfzeile"/>
      <w:tabs>
        <w:tab w:val="clear" w:pos="4536"/>
        <w:tab w:val="clear" w:pos="9072"/>
        <w:tab w:val="left" w:pos="7230"/>
        <w:tab w:val="left" w:pos="8445"/>
      </w:tabs>
      <w:ind w:right="-2043"/>
      <w:rPr>
        <w:b/>
      </w:rPr>
    </w:pPr>
    <w:r>
      <w:tab/>
    </w:r>
  </w:p>
  <w:p w14:paraId="10CD55B7" w14:textId="6876FB57" w:rsidR="00C41C74" w:rsidRDefault="00F5697E">
    <w:pPr>
      <w:pStyle w:val="Kopfzeile"/>
      <w:tabs>
        <w:tab w:val="clear" w:pos="4536"/>
        <w:tab w:val="clear" w:pos="9072"/>
        <w:tab w:val="left" w:pos="6265"/>
      </w:tabs>
      <w:ind w:right="-2043"/>
      <w:rPr>
        <w:rFonts w:ascii="Arial" w:hAnsi="Arial"/>
        <w:sz w:val="15"/>
      </w:rPr>
    </w:pPr>
    <w:r>
      <w:rPr>
        <w:rFonts w:ascii="Arial" w:hAnsi="Arial"/>
        <w:sz w:val="15"/>
      </w:rPr>
      <w:softHyphen/>
    </w:r>
    <w:r>
      <w:rPr>
        <w:rFonts w:ascii="Arial" w:hAnsi="Arial"/>
        <w:sz w:val="15"/>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7E87"/>
    <w:multiLevelType w:val="hybridMultilevel"/>
    <w:tmpl w:val="D2941DE4"/>
    <w:lvl w:ilvl="0" w:tplc="E22A0C4A">
      <w:start w:val="37"/>
      <w:numFmt w:val="bullet"/>
      <w:lvlText w:val="-"/>
      <w:lvlJc w:val="left"/>
      <w:pPr>
        <w:ind w:left="720" w:hanging="360"/>
      </w:pPr>
      <w:rPr>
        <w:rFonts w:ascii="Source Sans Pro" w:eastAsia="Times New Roman" w:hAnsi="Source Sans Pro" w:cs="Source Sans Pr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2B53BB"/>
    <w:multiLevelType w:val="hybridMultilevel"/>
    <w:tmpl w:val="A8BA5CB4"/>
    <w:lvl w:ilvl="0" w:tplc="8778A3DC">
      <w:start w:val="20"/>
      <w:numFmt w:val="bullet"/>
      <w:lvlText w:val="-"/>
      <w:lvlJc w:val="left"/>
      <w:pPr>
        <w:ind w:left="720" w:hanging="360"/>
      </w:pPr>
      <w:rPr>
        <w:rFonts w:ascii="Source Sans Pro" w:eastAsia="Times New Roman" w:hAnsi="Source Sans Pro" w:cs="Source Sans Pr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6C0E33"/>
    <w:multiLevelType w:val="hybridMultilevel"/>
    <w:tmpl w:val="2BE8E350"/>
    <w:lvl w:ilvl="0" w:tplc="B82AA302">
      <w:start w:val="20"/>
      <w:numFmt w:val="bullet"/>
      <w:lvlText w:val="-"/>
      <w:lvlJc w:val="left"/>
      <w:pPr>
        <w:ind w:left="720" w:hanging="360"/>
      </w:pPr>
      <w:rPr>
        <w:rFonts w:ascii="Source Sans Pro" w:eastAsia="Times New Roman" w:hAnsi="Source Sans Pro"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BC36C0"/>
    <w:multiLevelType w:val="hybridMultilevel"/>
    <w:tmpl w:val="51220B10"/>
    <w:lvl w:ilvl="0" w:tplc="782E1AFA">
      <w:start w:val="20"/>
      <w:numFmt w:val="bullet"/>
      <w:lvlText w:val="-"/>
      <w:lvlJc w:val="left"/>
      <w:pPr>
        <w:ind w:left="720" w:hanging="360"/>
      </w:pPr>
      <w:rPr>
        <w:rFonts w:ascii="Source Sans Pro" w:eastAsia="Times New Roman" w:hAnsi="Source Sans Pro" w:cs="Source Sans Pr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9030DF"/>
    <w:multiLevelType w:val="hybridMultilevel"/>
    <w:tmpl w:val="C9B00D30"/>
    <w:lvl w:ilvl="0" w:tplc="59D258AA">
      <w:start w:val="20"/>
      <w:numFmt w:val="bullet"/>
      <w:lvlText w:val="-"/>
      <w:lvlJc w:val="left"/>
      <w:pPr>
        <w:ind w:left="720" w:hanging="360"/>
      </w:pPr>
      <w:rPr>
        <w:rFonts w:ascii="Source Sans Pro" w:eastAsia="Times New Roman" w:hAnsi="Source Sans Pro" w:cs="Source Sans Pr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EBC230A"/>
    <w:multiLevelType w:val="hybridMultilevel"/>
    <w:tmpl w:val="C442B6BA"/>
    <w:lvl w:ilvl="0" w:tplc="5A6C3342">
      <w:start w:val="20"/>
      <w:numFmt w:val="bullet"/>
      <w:lvlText w:val="-"/>
      <w:lvlJc w:val="left"/>
      <w:pPr>
        <w:ind w:left="720" w:hanging="360"/>
      </w:pPr>
      <w:rPr>
        <w:rFonts w:ascii="Source Sans Pro" w:eastAsia="Times New Roman" w:hAnsi="Source Sans Pro" w:cs="Source Sans Pr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A813C1"/>
    <w:multiLevelType w:val="hybridMultilevel"/>
    <w:tmpl w:val="05F49C50"/>
    <w:lvl w:ilvl="0" w:tplc="82300CEC">
      <w:start w:val="20"/>
      <w:numFmt w:val="bullet"/>
      <w:lvlText w:val="-"/>
      <w:lvlJc w:val="left"/>
      <w:pPr>
        <w:ind w:left="720" w:hanging="360"/>
      </w:pPr>
      <w:rPr>
        <w:rFonts w:ascii="Source Sans Pro" w:eastAsia="Times New Roman" w:hAnsi="Source Sans Pro" w:cs="Source Sans Pr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E0B6D1F"/>
    <w:multiLevelType w:val="hybridMultilevel"/>
    <w:tmpl w:val="456A7860"/>
    <w:lvl w:ilvl="0" w:tplc="B774640A">
      <w:start w:val="20"/>
      <w:numFmt w:val="bullet"/>
      <w:lvlText w:val="-"/>
      <w:lvlJc w:val="left"/>
      <w:pPr>
        <w:ind w:left="720" w:hanging="360"/>
      </w:pPr>
      <w:rPr>
        <w:rFonts w:ascii="Source Sans Pro" w:eastAsia="Times New Roman" w:hAnsi="Source Sans Pro" w:cs="Source Sans Pr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44D78BD"/>
    <w:multiLevelType w:val="hybridMultilevel"/>
    <w:tmpl w:val="904C4D60"/>
    <w:lvl w:ilvl="0" w:tplc="51F0D846">
      <w:start w:val="37"/>
      <w:numFmt w:val="bullet"/>
      <w:lvlText w:val="-"/>
      <w:lvlJc w:val="left"/>
      <w:pPr>
        <w:ind w:left="720" w:hanging="360"/>
      </w:pPr>
      <w:rPr>
        <w:rFonts w:ascii="Source Sans Pro" w:eastAsia="Times New Roman" w:hAnsi="Source Sans Pro" w:cs="Source Sans Pr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8EC4963"/>
    <w:multiLevelType w:val="hybridMultilevel"/>
    <w:tmpl w:val="751880B2"/>
    <w:lvl w:ilvl="0" w:tplc="AF12DF7E">
      <w:start w:val="20"/>
      <w:numFmt w:val="bullet"/>
      <w:lvlText w:val="-"/>
      <w:lvlJc w:val="left"/>
      <w:pPr>
        <w:ind w:left="720" w:hanging="360"/>
      </w:pPr>
      <w:rPr>
        <w:rFonts w:ascii="Source Sans Pro" w:eastAsia="Times New Roman" w:hAnsi="Source Sans Pro" w:cs="Source Sans Pr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F985149"/>
    <w:multiLevelType w:val="hybridMultilevel"/>
    <w:tmpl w:val="EDEAD9E0"/>
    <w:lvl w:ilvl="0" w:tplc="2782346E">
      <w:numFmt w:val="bullet"/>
      <w:lvlText w:val="-"/>
      <w:lvlJc w:val="left"/>
      <w:pPr>
        <w:ind w:left="720" w:hanging="360"/>
      </w:pPr>
      <w:rPr>
        <w:rFonts w:ascii="Source Sans Pro" w:eastAsia="Times New Roman" w:hAnsi="Source Sans Pro"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6"/>
  </w:num>
  <w:num w:numId="4">
    <w:abstractNumId w:val="2"/>
  </w:num>
  <w:num w:numId="5">
    <w:abstractNumId w:val="0"/>
  </w:num>
  <w:num w:numId="6">
    <w:abstractNumId w:val="8"/>
  </w:num>
  <w:num w:numId="7">
    <w:abstractNumId w:val="7"/>
  </w:num>
  <w:num w:numId="8">
    <w:abstractNumId w:val="5"/>
  </w:num>
  <w:num w:numId="9">
    <w:abstractNumId w:val="1"/>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F85"/>
    <w:rsid w:val="00001F24"/>
    <w:rsid w:val="000021F4"/>
    <w:rsid w:val="00004E93"/>
    <w:rsid w:val="000136D7"/>
    <w:rsid w:val="00013C9D"/>
    <w:rsid w:val="00013D73"/>
    <w:rsid w:val="00020AC9"/>
    <w:rsid w:val="00027EA3"/>
    <w:rsid w:val="00032028"/>
    <w:rsid w:val="00034121"/>
    <w:rsid w:val="000440EB"/>
    <w:rsid w:val="0005029E"/>
    <w:rsid w:val="000610DA"/>
    <w:rsid w:val="00065685"/>
    <w:rsid w:val="000663B5"/>
    <w:rsid w:val="000665E2"/>
    <w:rsid w:val="00066A8A"/>
    <w:rsid w:val="00072A30"/>
    <w:rsid w:val="00073A63"/>
    <w:rsid w:val="00077E8A"/>
    <w:rsid w:val="00082C59"/>
    <w:rsid w:val="00091562"/>
    <w:rsid w:val="00091D49"/>
    <w:rsid w:val="00091E5B"/>
    <w:rsid w:val="0009382E"/>
    <w:rsid w:val="000A072C"/>
    <w:rsid w:val="000A4FBB"/>
    <w:rsid w:val="000A6A78"/>
    <w:rsid w:val="000B2DF4"/>
    <w:rsid w:val="000B310B"/>
    <w:rsid w:val="000B4A9D"/>
    <w:rsid w:val="000C3A22"/>
    <w:rsid w:val="000D5A87"/>
    <w:rsid w:val="000D6F1F"/>
    <w:rsid w:val="000D7B09"/>
    <w:rsid w:val="000D7FD3"/>
    <w:rsid w:val="000E194E"/>
    <w:rsid w:val="000E4F2C"/>
    <w:rsid w:val="000E6577"/>
    <w:rsid w:val="000E694E"/>
    <w:rsid w:val="000E753B"/>
    <w:rsid w:val="000F57F1"/>
    <w:rsid w:val="001104E2"/>
    <w:rsid w:val="00110917"/>
    <w:rsid w:val="00110E37"/>
    <w:rsid w:val="00113D8C"/>
    <w:rsid w:val="00120624"/>
    <w:rsid w:val="0012156C"/>
    <w:rsid w:val="00131DC5"/>
    <w:rsid w:val="001340F8"/>
    <w:rsid w:val="00146388"/>
    <w:rsid w:val="00150092"/>
    <w:rsid w:val="001550FE"/>
    <w:rsid w:val="00155828"/>
    <w:rsid w:val="00156AF6"/>
    <w:rsid w:val="00161817"/>
    <w:rsid w:val="00162CC4"/>
    <w:rsid w:val="001647B3"/>
    <w:rsid w:val="00166ED2"/>
    <w:rsid w:val="00176433"/>
    <w:rsid w:val="0018092C"/>
    <w:rsid w:val="00184BB0"/>
    <w:rsid w:val="001963BB"/>
    <w:rsid w:val="001A22F5"/>
    <w:rsid w:val="001B786B"/>
    <w:rsid w:val="001C32DB"/>
    <w:rsid w:val="001C518B"/>
    <w:rsid w:val="001D00A5"/>
    <w:rsid w:val="001E1829"/>
    <w:rsid w:val="001E5503"/>
    <w:rsid w:val="001E7716"/>
    <w:rsid w:val="001F218D"/>
    <w:rsid w:val="001F35E1"/>
    <w:rsid w:val="00200C83"/>
    <w:rsid w:val="002014F7"/>
    <w:rsid w:val="00202DD3"/>
    <w:rsid w:val="0022694F"/>
    <w:rsid w:val="00235393"/>
    <w:rsid w:val="00264A0A"/>
    <w:rsid w:val="00265CA3"/>
    <w:rsid w:val="00270F3A"/>
    <w:rsid w:val="0028070D"/>
    <w:rsid w:val="00282ED8"/>
    <w:rsid w:val="00290672"/>
    <w:rsid w:val="002A09C2"/>
    <w:rsid w:val="002A480D"/>
    <w:rsid w:val="002A7D58"/>
    <w:rsid w:val="002B63FD"/>
    <w:rsid w:val="002B749A"/>
    <w:rsid w:val="002C52C5"/>
    <w:rsid w:val="002E1C45"/>
    <w:rsid w:val="002E5673"/>
    <w:rsid w:val="002F461A"/>
    <w:rsid w:val="002F786B"/>
    <w:rsid w:val="00306932"/>
    <w:rsid w:val="003152C9"/>
    <w:rsid w:val="00315870"/>
    <w:rsid w:val="00316196"/>
    <w:rsid w:val="003250ED"/>
    <w:rsid w:val="00341D84"/>
    <w:rsid w:val="003424EC"/>
    <w:rsid w:val="0034454C"/>
    <w:rsid w:val="00355438"/>
    <w:rsid w:val="00355ED1"/>
    <w:rsid w:val="00363075"/>
    <w:rsid w:val="00364C2C"/>
    <w:rsid w:val="00366AF3"/>
    <w:rsid w:val="00367F4F"/>
    <w:rsid w:val="00370785"/>
    <w:rsid w:val="00371640"/>
    <w:rsid w:val="00374F87"/>
    <w:rsid w:val="00375256"/>
    <w:rsid w:val="00392E9E"/>
    <w:rsid w:val="003948FA"/>
    <w:rsid w:val="003A463F"/>
    <w:rsid w:val="003B4C22"/>
    <w:rsid w:val="003B63A8"/>
    <w:rsid w:val="003D36F0"/>
    <w:rsid w:val="003D3F73"/>
    <w:rsid w:val="003D5215"/>
    <w:rsid w:val="003D5D91"/>
    <w:rsid w:val="003E772C"/>
    <w:rsid w:val="003F293B"/>
    <w:rsid w:val="003F5E07"/>
    <w:rsid w:val="003F6066"/>
    <w:rsid w:val="0040331F"/>
    <w:rsid w:val="00403C95"/>
    <w:rsid w:val="00404BCC"/>
    <w:rsid w:val="00405679"/>
    <w:rsid w:val="0041188F"/>
    <w:rsid w:val="00423DAC"/>
    <w:rsid w:val="00425DBF"/>
    <w:rsid w:val="00426531"/>
    <w:rsid w:val="00430DA2"/>
    <w:rsid w:val="004329C6"/>
    <w:rsid w:val="004338CA"/>
    <w:rsid w:val="004343B1"/>
    <w:rsid w:val="00434EB9"/>
    <w:rsid w:val="00436DD0"/>
    <w:rsid w:val="00453F14"/>
    <w:rsid w:val="00456442"/>
    <w:rsid w:val="00462200"/>
    <w:rsid w:val="00465A6E"/>
    <w:rsid w:val="00474099"/>
    <w:rsid w:val="004804A5"/>
    <w:rsid w:val="00481D27"/>
    <w:rsid w:val="00486F74"/>
    <w:rsid w:val="00491CBC"/>
    <w:rsid w:val="004956AE"/>
    <w:rsid w:val="004A2A30"/>
    <w:rsid w:val="004A2D54"/>
    <w:rsid w:val="004A60FB"/>
    <w:rsid w:val="004B5CB6"/>
    <w:rsid w:val="004C616B"/>
    <w:rsid w:val="004D2CD0"/>
    <w:rsid w:val="004D30FB"/>
    <w:rsid w:val="004F09D7"/>
    <w:rsid w:val="004F1EDD"/>
    <w:rsid w:val="004F38BF"/>
    <w:rsid w:val="004F5262"/>
    <w:rsid w:val="004F77D4"/>
    <w:rsid w:val="00500981"/>
    <w:rsid w:val="00501428"/>
    <w:rsid w:val="005045E7"/>
    <w:rsid w:val="00510C33"/>
    <w:rsid w:val="005122A0"/>
    <w:rsid w:val="0052371C"/>
    <w:rsid w:val="0054038E"/>
    <w:rsid w:val="0054593A"/>
    <w:rsid w:val="00547877"/>
    <w:rsid w:val="00554C9F"/>
    <w:rsid w:val="005550A4"/>
    <w:rsid w:val="00557B57"/>
    <w:rsid w:val="005644BE"/>
    <w:rsid w:val="0057524E"/>
    <w:rsid w:val="00575A55"/>
    <w:rsid w:val="00583AC8"/>
    <w:rsid w:val="00584565"/>
    <w:rsid w:val="00593E99"/>
    <w:rsid w:val="005A5999"/>
    <w:rsid w:val="005B7203"/>
    <w:rsid w:val="005C25D5"/>
    <w:rsid w:val="005C47F7"/>
    <w:rsid w:val="005D0D0E"/>
    <w:rsid w:val="005D449F"/>
    <w:rsid w:val="005D73BE"/>
    <w:rsid w:val="005E1C97"/>
    <w:rsid w:val="005E6515"/>
    <w:rsid w:val="005F1F6B"/>
    <w:rsid w:val="005F3B7B"/>
    <w:rsid w:val="0060257F"/>
    <w:rsid w:val="00604E20"/>
    <w:rsid w:val="00604F63"/>
    <w:rsid w:val="00605989"/>
    <w:rsid w:val="00607CF6"/>
    <w:rsid w:val="00610BB3"/>
    <w:rsid w:val="00613713"/>
    <w:rsid w:val="006224FB"/>
    <w:rsid w:val="0063115F"/>
    <w:rsid w:val="00632159"/>
    <w:rsid w:val="006363DA"/>
    <w:rsid w:val="00641CA8"/>
    <w:rsid w:val="006432C0"/>
    <w:rsid w:val="006456EA"/>
    <w:rsid w:val="00653983"/>
    <w:rsid w:val="006609C2"/>
    <w:rsid w:val="00663D75"/>
    <w:rsid w:val="0066478F"/>
    <w:rsid w:val="00675E89"/>
    <w:rsid w:val="00695F46"/>
    <w:rsid w:val="006969F1"/>
    <w:rsid w:val="006A3C35"/>
    <w:rsid w:val="006A6D11"/>
    <w:rsid w:val="006B2259"/>
    <w:rsid w:val="006B3ECE"/>
    <w:rsid w:val="006C5754"/>
    <w:rsid w:val="006D03D9"/>
    <w:rsid w:val="006D6526"/>
    <w:rsid w:val="006E06BE"/>
    <w:rsid w:val="006E674D"/>
    <w:rsid w:val="006E6770"/>
    <w:rsid w:val="006F154A"/>
    <w:rsid w:val="00701992"/>
    <w:rsid w:val="0070363C"/>
    <w:rsid w:val="00712023"/>
    <w:rsid w:val="007144E9"/>
    <w:rsid w:val="007145C9"/>
    <w:rsid w:val="00714A1F"/>
    <w:rsid w:val="00717328"/>
    <w:rsid w:val="0072073D"/>
    <w:rsid w:val="00742C04"/>
    <w:rsid w:val="0074571D"/>
    <w:rsid w:val="00750A05"/>
    <w:rsid w:val="00752C05"/>
    <w:rsid w:val="00767018"/>
    <w:rsid w:val="0077196D"/>
    <w:rsid w:val="00771C92"/>
    <w:rsid w:val="00795586"/>
    <w:rsid w:val="00797DA3"/>
    <w:rsid w:val="007A4844"/>
    <w:rsid w:val="007A4BE6"/>
    <w:rsid w:val="007B33CE"/>
    <w:rsid w:val="007B7B81"/>
    <w:rsid w:val="007C1429"/>
    <w:rsid w:val="007C5441"/>
    <w:rsid w:val="007D1495"/>
    <w:rsid w:val="007D5A52"/>
    <w:rsid w:val="007D5CA1"/>
    <w:rsid w:val="007D75C8"/>
    <w:rsid w:val="007E2C66"/>
    <w:rsid w:val="007F1021"/>
    <w:rsid w:val="007F12A3"/>
    <w:rsid w:val="007F1BD3"/>
    <w:rsid w:val="007F2DBB"/>
    <w:rsid w:val="007F7E7C"/>
    <w:rsid w:val="00806C63"/>
    <w:rsid w:val="00816613"/>
    <w:rsid w:val="00821A81"/>
    <w:rsid w:val="00825F63"/>
    <w:rsid w:val="008322D8"/>
    <w:rsid w:val="00837E5B"/>
    <w:rsid w:val="00851067"/>
    <w:rsid w:val="00855329"/>
    <w:rsid w:val="00856A7C"/>
    <w:rsid w:val="0086041F"/>
    <w:rsid w:val="008739E7"/>
    <w:rsid w:val="00874645"/>
    <w:rsid w:val="00881685"/>
    <w:rsid w:val="008844D9"/>
    <w:rsid w:val="00891C3A"/>
    <w:rsid w:val="00895E64"/>
    <w:rsid w:val="008A3A3B"/>
    <w:rsid w:val="008A7188"/>
    <w:rsid w:val="008E0A69"/>
    <w:rsid w:val="008F2058"/>
    <w:rsid w:val="008F3731"/>
    <w:rsid w:val="00904B69"/>
    <w:rsid w:val="009064CE"/>
    <w:rsid w:val="0090663A"/>
    <w:rsid w:val="00910AD1"/>
    <w:rsid w:val="00912233"/>
    <w:rsid w:val="00914021"/>
    <w:rsid w:val="00917410"/>
    <w:rsid w:val="0092334A"/>
    <w:rsid w:val="009264D0"/>
    <w:rsid w:val="0093360A"/>
    <w:rsid w:val="009358D3"/>
    <w:rsid w:val="00955433"/>
    <w:rsid w:val="00955764"/>
    <w:rsid w:val="00957A6F"/>
    <w:rsid w:val="009649C2"/>
    <w:rsid w:val="00965DEB"/>
    <w:rsid w:val="00966A04"/>
    <w:rsid w:val="009738DE"/>
    <w:rsid w:val="00980BEB"/>
    <w:rsid w:val="00980D94"/>
    <w:rsid w:val="00982F7B"/>
    <w:rsid w:val="009843D4"/>
    <w:rsid w:val="00986361"/>
    <w:rsid w:val="009867A7"/>
    <w:rsid w:val="0099076D"/>
    <w:rsid w:val="0099690F"/>
    <w:rsid w:val="00996D38"/>
    <w:rsid w:val="00997F89"/>
    <w:rsid w:val="009A10C6"/>
    <w:rsid w:val="009A4503"/>
    <w:rsid w:val="009B008F"/>
    <w:rsid w:val="009C2D11"/>
    <w:rsid w:val="009C3FDE"/>
    <w:rsid w:val="009C4CE9"/>
    <w:rsid w:val="009F26E8"/>
    <w:rsid w:val="009F28F5"/>
    <w:rsid w:val="00A06310"/>
    <w:rsid w:val="00A07846"/>
    <w:rsid w:val="00A17CA6"/>
    <w:rsid w:val="00A22C2C"/>
    <w:rsid w:val="00A22FBF"/>
    <w:rsid w:val="00A2670C"/>
    <w:rsid w:val="00A3040C"/>
    <w:rsid w:val="00A346EF"/>
    <w:rsid w:val="00A53E9E"/>
    <w:rsid w:val="00A54087"/>
    <w:rsid w:val="00A57024"/>
    <w:rsid w:val="00A61757"/>
    <w:rsid w:val="00A63939"/>
    <w:rsid w:val="00A65690"/>
    <w:rsid w:val="00A65FB0"/>
    <w:rsid w:val="00A66A23"/>
    <w:rsid w:val="00A743C6"/>
    <w:rsid w:val="00A8148C"/>
    <w:rsid w:val="00A831E7"/>
    <w:rsid w:val="00A85640"/>
    <w:rsid w:val="00A91DC1"/>
    <w:rsid w:val="00A9412B"/>
    <w:rsid w:val="00AB536E"/>
    <w:rsid w:val="00AB69AD"/>
    <w:rsid w:val="00AC6B15"/>
    <w:rsid w:val="00AD2569"/>
    <w:rsid w:val="00AD4124"/>
    <w:rsid w:val="00AD7DB5"/>
    <w:rsid w:val="00AE0761"/>
    <w:rsid w:val="00AE07A3"/>
    <w:rsid w:val="00AE0E7B"/>
    <w:rsid w:val="00AE2412"/>
    <w:rsid w:val="00AE318F"/>
    <w:rsid w:val="00AF0066"/>
    <w:rsid w:val="00AF237D"/>
    <w:rsid w:val="00AF27B7"/>
    <w:rsid w:val="00AF63B5"/>
    <w:rsid w:val="00B005BD"/>
    <w:rsid w:val="00B03444"/>
    <w:rsid w:val="00B04F23"/>
    <w:rsid w:val="00B062A5"/>
    <w:rsid w:val="00B14C16"/>
    <w:rsid w:val="00B14E68"/>
    <w:rsid w:val="00B23669"/>
    <w:rsid w:val="00B24860"/>
    <w:rsid w:val="00B33789"/>
    <w:rsid w:val="00B46BC1"/>
    <w:rsid w:val="00B56AFB"/>
    <w:rsid w:val="00B576A5"/>
    <w:rsid w:val="00B862DB"/>
    <w:rsid w:val="00B922EE"/>
    <w:rsid w:val="00B9596E"/>
    <w:rsid w:val="00BA2FA0"/>
    <w:rsid w:val="00BA3D8E"/>
    <w:rsid w:val="00BA40B4"/>
    <w:rsid w:val="00BA49EB"/>
    <w:rsid w:val="00BB0F85"/>
    <w:rsid w:val="00BC0132"/>
    <w:rsid w:val="00BC0598"/>
    <w:rsid w:val="00BC6B47"/>
    <w:rsid w:val="00BD0526"/>
    <w:rsid w:val="00BD2784"/>
    <w:rsid w:val="00BD46B2"/>
    <w:rsid w:val="00BE4710"/>
    <w:rsid w:val="00BF11C6"/>
    <w:rsid w:val="00C11004"/>
    <w:rsid w:val="00C111FE"/>
    <w:rsid w:val="00C1497F"/>
    <w:rsid w:val="00C20B9C"/>
    <w:rsid w:val="00C2509E"/>
    <w:rsid w:val="00C2778C"/>
    <w:rsid w:val="00C27F6A"/>
    <w:rsid w:val="00C3159C"/>
    <w:rsid w:val="00C35841"/>
    <w:rsid w:val="00C409C6"/>
    <w:rsid w:val="00C41C74"/>
    <w:rsid w:val="00C4260E"/>
    <w:rsid w:val="00C43C76"/>
    <w:rsid w:val="00C47B63"/>
    <w:rsid w:val="00C47F8B"/>
    <w:rsid w:val="00C50567"/>
    <w:rsid w:val="00C742DD"/>
    <w:rsid w:val="00C846F6"/>
    <w:rsid w:val="00C96048"/>
    <w:rsid w:val="00C96214"/>
    <w:rsid w:val="00C9797F"/>
    <w:rsid w:val="00CA1FB9"/>
    <w:rsid w:val="00CA73C1"/>
    <w:rsid w:val="00CA79D7"/>
    <w:rsid w:val="00CB7BE6"/>
    <w:rsid w:val="00CC0E23"/>
    <w:rsid w:val="00CC40B9"/>
    <w:rsid w:val="00CD7E39"/>
    <w:rsid w:val="00CE2EFB"/>
    <w:rsid w:val="00CE5A10"/>
    <w:rsid w:val="00CF2D6E"/>
    <w:rsid w:val="00D02FD8"/>
    <w:rsid w:val="00D10832"/>
    <w:rsid w:val="00D11A3A"/>
    <w:rsid w:val="00D3104C"/>
    <w:rsid w:val="00D42152"/>
    <w:rsid w:val="00D43D89"/>
    <w:rsid w:val="00D50FDD"/>
    <w:rsid w:val="00D513E4"/>
    <w:rsid w:val="00D53B8E"/>
    <w:rsid w:val="00D56A51"/>
    <w:rsid w:val="00D602AC"/>
    <w:rsid w:val="00D70824"/>
    <w:rsid w:val="00D760A9"/>
    <w:rsid w:val="00D760CF"/>
    <w:rsid w:val="00D925B8"/>
    <w:rsid w:val="00D949D0"/>
    <w:rsid w:val="00DA3B66"/>
    <w:rsid w:val="00DA4453"/>
    <w:rsid w:val="00DA4D95"/>
    <w:rsid w:val="00DA6836"/>
    <w:rsid w:val="00DA733A"/>
    <w:rsid w:val="00DB2417"/>
    <w:rsid w:val="00DC05A3"/>
    <w:rsid w:val="00DC6A0C"/>
    <w:rsid w:val="00E03DB3"/>
    <w:rsid w:val="00E04EB8"/>
    <w:rsid w:val="00E06757"/>
    <w:rsid w:val="00E1280F"/>
    <w:rsid w:val="00E178A3"/>
    <w:rsid w:val="00E17B2C"/>
    <w:rsid w:val="00E26EA1"/>
    <w:rsid w:val="00E27DEF"/>
    <w:rsid w:val="00E30081"/>
    <w:rsid w:val="00E32743"/>
    <w:rsid w:val="00E342C7"/>
    <w:rsid w:val="00E354F6"/>
    <w:rsid w:val="00E412D0"/>
    <w:rsid w:val="00E4317C"/>
    <w:rsid w:val="00E53D4C"/>
    <w:rsid w:val="00E609ED"/>
    <w:rsid w:val="00E63703"/>
    <w:rsid w:val="00E64DDC"/>
    <w:rsid w:val="00E704C6"/>
    <w:rsid w:val="00E775AC"/>
    <w:rsid w:val="00E77A47"/>
    <w:rsid w:val="00E77B98"/>
    <w:rsid w:val="00E8471E"/>
    <w:rsid w:val="00E91E8C"/>
    <w:rsid w:val="00E942DA"/>
    <w:rsid w:val="00E94EF3"/>
    <w:rsid w:val="00E959E9"/>
    <w:rsid w:val="00E95E00"/>
    <w:rsid w:val="00E97167"/>
    <w:rsid w:val="00EB1611"/>
    <w:rsid w:val="00EB468A"/>
    <w:rsid w:val="00EC01E6"/>
    <w:rsid w:val="00EC3DC1"/>
    <w:rsid w:val="00EC4845"/>
    <w:rsid w:val="00EC6CC2"/>
    <w:rsid w:val="00ED1C27"/>
    <w:rsid w:val="00ED3D73"/>
    <w:rsid w:val="00ED3FA6"/>
    <w:rsid w:val="00ED5CDF"/>
    <w:rsid w:val="00ED6DCA"/>
    <w:rsid w:val="00EF0944"/>
    <w:rsid w:val="00EF7BE7"/>
    <w:rsid w:val="00F05141"/>
    <w:rsid w:val="00F07267"/>
    <w:rsid w:val="00F159E2"/>
    <w:rsid w:val="00F167CB"/>
    <w:rsid w:val="00F16AA1"/>
    <w:rsid w:val="00F2164E"/>
    <w:rsid w:val="00F22F9A"/>
    <w:rsid w:val="00F240EB"/>
    <w:rsid w:val="00F315FE"/>
    <w:rsid w:val="00F31FE6"/>
    <w:rsid w:val="00F40B12"/>
    <w:rsid w:val="00F45BB8"/>
    <w:rsid w:val="00F53F80"/>
    <w:rsid w:val="00F5697E"/>
    <w:rsid w:val="00F57625"/>
    <w:rsid w:val="00F673A2"/>
    <w:rsid w:val="00F67B89"/>
    <w:rsid w:val="00F71A10"/>
    <w:rsid w:val="00F72A3E"/>
    <w:rsid w:val="00F72EA4"/>
    <w:rsid w:val="00F74B67"/>
    <w:rsid w:val="00F7577B"/>
    <w:rsid w:val="00F8348D"/>
    <w:rsid w:val="00F91726"/>
    <w:rsid w:val="00FB3B53"/>
    <w:rsid w:val="00FB551B"/>
    <w:rsid w:val="00FC2947"/>
    <w:rsid w:val="00FC69D9"/>
    <w:rsid w:val="00FD28C1"/>
    <w:rsid w:val="00FD7412"/>
    <w:rsid w:val="00FE6B13"/>
    <w:rsid w:val="00FE7EF3"/>
    <w:rsid w:val="00FF1703"/>
    <w:rsid w:val="00FF1EF9"/>
    <w:rsid w:val="00FF69E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746E54"/>
  <w15:docId w15:val="{8FEB9A59-87AC-4943-BAB2-F29731F06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sz w:val="24"/>
    </w:rPr>
  </w:style>
  <w:style w:type="paragraph" w:styleId="berschrift1">
    <w:name w:val="heading 1"/>
    <w:basedOn w:val="Standard"/>
    <w:next w:val="Standard"/>
    <w:qFormat/>
    <w:pPr>
      <w:keepNext/>
      <w:spacing w:before="240" w:after="240"/>
      <w:ind w:left="1134" w:hanging="1134"/>
      <w:outlineLvl w:val="0"/>
    </w:pPr>
    <w:rPr>
      <w:rFonts w:ascii="Arial" w:hAnsi="Arial"/>
      <w:b/>
      <w:kern w:val="28"/>
      <w:sz w:val="28"/>
    </w:rPr>
  </w:style>
  <w:style w:type="paragraph" w:styleId="berschrift2">
    <w:name w:val="heading 2"/>
    <w:basedOn w:val="Standard"/>
    <w:next w:val="Standard"/>
    <w:qFormat/>
    <w:pPr>
      <w:keepNext/>
      <w:spacing w:before="240" w:after="240"/>
      <w:ind w:left="1134" w:hanging="1134"/>
      <w:outlineLvl w:val="1"/>
    </w:pPr>
    <w:rPr>
      <w:rFonts w:ascii="Arial" w:hAnsi="Arial"/>
      <w:b/>
      <w:sz w:val="28"/>
    </w:rPr>
  </w:style>
  <w:style w:type="paragraph" w:styleId="berschrift3">
    <w:name w:val="heading 3"/>
    <w:basedOn w:val="Standard"/>
    <w:next w:val="Standard"/>
    <w:qFormat/>
    <w:pPr>
      <w:keepNext/>
      <w:spacing w:before="240" w:after="240"/>
      <w:ind w:left="1134" w:hanging="1134"/>
      <w:outlineLvl w:val="2"/>
    </w:pPr>
    <w:rPr>
      <w:rFonts w:ascii="Arial" w:hAnsi="Arial"/>
      <w:b/>
    </w:rPr>
  </w:style>
  <w:style w:type="paragraph" w:styleId="berschrift4">
    <w:name w:val="heading 4"/>
    <w:basedOn w:val="Standard"/>
    <w:next w:val="Standard"/>
    <w:qFormat/>
    <w:pPr>
      <w:ind w:left="2552" w:hanging="851"/>
      <w:outlineLvl w:val="3"/>
    </w:pPr>
    <w:rPr>
      <w:rFonts w:ascii="Arial" w:hAnsi="Arial"/>
      <w:b/>
    </w:rPr>
  </w:style>
  <w:style w:type="paragraph" w:styleId="berschrift5">
    <w:name w:val="heading 5"/>
    <w:basedOn w:val="Standard"/>
    <w:next w:val="Standard"/>
    <w:qFormat/>
    <w:pPr>
      <w:spacing w:before="240" w:after="240"/>
      <w:ind w:left="1418" w:hanging="1418"/>
      <w:outlineLvl w:val="4"/>
    </w:pPr>
    <w:rPr>
      <w:rFonts w:ascii="Arial" w:hAnsi="Arial"/>
      <w:b/>
    </w:rPr>
  </w:style>
  <w:style w:type="paragraph" w:styleId="berschrift6">
    <w:name w:val="heading 6"/>
    <w:basedOn w:val="Standard"/>
    <w:next w:val="Standard"/>
    <w:qFormat/>
    <w:pPr>
      <w:spacing w:before="240" w:after="240"/>
      <w:ind w:left="1418" w:hanging="1418"/>
      <w:outlineLvl w:val="5"/>
    </w:pPr>
    <w:rPr>
      <w:rFonts w:ascii="Arial" w:hAnsi="Arial"/>
      <w:b/>
    </w:rPr>
  </w:style>
  <w:style w:type="paragraph" w:styleId="berschrift7">
    <w:name w:val="heading 7"/>
    <w:basedOn w:val="Standard"/>
    <w:next w:val="Standard"/>
    <w:qFormat/>
    <w:pPr>
      <w:spacing w:before="240" w:after="240"/>
      <w:ind w:left="1418" w:hanging="1418"/>
      <w:outlineLvl w:val="6"/>
    </w:pPr>
    <w:rPr>
      <w:rFonts w:ascii="Arial" w:hAnsi="Arial"/>
      <w:b/>
    </w:rPr>
  </w:style>
  <w:style w:type="paragraph" w:styleId="berschrift8">
    <w:name w:val="heading 8"/>
    <w:basedOn w:val="Standard"/>
    <w:next w:val="Standard"/>
    <w:qFormat/>
    <w:pPr>
      <w:spacing w:before="240" w:after="240"/>
      <w:ind w:left="1418" w:hanging="1418"/>
      <w:outlineLvl w:val="7"/>
    </w:pPr>
    <w:rPr>
      <w:rFonts w:ascii="Arial" w:hAnsi="Arial"/>
      <w:b/>
    </w:rPr>
  </w:style>
  <w:style w:type="paragraph" w:styleId="berschrift9">
    <w:name w:val="heading 9"/>
    <w:basedOn w:val="Standard"/>
    <w:next w:val="Standard"/>
    <w:qFormat/>
    <w:pPr>
      <w:spacing w:before="240" w:after="240"/>
      <w:ind w:left="1418" w:hanging="1418"/>
      <w:outlineLvl w:val="8"/>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spacing w:before="120" w:after="120"/>
      <w:jc w:val="center"/>
    </w:pPr>
    <w:rPr>
      <w:rFonts w:ascii="Arial" w:hAnsi="Arial"/>
      <w:b/>
      <w:sz w:val="20"/>
    </w:rPr>
  </w:style>
  <w:style w:type="paragraph" w:styleId="Kopfzeile">
    <w:name w:val="header"/>
    <w:basedOn w:val="Standard"/>
    <w:link w:val="KopfzeileZchn"/>
    <w:pPr>
      <w:tabs>
        <w:tab w:val="center" w:pos="4536"/>
        <w:tab w:val="right" w:pos="9072"/>
      </w:tabs>
    </w:pPr>
    <w:rPr>
      <w:sz w:val="20"/>
    </w:rPr>
  </w:style>
  <w:style w:type="paragraph" w:customStyle="1" w:styleId="HFlietext">
    <w:name w:val="H_Fließtext"/>
    <w:pPr>
      <w:overflowPunct w:val="0"/>
      <w:autoSpaceDE w:val="0"/>
      <w:autoSpaceDN w:val="0"/>
      <w:adjustRightInd w:val="0"/>
      <w:spacing w:line="280" w:lineRule="exact"/>
      <w:textAlignment w:val="baseline"/>
    </w:pPr>
    <w:rPr>
      <w:sz w:val="22"/>
    </w:rPr>
  </w:style>
  <w:style w:type="paragraph" w:styleId="Fuzeile">
    <w:name w:val="footer"/>
    <w:basedOn w:val="Standard"/>
    <w:pPr>
      <w:tabs>
        <w:tab w:val="center" w:pos="4536"/>
        <w:tab w:val="right" w:pos="9072"/>
      </w:tabs>
    </w:pPr>
    <w:rPr>
      <w:sz w:val="20"/>
    </w:rPr>
  </w:style>
  <w:style w:type="paragraph" w:customStyle="1" w:styleId="HFlietextfett">
    <w:name w:val="H_Fließtext fett"/>
    <w:basedOn w:val="HFlietext"/>
    <w:rPr>
      <w:b/>
    </w:rPr>
  </w:style>
  <w:style w:type="paragraph" w:customStyle="1" w:styleId="AbsenderArial2">
    <w:name w:val="Absender_Arial2"/>
    <w:basedOn w:val="Standard"/>
    <w:pPr>
      <w:spacing w:after="85" w:line="190" w:lineRule="exact"/>
    </w:pPr>
    <w:rPr>
      <w:rFonts w:ascii="Arial" w:hAnsi="Arial"/>
      <w:b/>
      <w:sz w:val="15"/>
    </w:rPr>
  </w:style>
  <w:style w:type="character" w:styleId="Seitenzahl">
    <w:name w:val="page number"/>
    <w:basedOn w:val="Absatz-Standardschriftart"/>
  </w:style>
  <w:style w:type="paragraph" w:customStyle="1" w:styleId="Sprechblasentext1">
    <w:name w:val="Sprechblasentext1"/>
    <w:basedOn w:val="Standard"/>
    <w:rPr>
      <w:rFonts w:ascii="Tahoma" w:hAnsi="Tahoma"/>
      <w:sz w:val="16"/>
    </w:rPr>
  </w:style>
  <w:style w:type="paragraph" w:styleId="Sprechblasentext">
    <w:name w:val="Balloon Text"/>
    <w:basedOn w:val="Standard"/>
    <w:semiHidden/>
    <w:rsid w:val="00B9596E"/>
    <w:rPr>
      <w:rFonts w:ascii="Tahoma" w:hAnsi="Tahoma" w:cs="Tahoma"/>
      <w:sz w:val="16"/>
      <w:szCs w:val="16"/>
    </w:rPr>
  </w:style>
  <w:style w:type="character" w:customStyle="1" w:styleId="KopfzeileZchn">
    <w:name w:val="Kopfzeile Zchn"/>
    <w:basedOn w:val="Absatz-Standardschriftart"/>
    <w:link w:val="Kopfzeile"/>
    <w:rsid w:val="00575A55"/>
  </w:style>
  <w:style w:type="character" w:styleId="Hyperlink">
    <w:name w:val="Hyperlink"/>
    <w:uiPriority w:val="99"/>
    <w:unhideWhenUsed/>
    <w:rsid w:val="0072073D"/>
    <w:rPr>
      <w:color w:val="0563C1"/>
      <w:u w:val="single"/>
    </w:rPr>
  </w:style>
  <w:style w:type="paragraph" w:customStyle="1" w:styleId="EinfAbs">
    <w:name w:val="[Einf. Abs.]"/>
    <w:basedOn w:val="Standard"/>
    <w:uiPriority w:val="99"/>
    <w:rsid w:val="00E775AC"/>
    <w:pPr>
      <w:overflowPunct/>
      <w:spacing w:line="288" w:lineRule="auto"/>
      <w:textAlignment w:val="center"/>
    </w:pPr>
    <w:rPr>
      <w:rFonts w:ascii="MinionPro-Regular" w:hAnsi="MinionPro-Regular" w:cs="MinionPro-Regular"/>
      <w:color w:val="000000"/>
      <w:szCs w:val="24"/>
    </w:rPr>
  </w:style>
  <w:style w:type="character" w:customStyle="1" w:styleId="NichtaufgelsteErwhnung1">
    <w:name w:val="Nicht aufgelöste Erwähnung1"/>
    <w:basedOn w:val="Absatz-Standardschriftart"/>
    <w:uiPriority w:val="99"/>
    <w:semiHidden/>
    <w:unhideWhenUsed/>
    <w:rsid w:val="00881685"/>
    <w:rPr>
      <w:color w:val="605E5C"/>
      <w:shd w:val="clear" w:color="auto" w:fill="E1DFDD"/>
    </w:rPr>
  </w:style>
  <w:style w:type="character" w:styleId="BesuchterLink">
    <w:name w:val="FollowedHyperlink"/>
    <w:basedOn w:val="Absatz-Standardschriftart"/>
    <w:uiPriority w:val="99"/>
    <w:semiHidden/>
    <w:unhideWhenUsed/>
    <w:rsid w:val="00881685"/>
    <w:rPr>
      <w:color w:val="954F72" w:themeColor="followedHyperlink"/>
      <w:u w:val="single"/>
    </w:rPr>
  </w:style>
  <w:style w:type="table" w:styleId="Tabellenraster">
    <w:name w:val="Table Grid"/>
    <w:basedOn w:val="NormaleTabelle"/>
    <w:uiPriority w:val="59"/>
    <w:rsid w:val="004A2D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unhideWhenUsed/>
    <w:rsid w:val="00161817"/>
    <w:pPr>
      <w:overflowPunct/>
      <w:autoSpaceDE/>
      <w:autoSpaceDN/>
      <w:adjustRightInd/>
      <w:spacing w:after="200"/>
      <w:textAlignment w:val="auto"/>
    </w:pPr>
    <w:rPr>
      <w:rFonts w:asciiTheme="minorHAnsi" w:eastAsiaTheme="minorHAnsi" w:hAnsiTheme="minorHAnsi" w:cstheme="minorBidi"/>
      <w:sz w:val="20"/>
      <w:lang w:eastAsia="en-US"/>
    </w:rPr>
  </w:style>
  <w:style w:type="character" w:customStyle="1" w:styleId="KommentartextZchn">
    <w:name w:val="Kommentartext Zchn"/>
    <w:basedOn w:val="Absatz-Standardschriftart"/>
    <w:link w:val="Kommentartext"/>
    <w:uiPriority w:val="99"/>
    <w:rsid w:val="00161817"/>
    <w:rPr>
      <w:rFonts w:asciiTheme="minorHAnsi" w:eastAsiaTheme="minorHAnsi" w:hAnsiTheme="minorHAnsi" w:cstheme="minorBidi"/>
      <w:lang w:eastAsia="en-US"/>
    </w:rPr>
  </w:style>
  <w:style w:type="table" w:customStyle="1" w:styleId="TableGrid1">
    <w:name w:val="Table Grid1"/>
    <w:basedOn w:val="NormaleTabelle"/>
    <w:next w:val="Tabellenraster"/>
    <w:uiPriority w:val="59"/>
    <w:rsid w:val="001618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59"/>
    <w:rsid w:val="001618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914021"/>
    <w:rPr>
      <w:b/>
      <w:bCs/>
    </w:rPr>
  </w:style>
  <w:style w:type="character" w:styleId="Kommentarzeichen">
    <w:name w:val="annotation reference"/>
    <w:basedOn w:val="Absatz-Standardschriftart"/>
    <w:uiPriority w:val="99"/>
    <w:semiHidden/>
    <w:unhideWhenUsed/>
    <w:rsid w:val="00BD0526"/>
    <w:rPr>
      <w:sz w:val="16"/>
      <w:szCs w:val="16"/>
    </w:rPr>
  </w:style>
  <w:style w:type="paragraph" w:styleId="Kommentarthema">
    <w:name w:val="annotation subject"/>
    <w:basedOn w:val="Kommentartext"/>
    <w:next w:val="Kommentartext"/>
    <w:link w:val="KommentarthemaZchn"/>
    <w:uiPriority w:val="99"/>
    <w:semiHidden/>
    <w:unhideWhenUsed/>
    <w:rsid w:val="00BD0526"/>
    <w:pPr>
      <w:overflowPunct w:val="0"/>
      <w:autoSpaceDE w:val="0"/>
      <w:autoSpaceDN w:val="0"/>
      <w:adjustRightInd w:val="0"/>
      <w:spacing w:after="0"/>
      <w:textAlignment w:val="baseline"/>
    </w:pPr>
    <w:rPr>
      <w:rFonts w:ascii="Times New Roman" w:eastAsia="Times New Roman" w:hAnsi="Times New Roman" w:cs="Times New Roman"/>
      <w:b/>
      <w:bCs/>
      <w:lang w:eastAsia="de-DE"/>
    </w:rPr>
  </w:style>
  <w:style w:type="character" w:customStyle="1" w:styleId="KommentarthemaZchn">
    <w:name w:val="Kommentarthema Zchn"/>
    <w:basedOn w:val="KommentartextZchn"/>
    <w:link w:val="Kommentarthema"/>
    <w:uiPriority w:val="99"/>
    <w:semiHidden/>
    <w:rsid w:val="00BD0526"/>
    <w:rPr>
      <w:rFonts w:asciiTheme="minorHAnsi" w:eastAsiaTheme="minorHAnsi" w:hAnsiTheme="minorHAnsi" w:cstheme="minorBidi"/>
      <w:b/>
      <w:bCs/>
      <w:lang w:eastAsia="en-US"/>
    </w:rPr>
  </w:style>
  <w:style w:type="paragraph" w:styleId="Listenabsatz">
    <w:name w:val="List Paragraph"/>
    <w:basedOn w:val="Standard"/>
    <w:uiPriority w:val="34"/>
    <w:qFormat/>
    <w:rsid w:val="00465A6E"/>
    <w:pPr>
      <w:ind w:left="720"/>
      <w:contextualSpacing/>
    </w:pPr>
  </w:style>
  <w:style w:type="paragraph" w:styleId="berarbeitung">
    <w:name w:val="Revision"/>
    <w:hidden/>
    <w:uiPriority w:val="99"/>
    <w:semiHidden/>
    <w:rsid w:val="00910AD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90432">
      <w:bodyDiv w:val="1"/>
      <w:marLeft w:val="0"/>
      <w:marRight w:val="0"/>
      <w:marTop w:val="0"/>
      <w:marBottom w:val="0"/>
      <w:divBdr>
        <w:top w:val="none" w:sz="0" w:space="0" w:color="auto"/>
        <w:left w:val="none" w:sz="0" w:space="0" w:color="auto"/>
        <w:bottom w:val="none" w:sz="0" w:space="0" w:color="auto"/>
        <w:right w:val="none" w:sz="0" w:space="0" w:color="auto"/>
      </w:divBdr>
    </w:div>
    <w:div w:id="514268992">
      <w:bodyDiv w:val="1"/>
      <w:marLeft w:val="0"/>
      <w:marRight w:val="0"/>
      <w:marTop w:val="0"/>
      <w:marBottom w:val="0"/>
      <w:divBdr>
        <w:top w:val="none" w:sz="0" w:space="0" w:color="auto"/>
        <w:left w:val="none" w:sz="0" w:space="0" w:color="auto"/>
        <w:bottom w:val="none" w:sz="0" w:space="0" w:color="auto"/>
        <w:right w:val="none" w:sz="0" w:space="0" w:color="auto"/>
      </w:divBdr>
      <w:divsChild>
        <w:div w:id="1579559349">
          <w:marLeft w:val="0"/>
          <w:marRight w:val="0"/>
          <w:marTop w:val="0"/>
          <w:marBottom w:val="0"/>
          <w:divBdr>
            <w:top w:val="none" w:sz="0" w:space="0" w:color="auto"/>
            <w:left w:val="none" w:sz="0" w:space="0" w:color="auto"/>
            <w:bottom w:val="none" w:sz="0" w:space="0" w:color="auto"/>
            <w:right w:val="none" w:sz="0" w:space="0" w:color="auto"/>
          </w:divBdr>
        </w:div>
      </w:divsChild>
    </w:div>
    <w:div w:id="575019974">
      <w:bodyDiv w:val="1"/>
      <w:marLeft w:val="0"/>
      <w:marRight w:val="0"/>
      <w:marTop w:val="0"/>
      <w:marBottom w:val="0"/>
      <w:divBdr>
        <w:top w:val="none" w:sz="0" w:space="0" w:color="auto"/>
        <w:left w:val="none" w:sz="0" w:space="0" w:color="auto"/>
        <w:bottom w:val="none" w:sz="0" w:space="0" w:color="auto"/>
        <w:right w:val="none" w:sz="0" w:space="0" w:color="auto"/>
      </w:divBdr>
    </w:div>
    <w:div w:id="1459373238">
      <w:bodyDiv w:val="1"/>
      <w:marLeft w:val="0"/>
      <w:marRight w:val="0"/>
      <w:marTop w:val="0"/>
      <w:marBottom w:val="0"/>
      <w:divBdr>
        <w:top w:val="none" w:sz="0" w:space="0" w:color="auto"/>
        <w:left w:val="none" w:sz="0" w:space="0" w:color="auto"/>
        <w:bottom w:val="none" w:sz="0" w:space="0" w:color="auto"/>
        <w:right w:val="none" w:sz="0" w:space="0" w:color="auto"/>
      </w:divBdr>
      <w:divsChild>
        <w:div w:id="1865098538">
          <w:marLeft w:val="0"/>
          <w:marRight w:val="0"/>
          <w:marTop w:val="0"/>
          <w:marBottom w:val="0"/>
          <w:divBdr>
            <w:top w:val="none" w:sz="0" w:space="0" w:color="auto"/>
            <w:left w:val="none" w:sz="0" w:space="0" w:color="auto"/>
            <w:bottom w:val="none" w:sz="0" w:space="0" w:color="auto"/>
            <w:right w:val="none" w:sz="0" w:space="0" w:color="auto"/>
          </w:divBdr>
        </w:div>
      </w:divsChild>
    </w:div>
    <w:div w:id="1639645235">
      <w:bodyDiv w:val="1"/>
      <w:marLeft w:val="0"/>
      <w:marRight w:val="0"/>
      <w:marTop w:val="0"/>
      <w:marBottom w:val="0"/>
      <w:divBdr>
        <w:top w:val="none" w:sz="0" w:space="0" w:color="auto"/>
        <w:left w:val="none" w:sz="0" w:space="0" w:color="auto"/>
        <w:bottom w:val="none" w:sz="0" w:space="0" w:color="auto"/>
        <w:right w:val="none" w:sz="0" w:space="0" w:color="auto"/>
      </w:divBdr>
    </w:div>
    <w:div w:id="1647053523">
      <w:bodyDiv w:val="1"/>
      <w:marLeft w:val="0"/>
      <w:marRight w:val="0"/>
      <w:marTop w:val="0"/>
      <w:marBottom w:val="0"/>
      <w:divBdr>
        <w:top w:val="none" w:sz="0" w:space="0" w:color="auto"/>
        <w:left w:val="none" w:sz="0" w:space="0" w:color="auto"/>
        <w:bottom w:val="none" w:sz="0" w:space="0" w:color="auto"/>
        <w:right w:val="none" w:sz="0" w:space="0" w:color="auto"/>
      </w:divBdr>
    </w:div>
    <w:div w:id="1865942798">
      <w:bodyDiv w:val="1"/>
      <w:marLeft w:val="0"/>
      <w:marRight w:val="0"/>
      <w:marTop w:val="0"/>
      <w:marBottom w:val="0"/>
      <w:divBdr>
        <w:top w:val="none" w:sz="0" w:space="0" w:color="auto"/>
        <w:left w:val="none" w:sz="0" w:space="0" w:color="auto"/>
        <w:bottom w:val="none" w:sz="0" w:space="0" w:color="auto"/>
        <w:right w:val="none" w:sz="0" w:space="0" w:color="auto"/>
      </w:divBdr>
    </w:div>
    <w:div w:id="208236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ermanpropertypartners.de/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ermanpropertypartners.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1066</Words>
  <Characters>6718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OFB-Brief Frankfurt</vt:lpstr>
    </vt:vector>
  </TitlesOfParts>
  <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OFB-Brief Frankfurt</dc:title>
  <dc:subject/>
  <dc:creator>Keller, Yvonne</dc:creator>
  <cp:keywords/>
  <cp:lastModifiedBy>Katharina Koester</cp:lastModifiedBy>
  <cp:revision>2</cp:revision>
  <cp:lastPrinted>2023-04-05T07:11:00Z</cp:lastPrinted>
  <dcterms:created xsi:type="dcterms:W3CDTF">2023-04-06T10:44:00Z</dcterms:created>
  <dcterms:modified xsi:type="dcterms:W3CDTF">2023-04-06T10:44:00Z</dcterms:modified>
</cp:coreProperties>
</file>