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339AE7EE" w:rsidR="00CA79D7" w:rsidRPr="006456EA" w:rsidRDefault="00AF202A"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 </w:t>
      </w:r>
      <w:proofErr w:type="gramStart"/>
      <w:r>
        <w:rPr>
          <w:rFonts w:ascii="Source Sans Pro" w:hAnsi="Source Sans Pro"/>
          <w:caps/>
          <w:color w:val="0086A8"/>
          <w:sz w:val="22"/>
          <w:szCs w:val="22"/>
        </w:rPr>
        <w:t>7</w:t>
      </w:r>
      <w:proofErr w:type="gramEnd"/>
      <w:r>
        <w:rPr>
          <w:rFonts w:ascii="Source Sans Pro" w:hAnsi="Source Sans Pro"/>
          <w:caps/>
          <w:color w:val="0086A8"/>
          <w:sz w:val="22"/>
          <w:szCs w:val="22"/>
        </w:rPr>
        <w:t xml:space="preserve"> OFFICE MARKETS Q4/2021 </w:t>
      </w:r>
    </w:p>
    <w:p w14:paraId="7C2D2599" w14:textId="532B1936" w:rsidR="00CA79D7" w:rsidRDefault="006D7431"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Noticeable upswing as market leaves lowest point behind</w:t>
      </w:r>
    </w:p>
    <w:p w14:paraId="743073FD" w14:textId="5E17F2B6" w:rsidR="003152C9" w:rsidRDefault="000A1D21" w:rsidP="003152C9">
      <w:pPr>
        <w:pStyle w:val="EinfAbs"/>
        <w:tabs>
          <w:tab w:val="left" w:pos="200"/>
        </w:tabs>
        <w:spacing w:line="440" w:lineRule="exact"/>
        <w:rPr>
          <w:rFonts w:ascii="Source Sans Pro" w:hAnsi="Source Sans Pro" w:cs="Source Sans Pro"/>
          <w:sz w:val="36"/>
          <w:szCs w:val="36"/>
        </w:rPr>
      </w:pPr>
      <w:r>
        <w:rPr>
          <w:noProof/>
        </w:rPr>
        <w:pict w14:anchorId="45118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3.05pt;width:345.55pt;height:198.5pt;z-index:251659264;mso-position-horizontal-relative:margin;mso-position-vertical-relative:margin" stroked="t" strokecolor="black [3213]">
            <v:imagedata r:id="rId6" o:title="GPP-German-top-7-locations-4Q2021-take-up"/>
            <w10:wrap type="square" anchorx="margin" anchory="margin"/>
          </v:shape>
        </w:pict>
      </w:r>
    </w:p>
    <w:p w14:paraId="5647083E" w14:textId="4BF70216" w:rsidR="00CA79D7" w:rsidRPr="00CA79D7" w:rsidRDefault="00CA79D7" w:rsidP="00CA79D7">
      <w:pPr>
        <w:pStyle w:val="EinfAbs"/>
        <w:tabs>
          <w:tab w:val="left" w:pos="200"/>
        </w:tabs>
        <w:rPr>
          <w:rFonts w:ascii="Source Sans Pro" w:hAnsi="Source Sans Pro" w:cs="Source Sans Pro"/>
          <w:color w:val="0086A8"/>
          <w:sz w:val="22"/>
          <w:szCs w:val="22"/>
        </w:rPr>
      </w:pPr>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74772CDC"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77EDCA05"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25339732"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6EEF3DE7"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140987A0"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0CA0CDD4"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7BE71F80"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1A0BA01A"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01371AD9"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6D093F2A"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51588BFB"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0F9CF57F"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1AD7FE31" w14:textId="77777777" w:rsidR="000A1D21" w:rsidRDefault="000A1D21" w:rsidP="007D5A52">
      <w:pPr>
        <w:pStyle w:val="EinfAbs"/>
        <w:tabs>
          <w:tab w:val="left" w:pos="200"/>
        </w:tabs>
        <w:snapToGrid w:val="0"/>
        <w:spacing w:line="280" w:lineRule="exact"/>
        <w:jc w:val="both"/>
        <w:rPr>
          <w:rFonts w:ascii="Source Sans Pro" w:hAnsi="Source Sans Pro"/>
          <w:color w:val="0087A8"/>
          <w:sz w:val="22"/>
          <w:szCs w:val="22"/>
        </w:rPr>
      </w:pPr>
    </w:p>
    <w:p w14:paraId="5270966B" w14:textId="0DE4BA9E" w:rsidR="007D5A52" w:rsidRDefault="006C5831" w:rsidP="007D5A52">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0087A8"/>
          <w:sz w:val="22"/>
          <w:szCs w:val="22"/>
        </w:rPr>
        <w:t>10 January 2022, Hamburg.</w:t>
      </w:r>
      <w:r>
        <w:rPr>
          <w:rFonts w:ascii="Source Sans Pro" w:hAnsi="Source Sans Pro"/>
          <w:color w:val="0086A8"/>
          <w:sz w:val="22"/>
          <w:szCs w:val="22"/>
        </w:rPr>
        <w:t xml:space="preserve"> </w:t>
      </w:r>
      <w:r>
        <w:rPr>
          <w:rFonts w:ascii="Source Sans Pro" w:hAnsi="Source Sans Pro"/>
          <w:sz w:val="22"/>
          <w:szCs w:val="22"/>
        </w:rPr>
        <w:t xml:space="preserve">In view of take-up of office space </w:t>
      </w:r>
      <w:r w:rsidR="00547A36">
        <w:rPr>
          <w:rFonts w:ascii="Source Sans Pro" w:hAnsi="Source Sans Pro"/>
          <w:sz w:val="22"/>
          <w:szCs w:val="22"/>
        </w:rPr>
        <w:t xml:space="preserve">that </w:t>
      </w:r>
      <w:r>
        <w:rPr>
          <w:rFonts w:ascii="Source Sans Pro" w:hAnsi="Source Sans Pro"/>
          <w:sz w:val="22"/>
          <w:szCs w:val="22"/>
        </w:rPr>
        <w:t>totall</w:t>
      </w:r>
      <w:r w:rsidR="00547A36">
        <w:rPr>
          <w:rFonts w:ascii="Source Sans Pro" w:hAnsi="Source Sans Pro"/>
          <w:sz w:val="22"/>
          <w:szCs w:val="22"/>
        </w:rPr>
        <w:t>ed</w:t>
      </w:r>
      <w:r>
        <w:rPr>
          <w:rFonts w:ascii="Source Sans Pro" w:hAnsi="Source Sans Pro"/>
          <w:sz w:val="22"/>
          <w:szCs w:val="22"/>
        </w:rPr>
        <w:t xml:space="preserve"> 3.13m square metres by the end of the 4th quarter of 2021, it would appear that the office-letting markets in Germany’s top </w:t>
      </w:r>
      <w:proofErr w:type="gramStart"/>
      <w:r>
        <w:rPr>
          <w:rFonts w:ascii="Source Sans Pro" w:hAnsi="Source Sans Pro"/>
          <w:sz w:val="22"/>
          <w:szCs w:val="22"/>
        </w:rPr>
        <w:t>7</w:t>
      </w:r>
      <w:proofErr w:type="gramEnd"/>
      <w:r>
        <w:rPr>
          <w:rFonts w:ascii="Source Sans Pro" w:hAnsi="Source Sans Pro"/>
          <w:sz w:val="22"/>
          <w:szCs w:val="22"/>
        </w:rPr>
        <w:t xml:space="preserve"> cities have recovered from the depression caused </w:t>
      </w:r>
      <w:r w:rsidR="00AA2AE0">
        <w:rPr>
          <w:rFonts w:ascii="Source Sans Pro" w:hAnsi="Source Sans Pro"/>
          <w:sz w:val="22"/>
          <w:szCs w:val="22"/>
        </w:rPr>
        <w:t xml:space="preserve">in </w:t>
      </w:r>
      <w:r>
        <w:rPr>
          <w:rFonts w:ascii="Source Sans Pro" w:hAnsi="Source Sans Pro"/>
          <w:sz w:val="22"/>
          <w:szCs w:val="22"/>
        </w:rPr>
        <w:t xml:space="preserve">2020 </w:t>
      </w:r>
      <w:r w:rsidR="00AA2AE0">
        <w:rPr>
          <w:rFonts w:ascii="Source Sans Pro" w:hAnsi="Source Sans Pro"/>
          <w:sz w:val="22"/>
          <w:szCs w:val="22"/>
        </w:rPr>
        <w:t xml:space="preserve">by the </w:t>
      </w:r>
      <w:r>
        <w:rPr>
          <w:rFonts w:ascii="Source Sans Pro" w:hAnsi="Source Sans Pro"/>
          <w:sz w:val="22"/>
          <w:szCs w:val="22"/>
        </w:rPr>
        <w:t>coronavirus pandemic. Year on year take-up has surged by a good quarter. Although the result is still below the ten-year average of 3.37m square metres</w:t>
      </w:r>
      <w:r w:rsidR="00547A36">
        <w:rPr>
          <w:rFonts w:ascii="Source Sans Pro" w:hAnsi="Source Sans Pro"/>
          <w:sz w:val="22"/>
          <w:szCs w:val="22"/>
        </w:rPr>
        <w:t>,</w:t>
      </w:r>
      <w:r>
        <w:rPr>
          <w:rFonts w:ascii="Source Sans Pro" w:hAnsi="Source Sans Pro"/>
          <w:sz w:val="22"/>
          <w:szCs w:val="22"/>
        </w:rPr>
        <w:t xml:space="preserve"> it has passed the </w:t>
      </w:r>
      <w:r w:rsidR="00DF1CFC">
        <w:rPr>
          <w:rFonts w:ascii="Source Sans Pro" w:hAnsi="Source Sans Pro"/>
          <w:sz w:val="22"/>
          <w:szCs w:val="22"/>
        </w:rPr>
        <w:t xml:space="preserve">psychologically important pre-pandemic </w:t>
      </w:r>
      <w:r>
        <w:rPr>
          <w:rFonts w:ascii="Source Sans Pro" w:hAnsi="Source Sans Pro"/>
          <w:sz w:val="22"/>
          <w:szCs w:val="22"/>
        </w:rPr>
        <w:t>threshold</w:t>
      </w:r>
      <w:r w:rsidR="00DF1CFC" w:rsidRPr="00DF1CFC">
        <w:rPr>
          <w:rFonts w:ascii="Source Sans Pro" w:hAnsi="Source Sans Pro"/>
          <w:sz w:val="22"/>
          <w:szCs w:val="22"/>
        </w:rPr>
        <w:t xml:space="preserve"> </w:t>
      </w:r>
      <w:r w:rsidR="00DF1CFC">
        <w:rPr>
          <w:rFonts w:ascii="Source Sans Pro" w:hAnsi="Source Sans Pro"/>
          <w:sz w:val="22"/>
          <w:szCs w:val="22"/>
        </w:rPr>
        <w:t>of three million square metres</w:t>
      </w:r>
      <w:r>
        <w:rPr>
          <w:rFonts w:ascii="Source Sans Pro" w:hAnsi="Source Sans Pro"/>
          <w:sz w:val="22"/>
          <w:szCs w:val="22"/>
        </w:rPr>
        <w:t xml:space="preserve">. In the first half of the </w:t>
      </w:r>
      <w:proofErr w:type="gramStart"/>
      <w:r>
        <w:rPr>
          <w:rFonts w:ascii="Source Sans Pro" w:hAnsi="Source Sans Pro"/>
          <w:sz w:val="22"/>
          <w:szCs w:val="22"/>
        </w:rPr>
        <w:t>year</w:t>
      </w:r>
      <w:proofErr w:type="gramEnd"/>
      <w:r>
        <w:rPr>
          <w:rFonts w:ascii="Source Sans Pro" w:hAnsi="Source Sans Pro"/>
          <w:sz w:val="22"/>
          <w:szCs w:val="22"/>
        </w:rPr>
        <w:t xml:space="preserve"> tenants and owner-occupiers were rather reluctant to commit, but later, especially between October and December, the willingness to sign agreements returned. </w:t>
      </w:r>
      <w:r w:rsidR="00FF54B4">
        <w:rPr>
          <w:rFonts w:ascii="Source Sans Pro" w:hAnsi="Source Sans Pro"/>
          <w:sz w:val="22"/>
          <w:szCs w:val="22"/>
        </w:rPr>
        <w:t xml:space="preserve">As shown in figures compiled by the German Property Partners (GPP) network for commercial real estate, </w:t>
      </w:r>
      <w:r>
        <w:rPr>
          <w:rFonts w:ascii="Source Sans Pro" w:hAnsi="Source Sans Pro"/>
          <w:sz w:val="22"/>
          <w:szCs w:val="22"/>
        </w:rPr>
        <w:t xml:space="preserve">take-up of space </w:t>
      </w:r>
      <w:r w:rsidR="00FF54B4">
        <w:rPr>
          <w:rFonts w:ascii="Source Sans Pro" w:hAnsi="Source Sans Pro"/>
          <w:sz w:val="22"/>
          <w:szCs w:val="22"/>
        </w:rPr>
        <w:t xml:space="preserve">during the latter period </w:t>
      </w:r>
      <w:r>
        <w:rPr>
          <w:rFonts w:ascii="Source Sans Pro" w:hAnsi="Source Sans Pro"/>
          <w:sz w:val="22"/>
          <w:szCs w:val="22"/>
        </w:rPr>
        <w:t>totalled 1.10m square metres, making it the strongest quarter of 2021</w:t>
      </w:r>
      <w:r w:rsidR="00FF54B4">
        <w:rPr>
          <w:rFonts w:ascii="Source Sans Pro" w:hAnsi="Source Sans Pro"/>
          <w:sz w:val="22"/>
          <w:szCs w:val="22"/>
        </w:rPr>
        <w:t xml:space="preserve">. GPP </w:t>
      </w:r>
      <w:r>
        <w:rPr>
          <w:rFonts w:ascii="Source Sans Pro" w:hAnsi="Source Sans Pro"/>
          <w:sz w:val="22"/>
          <w:szCs w:val="22"/>
        </w:rPr>
        <w:t xml:space="preserve">Membership now consists of Grossmann &amp; Berger, Anteon </w:t>
      </w:r>
      <w:proofErr w:type="spellStart"/>
      <w:r>
        <w:rPr>
          <w:rFonts w:ascii="Source Sans Pro" w:hAnsi="Source Sans Pro"/>
          <w:sz w:val="22"/>
          <w:szCs w:val="22"/>
        </w:rPr>
        <w:t>Immobilien</w:t>
      </w:r>
      <w:proofErr w:type="spellEnd"/>
      <w:r>
        <w:rPr>
          <w:rFonts w:ascii="Source Sans Pro" w:hAnsi="Source Sans Pro"/>
          <w:sz w:val="22"/>
          <w:szCs w:val="22"/>
        </w:rPr>
        <w:t xml:space="preserve">, GREIF &amp; CONTZEN </w:t>
      </w:r>
      <w:proofErr w:type="spellStart"/>
      <w:r>
        <w:rPr>
          <w:rFonts w:ascii="Source Sans Pro" w:hAnsi="Source Sans Pro"/>
          <w:sz w:val="22"/>
          <w:szCs w:val="22"/>
        </w:rPr>
        <w:t>Immobilien</w:t>
      </w:r>
      <w:proofErr w:type="spellEnd"/>
      <w:r>
        <w:rPr>
          <w:rFonts w:ascii="Source Sans Pro" w:hAnsi="Source Sans Pro"/>
          <w:sz w:val="22"/>
          <w:szCs w:val="22"/>
        </w:rPr>
        <w:t xml:space="preserve">, </w:t>
      </w:r>
      <w:proofErr w:type="spellStart"/>
      <w:r>
        <w:rPr>
          <w:rFonts w:ascii="Source Sans Pro" w:hAnsi="Source Sans Pro"/>
          <w:sz w:val="22"/>
          <w:szCs w:val="22"/>
        </w:rPr>
        <w:t>blackolive</w:t>
      </w:r>
      <w:proofErr w:type="spellEnd"/>
      <w:r>
        <w:rPr>
          <w:rFonts w:ascii="Source Sans Pro" w:hAnsi="Source Sans Pro"/>
          <w:sz w:val="22"/>
          <w:szCs w:val="22"/>
        </w:rPr>
        <w:t xml:space="preserve"> and E &amp; G Real Estate.</w:t>
      </w:r>
    </w:p>
    <w:p w14:paraId="444769DA" w14:textId="77777777" w:rsidR="007D5A52" w:rsidRDefault="007D5A52" w:rsidP="007D5A52">
      <w:pPr>
        <w:pStyle w:val="EinfAbs"/>
        <w:tabs>
          <w:tab w:val="left" w:pos="200"/>
        </w:tabs>
        <w:snapToGrid w:val="0"/>
        <w:spacing w:line="280" w:lineRule="exact"/>
        <w:jc w:val="both"/>
        <w:rPr>
          <w:rFonts w:ascii="Source Sans Pro" w:hAnsi="Source Sans Pro" w:cs="Source Sans Pro"/>
          <w:sz w:val="22"/>
          <w:szCs w:val="22"/>
        </w:rPr>
      </w:pPr>
    </w:p>
    <w:p w14:paraId="02B4A804" w14:textId="14029B73" w:rsidR="007D5A52" w:rsidRPr="006456EA" w:rsidRDefault="00DF1EEF" w:rsidP="007D5A52">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From moderate to very brisk</w:t>
      </w:r>
    </w:p>
    <w:p w14:paraId="5F847AE9" w14:textId="117492C5" w:rsidR="00640E69" w:rsidRDefault="009F2DA7"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Accordingly, take-up of office space rose in each of the top </w:t>
      </w:r>
      <w:proofErr w:type="gramStart"/>
      <w:r>
        <w:rPr>
          <w:rFonts w:ascii="Source Sans Pro" w:hAnsi="Source Sans Pro"/>
          <w:sz w:val="22"/>
          <w:szCs w:val="22"/>
        </w:rPr>
        <w:t>7</w:t>
      </w:r>
      <w:proofErr w:type="gramEnd"/>
      <w:r>
        <w:rPr>
          <w:rFonts w:ascii="Source Sans Pro" w:hAnsi="Source Sans Pro"/>
          <w:sz w:val="22"/>
          <w:szCs w:val="22"/>
        </w:rPr>
        <w:t xml:space="preserve"> cities. In </w:t>
      </w:r>
      <w:proofErr w:type="gramStart"/>
      <w:r>
        <w:rPr>
          <w:rFonts w:ascii="Source Sans Pro" w:hAnsi="Source Sans Pro"/>
          <w:sz w:val="22"/>
          <w:szCs w:val="22"/>
        </w:rPr>
        <w:t>Hamburg</w:t>
      </w:r>
      <w:proofErr w:type="gramEnd"/>
      <w:r>
        <w:rPr>
          <w:rFonts w:ascii="Source Sans Pro" w:hAnsi="Source Sans Pro"/>
          <w:sz w:val="22"/>
          <w:szCs w:val="22"/>
        </w:rPr>
        <w:t xml:space="preserve"> the office-letting business was particularly brisk, growing by 44 %. </w:t>
      </w:r>
      <w:r>
        <w:rPr>
          <w:rFonts w:ascii="Source Sans Pro" w:hAnsi="Source Sans Pro"/>
          <w:i/>
          <w:sz w:val="22"/>
          <w:szCs w:val="22"/>
        </w:rPr>
        <w:t>“This growth stems from the diversity of Hamburg’s economy,”</w:t>
      </w:r>
      <w:r>
        <w:rPr>
          <w:rFonts w:ascii="Source Sans Pro" w:hAnsi="Source Sans Pro"/>
          <w:sz w:val="22"/>
          <w:szCs w:val="22"/>
        </w:rPr>
        <w:t xml:space="preserve"> remarks </w:t>
      </w:r>
      <w:r>
        <w:rPr>
          <w:rFonts w:ascii="Source Sans Pro" w:hAnsi="Source Sans Pro"/>
          <w:b/>
          <w:sz w:val="22"/>
          <w:szCs w:val="22"/>
        </w:rPr>
        <w:t xml:space="preserve">Andreas </w:t>
      </w:r>
      <w:proofErr w:type="spellStart"/>
      <w:r>
        <w:rPr>
          <w:rFonts w:ascii="Source Sans Pro" w:hAnsi="Source Sans Pro"/>
          <w:b/>
          <w:sz w:val="22"/>
          <w:szCs w:val="22"/>
        </w:rPr>
        <w:t>Rehberg</w:t>
      </w:r>
      <w:proofErr w:type="spellEnd"/>
      <w:r>
        <w:rPr>
          <w:rFonts w:ascii="Source Sans Pro" w:hAnsi="Source Sans Pro"/>
          <w:b/>
          <w:sz w:val="22"/>
          <w:szCs w:val="22"/>
        </w:rPr>
        <w:t>,</w:t>
      </w:r>
      <w:r>
        <w:rPr>
          <w:rFonts w:ascii="Source Sans Pro" w:hAnsi="Source Sans Pro"/>
          <w:sz w:val="22"/>
          <w:szCs w:val="22"/>
        </w:rPr>
        <w:t xml:space="preserve"> spokesperson for GPP. The relatively modest rates of growth in Stuttgart, Düsseldorf and Munich would have been even lower without the unusually high surge in the 4th quarter. </w:t>
      </w:r>
      <w:r>
        <w:rPr>
          <w:rFonts w:ascii="Source Sans Pro" w:hAnsi="Source Sans Pro"/>
          <w:i/>
          <w:sz w:val="22"/>
          <w:szCs w:val="22"/>
        </w:rPr>
        <w:t>“In Stuttgart industrial clients used to rent large volumes of space, but no such agreements were signed in 2021; in both Munich and Düsseldorf only one “outlier” contract was signed,”</w:t>
      </w:r>
      <w:r>
        <w:rPr>
          <w:rFonts w:ascii="Source Sans Pro" w:hAnsi="Source Sans Pro"/>
          <w:sz w:val="22"/>
          <w:szCs w:val="22"/>
        </w:rPr>
        <w:t xml:space="preserve"> </w:t>
      </w:r>
      <w:proofErr w:type="gramStart"/>
      <w:r>
        <w:rPr>
          <w:rFonts w:ascii="Source Sans Pro" w:hAnsi="Source Sans Pro"/>
          <w:sz w:val="22"/>
          <w:szCs w:val="22"/>
        </w:rPr>
        <w:t>says</w:t>
      </w:r>
      <w:proofErr w:type="gramEnd"/>
      <w:r>
        <w:rPr>
          <w:rFonts w:ascii="Source Sans Pro" w:hAnsi="Source Sans Pro"/>
          <w:b/>
          <w:sz w:val="22"/>
          <w:szCs w:val="22"/>
        </w:rPr>
        <w:t xml:space="preserve"> </w:t>
      </w:r>
      <w:proofErr w:type="spellStart"/>
      <w:r>
        <w:rPr>
          <w:rFonts w:ascii="Source Sans Pro" w:hAnsi="Source Sans Pro"/>
          <w:b/>
          <w:sz w:val="22"/>
          <w:szCs w:val="22"/>
        </w:rPr>
        <w:t>Rehberg</w:t>
      </w:r>
      <w:proofErr w:type="spellEnd"/>
      <w:r>
        <w:rPr>
          <w:rFonts w:ascii="Source Sans Pro" w:hAnsi="Source Sans Pro"/>
          <w:sz w:val="22"/>
          <w:szCs w:val="22"/>
        </w:rPr>
        <w:t xml:space="preserve">. Growth of between a third and a quarter </w:t>
      </w:r>
      <w:proofErr w:type="gramStart"/>
      <w:r>
        <w:rPr>
          <w:rFonts w:ascii="Source Sans Pro" w:hAnsi="Source Sans Pro"/>
          <w:sz w:val="22"/>
          <w:szCs w:val="22"/>
        </w:rPr>
        <w:t>was noted</w:t>
      </w:r>
      <w:proofErr w:type="gramEnd"/>
      <w:r>
        <w:rPr>
          <w:rFonts w:ascii="Source Sans Pro" w:hAnsi="Source Sans Pro"/>
          <w:sz w:val="22"/>
          <w:szCs w:val="22"/>
        </w:rPr>
        <w:t xml:space="preserve"> in Cologne, Frankfurt and Berlin due to demand from the public sector. In each city, it is true to say that demand has recovered appreciably and that more agreements </w:t>
      </w:r>
      <w:proofErr w:type="gramStart"/>
      <w:r>
        <w:rPr>
          <w:rFonts w:ascii="Source Sans Pro" w:hAnsi="Source Sans Pro"/>
          <w:sz w:val="22"/>
          <w:szCs w:val="22"/>
        </w:rPr>
        <w:t>were signed</w:t>
      </w:r>
      <w:proofErr w:type="gramEnd"/>
      <w:r>
        <w:rPr>
          <w:rFonts w:ascii="Source Sans Pro" w:hAnsi="Source Sans Pro"/>
          <w:sz w:val="22"/>
          <w:szCs w:val="22"/>
        </w:rPr>
        <w:t xml:space="preserve">. However, as a rule it took longer to finalize contracts than it had the year before. The rate of owner-occupiers in the top </w:t>
      </w:r>
      <w:proofErr w:type="gramStart"/>
      <w:r>
        <w:rPr>
          <w:rFonts w:ascii="Source Sans Pro" w:hAnsi="Source Sans Pro"/>
          <w:sz w:val="22"/>
          <w:szCs w:val="22"/>
        </w:rPr>
        <w:t>7</w:t>
      </w:r>
      <w:proofErr w:type="gramEnd"/>
      <w:r>
        <w:rPr>
          <w:rFonts w:ascii="Source Sans Pro" w:hAnsi="Source Sans Pro"/>
          <w:sz w:val="22"/>
          <w:szCs w:val="22"/>
        </w:rPr>
        <w:t xml:space="preserve"> cities rose slightly year on year from 5 % to 8 %.</w:t>
      </w:r>
    </w:p>
    <w:p w14:paraId="08D5A27E" w14:textId="66F85291" w:rsidR="00DC0951" w:rsidRDefault="00013FE8"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 </w:t>
      </w:r>
    </w:p>
    <w:p w14:paraId="5AF2F40A" w14:textId="77777777" w:rsidR="000A1D21" w:rsidRDefault="000A1D21">
      <w:pPr>
        <w:overflowPunct/>
        <w:autoSpaceDE/>
        <w:autoSpaceDN/>
        <w:adjustRightInd/>
        <w:textAlignment w:val="auto"/>
        <w:rPr>
          <w:rFonts w:ascii="Source Sans Pro" w:hAnsi="Source Sans Pro" w:cs="MinionPro-Regular"/>
          <w:caps/>
          <w:color w:val="0086A8"/>
          <w:sz w:val="22"/>
          <w:szCs w:val="22"/>
        </w:rPr>
      </w:pPr>
      <w:r>
        <w:rPr>
          <w:rFonts w:ascii="Source Sans Pro" w:hAnsi="Source Sans Pro"/>
          <w:caps/>
          <w:color w:val="0086A8"/>
          <w:sz w:val="22"/>
          <w:szCs w:val="22"/>
        </w:rPr>
        <w:br w:type="page"/>
      </w:r>
    </w:p>
    <w:p w14:paraId="4691ED21" w14:textId="5483AF8F" w:rsidR="00DC0951" w:rsidRPr="006456EA" w:rsidRDefault="00BC72A5" w:rsidP="00DC0951">
      <w:pPr>
        <w:pStyle w:val="EinfAbs"/>
        <w:tabs>
          <w:tab w:val="left" w:pos="200"/>
        </w:tabs>
        <w:snapToGrid w:val="0"/>
        <w:spacing w:line="280" w:lineRule="exact"/>
        <w:jc w:val="both"/>
        <w:rPr>
          <w:rFonts w:ascii="Source Sans Pro" w:hAnsi="Source Sans Pro" w:cs="Source Sans Pro"/>
          <w:caps/>
          <w:color w:val="0086A8"/>
          <w:sz w:val="22"/>
          <w:szCs w:val="22"/>
        </w:rPr>
      </w:pPr>
      <w:bookmarkStart w:id="0" w:name="_GoBack"/>
      <w:bookmarkEnd w:id="0"/>
      <w:r>
        <w:rPr>
          <w:rFonts w:ascii="Source Sans Pro" w:hAnsi="Source Sans Pro"/>
          <w:caps/>
          <w:color w:val="0086A8"/>
          <w:sz w:val="22"/>
          <w:szCs w:val="22"/>
        </w:rPr>
        <w:lastRenderedPageBreak/>
        <w:t>Expansion and relocation have become easier</w:t>
      </w:r>
    </w:p>
    <w:p w14:paraId="2829DAA3" w14:textId="184F32A0" w:rsidR="000136D7" w:rsidRDefault="00F53E0E"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At the end of </w:t>
      </w:r>
      <w:proofErr w:type="gramStart"/>
      <w:r>
        <w:rPr>
          <w:rFonts w:ascii="Source Sans Pro" w:hAnsi="Source Sans Pro"/>
          <w:sz w:val="22"/>
          <w:szCs w:val="22"/>
        </w:rPr>
        <w:t>2021</w:t>
      </w:r>
      <w:proofErr w:type="gramEnd"/>
      <w:r>
        <w:rPr>
          <w:rFonts w:ascii="Source Sans Pro" w:hAnsi="Source Sans Pro"/>
          <w:sz w:val="22"/>
          <w:szCs w:val="22"/>
        </w:rPr>
        <w:t xml:space="preserve"> the vacancy rate in the top 7 cities had risen to 4.7 % from 3.6 % a year before. Th</w:t>
      </w:r>
      <w:r w:rsidR="00547A36">
        <w:rPr>
          <w:rFonts w:ascii="Source Sans Pro" w:hAnsi="Source Sans Pro"/>
          <w:sz w:val="22"/>
          <w:szCs w:val="22"/>
        </w:rPr>
        <w:t>us</w:t>
      </w:r>
      <w:r>
        <w:rPr>
          <w:rFonts w:ascii="Source Sans Pro" w:hAnsi="Source Sans Pro"/>
          <w:sz w:val="22"/>
          <w:szCs w:val="22"/>
        </w:rPr>
        <w:t xml:space="preserve"> t</w:t>
      </w:r>
      <w:r w:rsidR="00547A36">
        <w:rPr>
          <w:rFonts w:ascii="Source Sans Pro" w:hAnsi="Source Sans Pro"/>
          <w:sz w:val="22"/>
          <w:szCs w:val="22"/>
        </w:rPr>
        <w:t>he</w:t>
      </w:r>
      <w:r>
        <w:rPr>
          <w:rFonts w:ascii="Source Sans Pro" w:hAnsi="Source Sans Pro"/>
          <w:sz w:val="22"/>
          <w:szCs w:val="22"/>
        </w:rPr>
        <w:t xml:space="preserve"> space available </w:t>
      </w:r>
      <w:r w:rsidR="00547A36">
        <w:rPr>
          <w:rFonts w:ascii="Source Sans Pro" w:hAnsi="Source Sans Pro"/>
          <w:sz w:val="22"/>
          <w:szCs w:val="22"/>
        </w:rPr>
        <w:t xml:space="preserve">at short notice </w:t>
      </w:r>
      <w:r>
        <w:rPr>
          <w:rFonts w:ascii="Source Sans Pro" w:hAnsi="Source Sans Pro"/>
          <w:sz w:val="22"/>
          <w:szCs w:val="22"/>
        </w:rPr>
        <w:t xml:space="preserve">in Hamburg, Berlin, Düsseldorf, Cologne, Frankfurt, Stuttgart and Munich climbed to </w:t>
      </w:r>
      <w:r w:rsidR="00547A36">
        <w:rPr>
          <w:rFonts w:ascii="Source Sans Pro" w:hAnsi="Source Sans Pro"/>
          <w:sz w:val="22"/>
          <w:szCs w:val="22"/>
        </w:rPr>
        <w:t xml:space="preserve">a total of </w:t>
      </w:r>
      <w:r>
        <w:rPr>
          <w:rFonts w:ascii="Source Sans Pro" w:hAnsi="Source Sans Pro"/>
          <w:sz w:val="22"/>
          <w:szCs w:val="22"/>
        </w:rPr>
        <w:t xml:space="preserve">4.36m square metres, a third more than at the end of 2020. </w:t>
      </w:r>
      <w:r>
        <w:rPr>
          <w:rFonts w:ascii="Source Sans Pro" w:hAnsi="Source Sans Pro"/>
          <w:i/>
          <w:sz w:val="22"/>
          <w:szCs w:val="22"/>
        </w:rPr>
        <w:t>“But even when it comes to empty office space, there are two sides to the coin. If the market approaches a state of having practically no more offices to let, as happened in recent years, companies are unable to expand as planned. Consequently, this hampers the growth of business</w:t>
      </w:r>
      <w:r w:rsidR="00A115D2">
        <w:rPr>
          <w:rFonts w:ascii="Source Sans Pro" w:hAnsi="Source Sans Pro"/>
          <w:i/>
          <w:sz w:val="22"/>
          <w:szCs w:val="22"/>
        </w:rPr>
        <w:t>es which, in many cases, have</w:t>
      </w:r>
      <w:r>
        <w:rPr>
          <w:rFonts w:ascii="Source Sans Pro" w:hAnsi="Source Sans Pro"/>
          <w:i/>
          <w:sz w:val="22"/>
          <w:szCs w:val="22"/>
        </w:rPr>
        <w:t xml:space="preserve"> already suffered from the pandemic,”</w:t>
      </w:r>
      <w:r>
        <w:rPr>
          <w:rFonts w:ascii="Source Sans Pro" w:hAnsi="Source Sans Pro"/>
          <w:sz w:val="22"/>
          <w:szCs w:val="22"/>
        </w:rPr>
        <w:t xml:space="preserve"> </w:t>
      </w:r>
      <w:proofErr w:type="spellStart"/>
      <w:r>
        <w:rPr>
          <w:rFonts w:ascii="Source Sans Pro" w:hAnsi="Source Sans Pro"/>
          <w:b/>
          <w:sz w:val="22"/>
          <w:szCs w:val="22"/>
        </w:rPr>
        <w:t>Rehberg</w:t>
      </w:r>
      <w:proofErr w:type="spellEnd"/>
      <w:r>
        <w:rPr>
          <w:rFonts w:ascii="Source Sans Pro" w:hAnsi="Source Sans Pro"/>
          <w:sz w:val="22"/>
          <w:szCs w:val="22"/>
        </w:rPr>
        <w:t xml:space="preserve"> notes. </w:t>
      </w:r>
      <w:r>
        <w:rPr>
          <w:rFonts w:ascii="Source Sans Pro" w:hAnsi="Source Sans Pro"/>
          <w:i/>
          <w:sz w:val="22"/>
          <w:szCs w:val="22"/>
        </w:rPr>
        <w:t>“In this respect greater choice of office space in most cities is a boon to companies seeking larger premises. This is especially true in Berlin and Munich, where the vacancy rate was only about 2 per cent a year ago.”</w:t>
      </w:r>
      <w:r>
        <w:rPr>
          <w:rFonts w:ascii="Source Sans Pro" w:hAnsi="Source Sans Pro"/>
          <w:sz w:val="22"/>
          <w:szCs w:val="22"/>
        </w:rPr>
        <w:t xml:space="preserve"> Observers were pleased to note that even in Frankfurt the vacancy rate remained below 10 %, at 9.1 %, despite a rate rise that was second only to that of Munich. In relation to total office stock, the lowest amount of available space </w:t>
      </w:r>
      <w:proofErr w:type="gramStart"/>
      <w:r>
        <w:rPr>
          <w:rFonts w:ascii="Source Sans Pro" w:hAnsi="Source Sans Pro"/>
          <w:sz w:val="22"/>
          <w:szCs w:val="22"/>
        </w:rPr>
        <w:t>was posted</w:t>
      </w:r>
      <w:proofErr w:type="gramEnd"/>
      <w:r>
        <w:rPr>
          <w:rFonts w:ascii="Source Sans Pro" w:hAnsi="Source Sans Pro"/>
          <w:sz w:val="22"/>
          <w:szCs w:val="22"/>
        </w:rPr>
        <w:t xml:space="preserve"> in Cologne and Stuttgart at 3.2 %.</w:t>
      </w:r>
    </w:p>
    <w:p w14:paraId="6A8ABB46" w14:textId="5BA039FC" w:rsidR="009A3211" w:rsidRDefault="009A3211" w:rsidP="000136D7">
      <w:pPr>
        <w:pStyle w:val="EinfAbs"/>
        <w:tabs>
          <w:tab w:val="left" w:pos="200"/>
        </w:tabs>
        <w:snapToGrid w:val="0"/>
        <w:spacing w:line="280" w:lineRule="exact"/>
        <w:jc w:val="both"/>
        <w:rPr>
          <w:rFonts w:ascii="Source Sans Pro" w:hAnsi="Source Sans Pro" w:cs="Source Sans Pro"/>
          <w:sz w:val="22"/>
          <w:szCs w:val="22"/>
        </w:rPr>
      </w:pPr>
    </w:p>
    <w:p w14:paraId="3D04C779" w14:textId="3D277A89" w:rsidR="009A3211" w:rsidRPr="006456EA" w:rsidRDefault="007627C8" w:rsidP="009A3211">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Premium rents soar in some cities</w:t>
      </w:r>
    </w:p>
    <w:p w14:paraId="6ECCC731" w14:textId="3111DBF1" w:rsidR="000136D7" w:rsidRDefault="007366B7"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GPP noted that office rents leapt up in Munich and Cologne. The premium rent in Munich, capital of Bavaria, increased by €3.50/m²/month, the average rent by €2.20/m²/month. In </w:t>
      </w:r>
      <w:proofErr w:type="gramStart"/>
      <w:r>
        <w:rPr>
          <w:rFonts w:ascii="Source Sans Pro" w:hAnsi="Source Sans Pro"/>
          <w:sz w:val="22"/>
          <w:szCs w:val="22"/>
        </w:rPr>
        <w:t>Cologne</w:t>
      </w:r>
      <w:proofErr w:type="gramEnd"/>
      <w:r>
        <w:rPr>
          <w:rFonts w:ascii="Source Sans Pro" w:hAnsi="Source Sans Pro"/>
          <w:sz w:val="22"/>
          <w:szCs w:val="22"/>
        </w:rPr>
        <w:t xml:space="preserve"> premium rents also rose by the </w:t>
      </w:r>
      <w:r w:rsidR="00FF54B4">
        <w:rPr>
          <w:rFonts w:ascii="Source Sans Pro" w:hAnsi="Source Sans Pro"/>
          <w:sz w:val="22"/>
          <w:szCs w:val="22"/>
        </w:rPr>
        <w:t>unusually high</w:t>
      </w:r>
      <w:r>
        <w:rPr>
          <w:rFonts w:ascii="Source Sans Pro" w:hAnsi="Source Sans Pro"/>
          <w:sz w:val="22"/>
          <w:szCs w:val="22"/>
        </w:rPr>
        <w:t xml:space="preserve"> amount of €2.00/m²/month. The reasons are to </w:t>
      </w:r>
      <w:proofErr w:type="gramStart"/>
      <w:r>
        <w:rPr>
          <w:rFonts w:ascii="Source Sans Pro" w:hAnsi="Source Sans Pro"/>
          <w:sz w:val="22"/>
          <w:szCs w:val="22"/>
        </w:rPr>
        <w:t>be found</w:t>
      </w:r>
      <w:proofErr w:type="gramEnd"/>
      <w:r>
        <w:rPr>
          <w:rFonts w:ascii="Source Sans Pro" w:hAnsi="Source Sans Pro"/>
          <w:sz w:val="22"/>
          <w:szCs w:val="22"/>
        </w:rPr>
        <w:t xml:space="preserve"> in agreements, some off-plan in exclusive new-builds, for space in the CBD or city centre and in the </w:t>
      </w:r>
      <w:proofErr w:type="spellStart"/>
      <w:r>
        <w:rPr>
          <w:rFonts w:ascii="Source Sans Pro" w:hAnsi="Source Sans Pro"/>
          <w:sz w:val="22"/>
          <w:szCs w:val="22"/>
        </w:rPr>
        <w:t>Altstadt</w:t>
      </w:r>
      <w:proofErr w:type="spellEnd"/>
      <w:r>
        <w:rPr>
          <w:rFonts w:ascii="Source Sans Pro" w:hAnsi="Source Sans Pro"/>
          <w:sz w:val="22"/>
          <w:szCs w:val="22"/>
        </w:rPr>
        <w:t xml:space="preserve"> sub-market of Munich. </w:t>
      </w:r>
      <w:proofErr w:type="spellStart"/>
      <w:r>
        <w:rPr>
          <w:rFonts w:ascii="Source Sans Pro" w:hAnsi="Source Sans Pro"/>
          <w:b/>
          <w:sz w:val="22"/>
          <w:szCs w:val="22"/>
        </w:rPr>
        <w:t>Rehberg</w:t>
      </w:r>
      <w:proofErr w:type="spellEnd"/>
      <w:r>
        <w:rPr>
          <w:rFonts w:ascii="Source Sans Pro" w:hAnsi="Source Sans Pro"/>
          <w:sz w:val="22"/>
          <w:szCs w:val="22"/>
        </w:rPr>
        <w:t xml:space="preserve"> adds that,</w:t>
      </w:r>
      <w:r>
        <w:rPr>
          <w:rFonts w:ascii="Source Sans Pro" w:hAnsi="Source Sans Pro"/>
          <w:i/>
          <w:sz w:val="22"/>
          <w:szCs w:val="22"/>
        </w:rPr>
        <w:t xml:space="preserve"> “Since some new-build rents in Munich’s CBD are already well over 40 euros per square metre and since tenants are paying, on average, 35 to 36 euros per square metre in the new urban hotspot called “</w:t>
      </w:r>
      <w:proofErr w:type="spellStart"/>
      <w:r>
        <w:rPr>
          <w:rFonts w:ascii="Source Sans Pro" w:hAnsi="Source Sans Pro"/>
          <w:i/>
          <w:sz w:val="22"/>
          <w:szCs w:val="22"/>
        </w:rPr>
        <w:t>Werksviertel</w:t>
      </w:r>
      <w:proofErr w:type="spellEnd"/>
      <w:r>
        <w:rPr>
          <w:rFonts w:ascii="Source Sans Pro" w:hAnsi="Source Sans Pro"/>
          <w:i/>
          <w:sz w:val="22"/>
          <w:szCs w:val="22"/>
        </w:rPr>
        <w:t>”, we expect premium rents in the city to keep setting new records in 2022.”</w:t>
      </w:r>
      <w:r>
        <w:rPr>
          <w:rFonts w:ascii="Source Sans Pro" w:hAnsi="Source Sans Pro"/>
          <w:sz w:val="22"/>
          <w:szCs w:val="22"/>
        </w:rPr>
        <w:t xml:space="preserve"> He continues, </w:t>
      </w:r>
      <w:r>
        <w:rPr>
          <w:rFonts w:ascii="Source Sans Pro" w:hAnsi="Source Sans Pro"/>
          <w:i/>
          <w:sz w:val="22"/>
          <w:szCs w:val="22"/>
        </w:rPr>
        <w:t>“The premium rent in Berlin has pushed through the 40-euro barrier for the first time and is now approaching the heights seen in Frankfurt and Munich.”</w:t>
      </w:r>
      <w:r>
        <w:rPr>
          <w:rFonts w:ascii="Source Sans Pro" w:hAnsi="Source Sans Pro"/>
          <w:sz w:val="22"/>
          <w:szCs w:val="22"/>
        </w:rPr>
        <w:t xml:space="preserve"> Since all the prime locations in the central city </w:t>
      </w:r>
      <w:proofErr w:type="gramStart"/>
      <w:r>
        <w:rPr>
          <w:rFonts w:ascii="Source Sans Pro" w:hAnsi="Source Sans Pro"/>
          <w:sz w:val="22"/>
          <w:szCs w:val="22"/>
        </w:rPr>
        <w:t>have been let</w:t>
      </w:r>
      <w:proofErr w:type="gramEnd"/>
      <w:r>
        <w:rPr>
          <w:rFonts w:ascii="Source Sans Pro" w:hAnsi="Source Sans Pro"/>
          <w:sz w:val="22"/>
          <w:szCs w:val="22"/>
        </w:rPr>
        <w:t xml:space="preserve"> already, potential new tenants must expect rents to continue rising here too.</w:t>
      </w:r>
    </w:p>
    <w:p w14:paraId="50BAAE59" w14:textId="4CA7A060" w:rsidR="00F937F1" w:rsidRDefault="00F937F1" w:rsidP="000136D7">
      <w:pPr>
        <w:pStyle w:val="EinfAbs"/>
        <w:tabs>
          <w:tab w:val="left" w:pos="200"/>
        </w:tabs>
        <w:snapToGrid w:val="0"/>
        <w:spacing w:line="280" w:lineRule="exact"/>
        <w:jc w:val="both"/>
        <w:rPr>
          <w:rFonts w:ascii="Source Sans Pro" w:hAnsi="Source Sans Pro" w:cs="Source Sans Pro"/>
          <w:sz w:val="22"/>
          <w:szCs w:val="22"/>
        </w:rPr>
      </w:pPr>
    </w:p>
    <w:p w14:paraId="7638197D" w14:textId="32696A65" w:rsidR="00F937F1" w:rsidRPr="006456EA" w:rsidRDefault="006E3B37" w:rsidP="00F937F1">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Outlook </w:t>
      </w:r>
    </w:p>
    <w:p w14:paraId="55C06315" w14:textId="237D5546" w:rsidR="00F937F1" w:rsidRDefault="006E3B37" w:rsidP="00F937F1">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The outlook is less rosy when considering the pre-letting ratios of new-build developments. </w:t>
      </w:r>
      <w:r>
        <w:rPr>
          <w:rFonts w:ascii="Source Sans Pro" w:hAnsi="Source Sans Pro"/>
          <w:i/>
          <w:sz w:val="22"/>
          <w:szCs w:val="22"/>
        </w:rPr>
        <w:t>“Many developers and builders are postponing speculative schemes until the market stabilizes, having benefited from the shortage of space in recent years to complete developments on speculation,”</w:t>
      </w:r>
      <w:r>
        <w:rPr>
          <w:rFonts w:ascii="Source Sans Pro" w:hAnsi="Source Sans Pro"/>
          <w:sz w:val="22"/>
          <w:szCs w:val="22"/>
        </w:rPr>
        <w:t xml:space="preserve"> says </w:t>
      </w:r>
      <w:proofErr w:type="spellStart"/>
      <w:r>
        <w:rPr>
          <w:rFonts w:ascii="Source Sans Pro" w:hAnsi="Source Sans Pro"/>
          <w:b/>
          <w:sz w:val="22"/>
          <w:szCs w:val="22"/>
        </w:rPr>
        <w:t>Rehberg</w:t>
      </w:r>
      <w:proofErr w:type="spellEnd"/>
      <w:r>
        <w:rPr>
          <w:rFonts w:ascii="Source Sans Pro" w:hAnsi="Source Sans Pro"/>
          <w:b/>
          <w:sz w:val="22"/>
          <w:szCs w:val="22"/>
        </w:rPr>
        <w:t>.</w:t>
      </w:r>
      <w:r>
        <w:rPr>
          <w:rFonts w:ascii="Source Sans Pro" w:hAnsi="Source Sans Pro"/>
          <w:sz w:val="22"/>
          <w:szCs w:val="22"/>
        </w:rPr>
        <w:t xml:space="preserve"> Accordingly, by the end of 2021 the pre-letting rates for 2022 and 2023 were around half of the 3.46m square metres of new office space scheduled for completion in the top 7 cities. </w:t>
      </w:r>
      <w:r>
        <w:rPr>
          <w:rFonts w:ascii="Source Sans Pro" w:hAnsi="Source Sans Pro"/>
          <w:i/>
          <w:sz w:val="22"/>
          <w:szCs w:val="22"/>
        </w:rPr>
        <w:t xml:space="preserve">“The economic forecasts are less positive than they were and the pandemic is not yet over. </w:t>
      </w:r>
      <w:proofErr w:type="gramStart"/>
      <w:r w:rsidR="00A115D2">
        <w:rPr>
          <w:rFonts w:ascii="Source Sans Pro" w:hAnsi="Source Sans Pro"/>
          <w:i/>
          <w:sz w:val="22"/>
          <w:szCs w:val="22"/>
        </w:rPr>
        <w:t>No-one</w:t>
      </w:r>
      <w:proofErr w:type="gramEnd"/>
      <w:r w:rsidR="00A115D2">
        <w:rPr>
          <w:rFonts w:ascii="Source Sans Pro" w:hAnsi="Source Sans Pro"/>
          <w:i/>
          <w:sz w:val="22"/>
          <w:szCs w:val="22"/>
        </w:rPr>
        <w:t xml:space="preserve"> can say exactly how this </w:t>
      </w:r>
      <w:r>
        <w:rPr>
          <w:rFonts w:ascii="Source Sans Pro" w:hAnsi="Source Sans Pro"/>
          <w:i/>
          <w:sz w:val="22"/>
          <w:szCs w:val="22"/>
        </w:rPr>
        <w:t>will affect employment and the office markets. Certainly, the current level of enquiries is no indication of how the market will develop,”</w:t>
      </w:r>
      <w:r>
        <w:rPr>
          <w:rFonts w:ascii="Source Sans Pro" w:hAnsi="Source Sans Pro"/>
          <w:sz w:val="22"/>
          <w:szCs w:val="22"/>
        </w:rPr>
        <w:t xml:space="preserve"> says </w:t>
      </w:r>
      <w:proofErr w:type="spellStart"/>
      <w:r>
        <w:rPr>
          <w:rFonts w:ascii="Source Sans Pro" w:hAnsi="Source Sans Pro"/>
          <w:b/>
          <w:sz w:val="22"/>
          <w:szCs w:val="22"/>
        </w:rPr>
        <w:t>Rehberg</w:t>
      </w:r>
      <w:proofErr w:type="spellEnd"/>
      <w:r>
        <w:rPr>
          <w:rFonts w:ascii="Source Sans Pro" w:hAnsi="Source Sans Pro"/>
          <w:sz w:val="22"/>
          <w:szCs w:val="22"/>
        </w:rPr>
        <w:t xml:space="preserve"> in conclusion.</w:t>
      </w:r>
    </w:p>
    <w:p w14:paraId="30AA64E1" w14:textId="4102A7B9" w:rsidR="00F5697E" w:rsidRDefault="00F5697E" w:rsidP="00F5697E">
      <w:pPr>
        <w:snapToGrid w:val="0"/>
        <w:spacing w:line="280" w:lineRule="exact"/>
        <w:jc w:val="both"/>
        <w:rPr>
          <w:rFonts w:ascii="Source Sans Pro" w:hAnsi="Source Sans Pro" w:cs="Source Sans Pro"/>
          <w:sz w:val="22"/>
          <w:szCs w:val="22"/>
        </w:rPr>
      </w:pPr>
    </w:p>
    <w:p w14:paraId="0C9F61DF" w14:textId="77777777" w:rsidR="00054FE9" w:rsidRDefault="00054FE9">
      <w:pPr>
        <w:overflowPunct/>
        <w:autoSpaceDE/>
        <w:autoSpaceDN/>
        <w:adjustRightInd/>
        <w:textAlignment w:val="auto"/>
        <w:rPr>
          <w:rFonts w:ascii="Source Sans Pro" w:hAnsi="Source Sans Pro" w:cs="Arial"/>
          <w:b/>
          <w:sz w:val="20"/>
        </w:rPr>
      </w:pPr>
      <w:r>
        <w:br w:type="page"/>
      </w:r>
    </w:p>
    <w:p w14:paraId="700A8FF0" w14:textId="7FE22F7A" w:rsidR="004A2D54" w:rsidRPr="004A2D54" w:rsidRDefault="00C64096" w:rsidP="004A2D54">
      <w:pPr>
        <w:jc w:val="both"/>
        <w:rPr>
          <w:rFonts w:ascii="Source Sans Pro" w:hAnsi="Source Sans Pro" w:cs="Arial"/>
          <w:sz w:val="20"/>
        </w:rPr>
      </w:pPr>
      <w:r>
        <w:rPr>
          <w:rFonts w:ascii="Source Sans Pro" w:hAnsi="Source Sans Pro"/>
          <w:b/>
          <w:sz w:val="20"/>
        </w:rPr>
        <w:lastRenderedPageBreak/>
        <w:t>Major known agreements for 15,000 m² or more | Top 7 locations | Q1-4 2021</w:t>
      </w:r>
    </w:p>
    <w:tbl>
      <w:tblPr>
        <w:tblStyle w:val="Tabellenraster"/>
        <w:tblW w:w="5000" w:type="pct"/>
        <w:tblLook w:val="04A0" w:firstRow="1" w:lastRow="0" w:firstColumn="1" w:lastColumn="0" w:noHBand="0" w:noVBand="1"/>
      </w:tblPr>
      <w:tblGrid>
        <w:gridCol w:w="722"/>
        <w:gridCol w:w="3775"/>
        <w:gridCol w:w="3963"/>
        <w:gridCol w:w="1048"/>
      </w:tblGrid>
      <w:tr w:rsidR="004A2D54" w:rsidRPr="004A2D54" w14:paraId="423F19E1"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vAlign w:val="center"/>
            <w:hideMark/>
          </w:tcPr>
          <w:p w14:paraId="6040E63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City</w:t>
            </w:r>
          </w:p>
        </w:tc>
        <w:tc>
          <w:tcPr>
            <w:tcW w:w="1985" w:type="pct"/>
            <w:tcBorders>
              <w:top w:val="single" w:sz="4" w:space="0" w:color="auto"/>
              <w:left w:val="single" w:sz="4" w:space="0" w:color="auto"/>
              <w:bottom w:val="single" w:sz="4" w:space="0" w:color="auto"/>
              <w:right w:val="single" w:sz="4" w:space="0" w:color="auto"/>
            </w:tcBorders>
            <w:vAlign w:val="center"/>
            <w:hideMark/>
          </w:tcPr>
          <w:p w14:paraId="34CBD75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084" w:type="pct"/>
            <w:tcBorders>
              <w:top w:val="single" w:sz="4" w:space="0" w:color="auto"/>
              <w:left w:val="single" w:sz="4" w:space="0" w:color="auto"/>
              <w:bottom w:val="single" w:sz="4" w:space="0" w:color="auto"/>
              <w:right w:val="single" w:sz="4" w:space="0" w:color="auto"/>
            </w:tcBorders>
            <w:vAlign w:val="center"/>
            <w:hideMark/>
          </w:tcPr>
          <w:p w14:paraId="0B101F63"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Tenant/owner-occupier</w:t>
            </w:r>
          </w:p>
        </w:tc>
        <w:tc>
          <w:tcPr>
            <w:tcW w:w="551" w:type="pct"/>
            <w:tcBorders>
              <w:top w:val="single" w:sz="4" w:space="0" w:color="auto"/>
              <w:left w:val="single" w:sz="4" w:space="0" w:color="auto"/>
              <w:bottom w:val="single" w:sz="4" w:space="0" w:color="auto"/>
              <w:right w:val="single" w:sz="4" w:space="0" w:color="auto"/>
            </w:tcBorders>
            <w:vAlign w:val="center"/>
            <w:hideMark/>
          </w:tcPr>
          <w:p w14:paraId="0490CE1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 xml:space="preserve">Rental area </w:t>
            </w:r>
            <w:r>
              <w:rPr>
                <w:rFonts w:ascii="Source Sans Pro" w:hAnsi="Source Sans Pro"/>
                <w:sz w:val="16"/>
                <w:szCs w:val="16"/>
              </w:rPr>
              <w:t>(ca. m²)</w:t>
            </w:r>
          </w:p>
        </w:tc>
      </w:tr>
      <w:tr w:rsidR="00371F87" w:rsidRPr="004A2D54" w14:paraId="7E1E4C34"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3D30E22" w14:textId="228B81C8" w:rsidR="00371F87" w:rsidRPr="004A2D54" w:rsidRDefault="00371F87"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32D219CD" w14:textId="0EB84B0E" w:rsidR="00371F87" w:rsidRPr="00B72F21" w:rsidRDefault="00371F87"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Anzinger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1349315" w14:textId="05EF4766" w:rsidR="00371F87" w:rsidRPr="004A2D54" w:rsidRDefault="00371F87"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Deutsches</w:t>
            </w:r>
            <w:proofErr w:type="spellEnd"/>
            <w:r>
              <w:rPr>
                <w:rFonts w:ascii="Source Sans Pro" w:hAnsi="Source Sans Pro"/>
                <w:bCs/>
                <w:sz w:val="16"/>
                <w:szCs w:val="16"/>
              </w:rPr>
              <w:t xml:space="preserve"> Patent- und </w:t>
            </w:r>
            <w:proofErr w:type="spellStart"/>
            <w:r>
              <w:rPr>
                <w:rFonts w:ascii="Source Sans Pro" w:hAnsi="Source Sans Pro"/>
                <w:bCs/>
                <w:sz w:val="16"/>
                <w:szCs w:val="16"/>
              </w:rPr>
              <w:t>Markenamt</w:t>
            </w:r>
            <w:proofErr w:type="spellEnd"/>
            <w:r>
              <w:rPr>
                <w:rFonts w:ascii="Source Sans Pro" w:hAnsi="Source Sans Pro"/>
                <w:bCs/>
                <w:sz w:val="16"/>
                <w:szCs w:val="16"/>
              </w:rPr>
              <w:t xml:space="preserve"> (Patents office, DPMA)</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8FB5CA8" w14:textId="3C408BDB" w:rsidR="00371F87" w:rsidRPr="004A2D54" w:rsidRDefault="00371F87" w:rsidP="00AA5925">
            <w:pPr>
              <w:widowControl w:val="0"/>
              <w:jc w:val="center"/>
              <w:rPr>
                <w:rFonts w:ascii="Source Sans Pro" w:hAnsi="Source Sans Pro" w:cs="Arial"/>
                <w:bCs/>
                <w:sz w:val="16"/>
                <w:szCs w:val="16"/>
              </w:rPr>
            </w:pPr>
            <w:r>
              <w:rPr>
                <w:rFonts w:ascii="Source Sans Pro" w:hAnsi="Source Sans Pro"/>
                <w:bCs/>
                <w:sz w:val="16"/>
                <w:szCs w:val="16"/>
              </w:rPr>
              <w:t>45,000</w:t>
            </w:r>
          </w:p>
        </w:tc>
      </w:tr>
      <w:tr w:rsidR="004A2D54" w:rsidRPr="004A2D54" w14:paraId="1A9052AE"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vAlign w:val="center"/>
          </w:tcPr>
          <w:p w14:paraId="09D09832"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BER</w:t>
            </w:r>
          </w:p>
        </w:tc>
        <w:tc>
          <w:tcPr>
            <w:tcW w:w="1985" w:type="pct"/>
            <w:tcBorders>
              <w:top w:val="single" w:sz="4" w:space="0" w:color="auto"/>
              <w:left w:val="single" w:sz="4" w:space="0" w:color="auto"/>
              <w:bottom w:val="single" w:sz="4" w:space="0" w:color="auto"/>
              <w:right w:val="single" w:sz="4" w:space="0" w:color="auto"/>
            </w:tcBorders>
            <w:vAlign w:val="center"/>
          </w:tcPr>
          <w:p w14:paraId="226B6645" w14:textId="77777777" w:rsidR="004A2D54" w:rsidRPr="00B72F21" w:rsidRDefault="004A2D54" w:rsidP="00AA5925">
            <w:pPr>
              <w:widowControl w:val="0"/>
              <w:jc w:val="center"/>
              <w:rPr>
                <w:rFonts w:ascii="Source Sans Pro" w:hAnsi="Source Sans Pro" w:cs="Arial"/>
                <w:bCs/>
                <w:sz w:val="16"/>
                <w:szCs w:val="16"/>
              </w:rPr>
            </w:pPr>
            <w:r>
              <w:rPr>
                <w:rFonts w:ascii="Source Sans Pro" w:hAnsi="Source Sans Pro"/>
                <w:bCs/>
                <w:sz w:val="16"/>
                <w:szCs w:val="16"/>
              </w:rPr>
              <w:t xml:space="preserve">“Upbeat”, </w:t>
            </w:r>
            <w:proofErr w:type="spellStart"/>
            <w:r>
              <w:rPr>
                <w:rFonts w:ascii="Source Sans Pro" w:hAnsi="Source Sans Pro"/>
                <w:bCs/>
                <w:sz w:val="16"/>
                <w:szCs w:val="16"/>
              </w:rPr>
              <w:t>Heidestrasse</w:t>
            </w:r>
            <w:proofErr w:type="spellEnd"/>
          </w:p>
        </w:tc>
        <w:tc>
          <w:tcPr>
            <w:tcW w:w="2084" w:type="pct"/>
            <w:tcBorders>
              <w:top w:val="single" w:sz="4" w:space="0" w:color="auto"/>
              <w:left w:val="single" w:sz="4" w:space="0" w:color="auto"/>
              <w:bottom w:val="single" w:sz="4" w:space="0" w:color="auto"/>
              <w:right w:val="single" w:sz="4" w:space="0" w:color="auto"/>
            </w:tcBorders>
            <w:vAlign w:val="center"/>
          </w:tcPr>
          <w:p w14:paraId="0D3F3013"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DKB Bank</w:t>
            </w:r>
          </w:p>
        </w:tc>
        <w:tc>
          <w:tcPr>
            <w:tcW w:w="551" w:type="pct"/>
            <w:tcBorders>
              <w:top w:val="single" w:sz="4" w:space="0" w:color="auto"/>
              <w:left w:val="single" w:sz="4" w:space="0" w:color="auto"/>
              <w:bottom w:val="single" w:sz="4" w:space="0" w:color="auto"/>
              <w:right w:val="single" w:sz="4" w:space="0" w:color="auto"/>
            </w:tcBorders>
            <w:vAlign w:val="center"/>
          </w:tcPr>
          <w:p w14:paraId="4C23F58F"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34,900</w:t>
            </w:r>
          </w:p>
        </w:tc>
      </w:tr>
      <w:tr w:rsidR="001421F7" w:rsidRPr="004A2D54" w14:paraId="6D372F4A"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vAlign w:val="center"/>
          </w:tcPr>
          <w:p w14:paraId="1C1F2E5C" w14:textId="003AA5BC" w:rsidR="001421F7" w:rsidRPr="004A2D54" w:rsidRDefault="001421F7" w:rsidP="00AA5925">
            <w:pPr>
              <w:widowControl w:val="0"/>
              <w:jc w:val="center"/>
              <w:rPr>
                <w:rFonts w:ascii="Source Sans Pro" w:hAnsi="Source Sans Pro" w:cs="Arial"/>
                <w:bCs/>
                <w:sz w:val="16"/>
                <w:szCs w:val="16"/>
              </w:rPr>
            </w:pPr>
            <w:r>
              <w:rPr>
                <w:rFonts w:ascii="Source Sans Pro" w:hAnsi="Source Sans Pro"/>
                <w:bCs/>
                <w:sz w:val="16"/>
                <w:szCs w:val="16"/>
              </w:rPr>
              <w:t>DUS</w:t>
            </w:r>
          </w:p>
        </w:tc>
        <w:tc>
          <w:tcPr>
            <w:tcW w:w="1985" w:type="pct"/>
            <w:tcBorders>
              <w:top w:val="single" w:sz="4" w:space="0" w:color="auto"/>
              <w:left w:val="single" w:sz="4" w:space="0" w:color="auto"/>
              <w:bottom w:val="single" w:sz="4" w:space="0" w:color="auto"/>
              <w:right w:val="single" w:sz="4" w:space="0" w:color="auto"/>
            </w:tcBorders>
            <w:vAlign w:val="center"/>
          </w:tcPr>
          <w:p w14:paraId="7342469A" w14:textId="7772AEC0" w:rsidR="001421F7" w:rsidRPr="00B72F21" w:rsidRDefault="001421F7" w:rsidP="00AA5925">
            <w:pPr>
              <w:widowControl w:val="0"/>
              <w:jc w:val="center"/>
              <w:rPr>
                <w:rFonts w:ascii="Source Sans Pro" w:hAnsi="Source Sans Pro" w:cs="Arial"/>
                <w:bCs/>
                <w:sz w:val="16"/>
                <w:szCs w:val="16"/>
              </w:rPr>
            </w:pPr>
            <w:r>
              <w:rPr>
                <w:rFonts w:ascii="Source Sans Pro" w:hAnsi="Source Sans Pro"/>
                <w:bCs/>
                <w:sz w:val="16"/>
                <w:szCs w:val="16"/>
              </w:rPr>
              <w:t>Nord sub-market</w:t>
            </w:r>
          </w:p>
        </w:tc>
        <w:tc>
          <w:tcPr>
            <w:tcW w:w="2084" w:type="pct"/>
            <w:tcBorders>
              <w:top w:val="single" w:sz="4" w:space="0" w:color="auto"/>
              <w:left w:val="single" w:sz="4" w:space="0" w:color="auto"/>
              <w:bottom w:val="single" w:sz="4" w:space="0" w:color="auto"/>
              <w:right w:val="single" w:sz="4" w:space="0" w:color="auto"/>
            </w:tcBorders>
            <w:vAlign w:val="center"/>
          </w:tcPr>
          <w:p w14:paraId="509B7137" w14:textId="6C2889A4" w:rsidR="001421F7" w:rsidRPr="004A2D54" w:rsidRDefault="001421F7"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551" w:type="pct"/>
            <w:tcBorders>
              <w:top w:val="single" w:sz="4" w:space="0" w:color="auto"/>
              <w:left w:val="single" w:sz="4" w:space="0" w:color="auto"/>
              <w:bottom w:val="single" w:sz="4" w:space="0" w:color="auto"/>
              <w:right w:val="single" w:sz="4" w:space="0" w:color="auto"/>
            </w:tcBorders>
            <w:vAlign w:val="center"/>
          </w:tcPr>
          <w:p w14:paraId="76531AC7" w14:textId="01AD2C53" w:rsidR="001421F7" w:rsidRPr="004A2D54" w:rsidRDefault="001421F7" w:rsidP="00AA5925">
            <w:pPr>
              <w:widowControl w:val="0"/>
              <w:jc w:val="center"/>
              <w:rPr>
                <w:rFonts w:ascii="Source Sans Pro" w:hAnsi="Source Sans Pro" w:cs="Arial"/>
                <w:bCs/>
                <w:sz w:val="16"/>
                <w:szCs w:val="16"/>
              </w:rPr>
            </w:pPr>
            <w:r>
              <w:rPr>
                <w:rFonts w:ascii="Source Sans Pro" w:hAnsi="Source Sans Pro"/>
                <w:bCs/>
                <w:sz w:val="16"/>
                <w:szCs w:val="16"/>
              </w:rPr>
              <w:t>26,000</w:t>
            </w:r>
          </w:p>
        </w:tc>
      </w:tr>
      <w:tr w:rsidR="009C7CAD" w:rsidRPr="004A2D54" w14:paraId="0BA6F12E"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1C1D5" w14:textId="5DE057F3" w:rsidR="009C7CAD" w:rsidRPr="004A2D54" w:rsidRDefault="009C7CAD"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1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F745D" w14:textId="77777777" w:rsidR="00FB28C0" w:rsidRDefault="00FB28C0" w:rsidP="00FB28C0">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Boersenplatz</w:t>
            </w:r>
            <w:proofErr w:type="spellEnd"/>
            <w:r>
              <w:rPr>
                <w:rFonts w:ascii="Source Sans Pro" w:hAnsi="Source Sans Pro"/>
                <w:bCs/>
                <w:sz w:val="16"/>
                <w:szCs w:val="16"/>
              </w:rPr>
              <w:t xml:space="preserve"> </w:t>
            </w:r>
            <w:proofErr w:type="spellStart"/>
            <w:r>
              <w:rPr>
                <w:rFonts w:ascii="Source Sans Pro" w:hAnsi="Source Sans Pro"/>
                <w:bCs/>
                <w:sz w:val="16"/>
                <w:szCs w:val="16"/>
              </w:rPr>
              <w:t>Eschborn</w:t>
            </w:r>
            <w:proofErr w:type="spellEnd"/>
            <w:r>
              <w:rPr>
                <w:rFonts w:ascii="Source Sans Pro" w:hAnsi="Source Sans Pro"/>
                <w:bCs/>
                <w:sz w:val="16"/>
                <w:szCs w:val="16"/>
              </w:rPr>
              <w:t>”,</w:t>
            </w:r>
          </w:p>
          <w:p w14:paraId="6885EE34" w14:textId="358683EA" w:rsidR="009C7CAD" w:rsidRPr="00B72F21" w:rsidRDefault="00FB28C0" w:rsidP="00FB28C0">
            <w:pPr>
              <w:widowControl w:val="0"/>
              <w:jc w:val="center"/>
              <w:rPr>
                <w:rFonts w:ascii="Source Sans Pro" w:hAnsi="Source Sans Pro" w:cs="Arial"/>
                <w:bCs/>
                <w:sz w:val="16"/>
                <w:szCs w:val="16"/>
              </w:rPr>
            </w:pPr>
            <w:proofErr w:type="spellStart"/>
            <w:r>
              <w:rPr>
                <w:rFonts w:ascii="Source Sans Pro" w:hAnsi="Source Sans Pro"/>
                <w:bCs/>
                <w:sz w:val="16"/>
                <w:szCs w:val="16"/>
              </w:rPr>
              <w:t>Boersenplatz</w:t>
            </w:r>
            <w:proofErr w:type="spellEnd"/>
            <w:r>
              <w:rPr>
                <w:rFonts w:ascii="Source Sans Pro" w:hAnsi="Source Sans Pro"/>
                <w:bCs/>
                <w:sz w:val="16"/>
                <w:szCs w:val="16"/>
              </w:rPr>
              <w:t xml:space="preserve"> 1-6, </w:t>
            </w:r>
            <w:proofErr w:type="spellStart"/>
            <w:r>
              <w:rPr>
                <w:rFonts w:ascii="Source Sans Pro" w:hAnsi="Source Sans Pro"/>
                <w:bCs/>
                <w:sz w:val="16"/>
                <w:szCs w:val="16"/>
              </w:rPr>
              <w:t>Eschborn</w:t>
            </w:r>
            <w:proofErr w:type="spellEnd"/>
          </w:p>
        </w:tc>
        <w:tc>
          <w:tcPr>
            <w:tcW w:w="2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03B65" w14:textId="18B9C9B3" w:rsidR="009C7CAD" w:rsidRPr="004A2D54" w:rsidRDefault="009C7CAD" w:rsidP="00AA5925">
            <w:pPr>
              <w:widowControl w:val="0"/>
              <w:jc w:val="center"/>
              <w:rPr>
                <w:rFonts w:ascii="Source Sans Pro" w:hAnsi="Source Sans Pro" w:cs="Arial"/>
                <w:bCs/>
                <w:sz w:val="16"/>
                <w:szCs w:val="16"/>
              </w:rPr>
            </w:pPr>
            <w:r>
              <w:rPr>
                <w:rFonts w:ascii="Source Sans Pro" w:hAnsi="Source Sans Pro"/>
                <w:bCs/>
                <w:sz w:val="16"/>
                <w:szCs w:val="16"/>
              </w:rPr>
              <w:t>Federal Office for Economic Affairs and Export Control (BAFA)</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39139" w14:textId="3C240D47" w:rsidR="009C7CAD" w:rsidRPr="004A2D54" w:rsidRDefault="00B72F21" w:rsidP="00AA5925">
            <w:pPr>
              <w:widowControl w:val="0"/>
              <w:jc w:val="center"/>
              <w:rPr>
                <w:rFonts w:ascii="Source Sans Pro" w:hAnsi="Source Sans Pro" w:cs="Arial"/>
                <w:bCs/>
                <w:sz w:val="16"/>
                <w:szCs w:val="16"/>
              </w:rPr>
            </w:pPr>
            <w:r>
              <w:rPr>
                <w:rFonts w:ascii="Source Sans Pro" w:hAnsi="Source Sans Pro"/>
                <w:bCs/>
                <w:sz w:val="16"/>
                <w:szCs w:val="16"/>
              </w:rPr>
              <w:t>21,400</w:t>
            </w:r>
          </w:p>
        </w:tc>
      </w:tr>
      <w:tr w:rsidR="004A2D54" w:rsidRPr="004A2D54" w14:paraId="026A2FAB"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DC0ADFC"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BER</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53DF6F0B" w14:textId="77777777" w:rsidR="004A2D54" w:rsidRPr="00B72F21" w:rsidRDefault="004A2D54" w:rsidP="00AA5925">
            <w:pPr>
              <w:widowControl w:val="0"/>
              <w:jc w:val="center"/>
              <w:rPr>
                <w:rFonts w:ascii="Source Sans Pro" w:hAnsi="Source Sans Pro" w:cs="Arial"/>
                <w:bCs/>
                <w:sz w:val="16"/>
                <w:szCs w:val="16"/>
              </w:rPr>
            </w:pPr>
            <w:r>
              <w:rPr>
                <w:rFonts w:ascii="Source Sans Pro" w:hAnsi="Source Sans Pro"/>
                <w:bCs/>
                <w:sz w:val="16"/>
                <w:szCs w:val="16"/>
              </w:rPr>
              <w:t xml:space="preserve">“New Courts”, </w:t>
            </w:r>
            <w:proofErr w:type="spellStart"/>
            <w:r>
              <w:rPr>
                <w:rFonts w:ascii="Source Sans Pro" w:hAnsi="Source Sans Pro"/>
                <w:bCs/>
                <w:sz w:val="16"/>
                <w:szCs w:val="16"/>
              </w:rPr>
              <w:t>Gerichtstrasse</w:t>
            </w:r>
            <w:proofErr w:type="spellEnd"/>
            <w:r>
              <w:rPr>
                <w:rFonts w:ascii="Source Sans Pro" w:hAnsi="Source Sans Pro"/>
                <w:bCs/>
                <w:sz w:val="16"/>
                <w:szCs w:val="16"/>
              </w:rPr>
              <w:t xml:space="preserve"> 48-49</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DB3D250"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Federal Office for Consumer Protection and Food Safety (BVL).</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6980E52"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20,000</w:t>
            </w:r>
          </w:p>
        </w:tc>
      </w:tr>
      <w:tr w:rsidR="004A2D54" w:rsidRPr="004A2D54" w14:paraId="49C3D06F"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EB3585C"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0151A5D5" w14:textId="77777777" w:rsidR="004A2D54" w:rsidRPr="00B72F21" w:rsidRDefault="004A2D54" w:rsidP="00AA5925">
            <w:pPr>
              <w:widowControl w:val="0"/>
              <w:jc w:val="center"/>
              <w:rPr>
                <w:rFonts w:ascii="Source Sans Pro" w:hAnsi="Source Sans Pro" w:cs="Arial"/>
                <w:bCs/>
                <w:sz w:val="16"/>
                <w:szCs w:val="16"/>
              </w:rPr>
            </w:pPr>
            <w:r>
              <w:rPr>
                <w:rFonts w:ascii="Source Sans Pro" w:hAnsi="Source Sans Pro"/>
                <w:bCs/>
                <w:sz w:val="16"/>
                <w:szCs w:val="16"/>
              </w:rPr>
              <w:t xml:space="preserve">“Kreisler”, </w:t>
            </w:r>
            <w:proofErr w:type="spellStart"/>
            <w:r>
              <w:rPr>
                <w:rFonts w:ascii="Source Sans Pro" w:hAnsi="Source Sans Pro"/>
                <w:bCs/>
                <w:sz w:val="16"/>
                <w:szCs w:val="16"/>
              </w:rPr>
              <w:t>Baseler</w:t>
            </w:r>
            <w:proofErr w:type="spellEnd"/>
            <w:r>
              <w:rPr>
                <w:rFonts w:ascii="Source Sans Pro" w:hAnsi="Source Sans Pro"/>
                <w:bCs/>
                <w:sz w:val="16"/>
                <w:szCs w:val="16"/>
              </w:rPr>
              <w:t xml:space="preserve"> </w:t>
            </w:r>
            <w:proofErr w:type="spellStart"/>
            <w:r>
              <w:rPr>
                <w:rFonts w:ascii="Source Sans Pro" w:hAnsi="Source Sans Pro"/>
                <w:bCs/>
                <w:sz w:val="16"/>
                <w:szCs w:val="16"/>
              </w:rPr>
              <w:t>Straße</w:t>
            </w:r>
            <w:proofErr w:type="spellEnd"/>
            <w:r>
              <w:rPr>
                <w:rFonts w:ascii="Source Sans Pro" w:hAnsi="Source Sans Pro"/>
                <w:bCs/>
                <w:sz w:val="16"/>
                <w:szCs w:val="16"/>
              </w:rPr>
              <w:t xml:space="preserve"> 46-48</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4538FC8"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Nestlé Deutschland</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4BFB65D"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20,000</w:t>
            </w:r>
          </w:p>
        </w:tc>
      </w:tr>
      <w:tr w:rsidR="00371F87" w:rsidRPr="004A2D54" w14:paraId="28B6771A"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BC2F6E5" w14:textId="686DB907" w:rsidR="00371F87" w:rsidRPr="004A2D54" w:rsidRDefault="00371F87"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0186A056" w14:textId="16BFDEAE" w:rsidR="00371F87" w:rsidRPr="00B72F21" w:rsidRDefault="00371F87" w:rsidP="00AA5925">
            <w:pPr>
              <w:widowControl w:val="0"/>
              <w:jc w:val="center"/>
              <w:rPr>
                <w:rFonts w:ascii="Source Sans Pro" w:hAnsi="Source Sans Pro" w:cs="Arial"/>
                <w:bCs/>
                <w:sz w:val="16"/>
                <w:szCs w:val="16"/>
              </w:rPr>
            </w:pPr>
            <w:r>
              <w:rPr>
                <w:rFonts w:ascii="Source Sans Pro" w:hAnsi="Source Sans Pro"/>
                <w:bCs/>
                <w:sz w:val="16"/>
                <w:szCs w:val="16"/>
              </w:rPr>
              <w:t xml:space="preserve">“Ipanema”, </w:t>
            </w:r>
            <w:proofErr w:type="spellStart"/>
            <w:r>
              <w:rPr>
                <w:rFonts w:ascii="Source Sans Pro" w:hAnsi="Source Sans Pro"/>
                <w:bCs/>
                <w:sz w:val="16"/>
                <w:szCs w:val="16"/>
              </w:rPr>
              <w:t>Überseering</w:t>
            </w:r>
            <w:proofErr w:type="spellEnd"/>
            <w:r>
              <w:rPr>
                <w:rFonts w:ascii="Source Sans Pro" w:hAnsi="Source Sans Pro"/>
                <w:bCs/>
                <w:sz w:val="16"/>
                <w:szCs w:val="16"/>
              </w:rPr>
              <w:t xml:space="preserve"> 30</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4C1C182" w14:textId="4C69D706" w:rsidR="00371F87" w:rsidRPr="004A2D54" w:rsidRDefault="00371F87"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Berenberg</w:t>
            </w:r>
            <w:proofErr w:type="spellEnd"/>
            <w:r>
              <w:rPr>
                <w:rFonts w:ascii="Source Sans Pro" w:hAnsi="Source Sans Pro"/>
                <w:bCs/>
                <w:sz w:val="16"/>
                <w:szCs w:val="16"/>
              </w:rPr>
              <w:t xml:space="preserve"> Bank</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38296FE5" w14:textId="66A6B90F" w:rsidR="00371F87" w:rsidRPr="004A2D54" w:rsidRDefault="00371F87" w:rsidP="00AA5925">
            <w:pPr>
              <w:widowControl w:val="0"/>
              <w:jc w:val="center"/>
              <w:rPr>
                <w:rFonts w:ascii="Source Sans Pro" w:hAnsi="Source Sans Pro" w:cs="Arial"/>
                <w:bCs/>
                <w:sz w:val="16"/>
                <w:szCs w:val="16"/>
              </w:rPr>
            </w:pPr>
            <w:r>
              <w:rPr>
                <w:rFonts w:ascii="Source Sans Pro" w:hAnsi="Source Sans Pro"/>
                <w:bCs/>
                <w:sz w:val="16"/>
                <w:szCs w:val="16"/>
              </w:rPr>
              <w:t>19,200</w:t>
            </w:r>
          </w:p>
        </w:tc>
      </w:tr>
      <w:tr w:rsidR="004A2D54" w:rsidRPr="004A2D54" w14:paraId="4E973430"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8200ED2"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00E58461" w14:textId="0E3BEB7C" w:rsidR="004A2D54" w:rsidRPr="00B72F21" w:rsidRDefault="00B83DA7"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Ehrenfeld</w:t>
            </w:r>
            <w:proofErr w:type="spellEnd"/>
            <w:r>
              <w:rPr>
                <w:rFonts w:ascii="Source Sans Pro" w:hAnsi="Source Sans Pro"/>
                <w:bCs/>
                <w:sz w:val="16"/>
                <w:szCs w:val="16"/>
              </w:rPr>
              <w:t xml:space="preserve"> sub-market</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00143AE9" w14:textId="16F6B47A" w:rsidR="004A2D54" w:rsidRPr="004A2D54" w:rsidRDefault="0035249E"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3249C91"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19,000</w:t>
            </w:r>
          </w:p>
        </w:tc>
      </w:tr>
      <w:tr w:rsidR="004A2D54" w:rsidRPr="004A2D54" w14:paraId="1675986B"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19B9EA12"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0C55816B" w14:textId="77777777" w:rsidR="004A2D54" w:rsidRPr="00B72F21" w:rsidRDefault="004A2D54"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Freisinger</w:t>
            </w:r>
            <w:proofErr w:type="spellEnd"/>
            <w:r>
              <w:rPr>
                <w:rFonts w:ascii="Source Sans Pro" w:hAnsi="Source Sans Pro"/>
                <w:bCs/>
                <w:sz w:val="16"/>
                <w:szCs w:val="16"/>
              </w:rPr>
              <w:t xml:space="preserve"> </w:t>
            </w:r>
            <w:proofErr w:type="spellStart"/>
            <w:r>
              <w:rPr>
                <w:rFonts w:ascii="Source Sans Pro" w:hAnsi="Source Sans Pro"/>
                <w:bCs/>
                <w:sz w:val="16"/>
                <w:szCs w:val="16"/>
              </w:rPr>
              <w:t>Landstrasse</w:t>
            </w:r>
            <w:proofErr w:type="spellEnd"/>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752A749" w14:textId="6888A7F6"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SAP</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8E864F3"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18,000</w:t>
            </w:r>
          </w:p>
        </w:tc>
      </w:tr>
      <w:tr w:rsidR="00B72F21" w:rsidRPr="004A2D54" w14:paraId="01E1364D"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E2F79" w14:textId="0C48545F" w:rsidR="00B72F21" w:rsidRPr="004A2D54" w:rsidRDefault="00B72F21"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0164B" w14:textId="561AE6DB" w:rsidR="00B72F21" w:rsidRPr="00B72F21" w:rsidRDefault="00B72F21" w:rsidP="00AA5925">
            <w:pPr>
              <w:widowControl w:val="0"/>
              <w:jc w:val="center"/>
              <w:rPr>
                <w:rFonts w:ascii="Source Sans Pro" w:hAnsi="Source Sans Pro" w:cs="Arial"/>
                <w:bCs/>
                <w:sz w:val="16"/>
                <w:szCs w:val="16"/>
              </w:rPr>
            </w:pPr>
            <w:r>
              <w:rPr>
                <w:rFonts w:ascii="Source Sans Pro" w:hAnsi="Source Sans Pro"/>
                <w:bCs/>
                <w:sz w:val="16"/>
                <w:szCs w:val="16"/>
              </w:rPr>
              <w:t>Cologne East sub-market</w:t>
            </w:r>
          </w:p>
        </w:tc>
        <w:tc>
          <w:tcPr>
            <w:tcW w:w="2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03DA" w14:textId="0C7A9594" w:rsidR="00B72F21" w:rsidRPr="004A2D54" w:rsidRDefault="00B72F21" w:rsidP="00AA5925">
            <w:pPr>
              <w:widowControl w:val="0"/>
              <w:jc w:val="center"/>
              <w:rPr>
                <w:rFonts w:ascii="Source Sans Pro" w:hAnsi="Source Sans Pro" w:cs="Arial"/>
                <w:bCs/>
                <w:sz w:val="16"/>
                <w:szCs w:val="16"/>
              </w:rPr>
            </w:pPr>
            <w:r>
              <w:rPr>
                <w:rFonts w:ascii="Source Sans Pro" w:hAnsi="Source Sans Pro"/>
                <w:bCs/>
                <w:sz w:val="16"/>
                <w:szCs w:val="16"/>
              </w:rPr>
              <w:t>Federal agency</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49C69" w14:textId="3E000EBD" w:rsidR="00B72F21" w:rsidRPr="004A2D54" w:rsidRDefault="00B72F21" w:rsidP="00AA5925">
            <w:pPr>
              <w:widowControl w:val="0"/>
              <w:jc w:val="center"/>
              <w:rPr>
                <w:rFonts w:ascii="Source Sans Pro" w:hAnsi="Source Sans Pro" w:cs="Arial"/>
                <w:bCs/>
                <w:sz w:val="16"/>
                <w:szCs w:val="16"/>
              </w:rPr>
            </w:pPr>
            <w:r>
              <w:rPr>
                <w:rFonts w:ascii="Source Sans Pro" w:hAnsi="Source Sans Pro"/>
                <w:bCs/>
                <w:sz w:val="16"/>
                <w:szCs w:val="16"/>
              </w:rPr>
              <w:t>18,000</w:t>
            </w:r>
          </w:p>
        </w:tc>
      </w:tr>
      <w:tr w:rsidR="004A2D54" w:rsidRPr="004A2D54" w14:paraId="27ECDC7B"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865080E"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MUC</w:t>
            </w:r>
          </w:p>
        </w:tc>
        <w:tc>
          <w:tcPr>
            <w:tcW w:w="1985" w:type="pct"/>
            <w:tcBorders>
              <w:top w:val="single" w:sz="4" w:space="0" w:color="auto"/>
              <w:left w:val="single" w:sz="4" w:space="0" w:color="auto"/>
              <w:bottom w:val="single" w:sz="4" w:space="0" w:color="auto"/>
              <w:right w:val="single" w:sz="4" w:space="0" w:color="auto"/>
            </w:tcBorders>
            <w:shd w:val="clear" w:color="auto" w:fill="auto"/>
            <w:vAlign w:val="center"/>
          </w:tcPr>
          <w:p w14:paraId="16F2C9FE" w14:textId="77777777" w:rsidR="004A2D54" w:rsidRPr="00B72F21" w:rsidRDefault="004A2D54" w:rsidP="00AA5925">
            <w:pPr>
              <w:widowControl w:val="0"/>
              <w:jc w:val="center"/>
              <w:rPr>
                <w:rFonts w:ascii="Source Sans Pro" w:hAnsi="Source Sans Pro" w:cs="Arial"/>
                <w:bCs/>
                <w:sz w:val="16"/>
                <w:szCs w:val="16"/>
              </w:rPr>
            </w:pPr>
            <w:r>
              <w:rPr>
                <w:rFonts w:ascii="Source Sans Pro" w:hAnsi="Source Sans Pro"/>
                <w:bCs/>
                <w:sz w:val="16"/>
                <w:szCs w:val="16"/>
              </w:rPr>
              <w:t>Gisela-Stein-</w:t>
            </w:r>
            <w:proofErr w:type="spellStart"/>
            <w:r>
              <w:rPr>
                <w:rFonts w:ascii="Source Sans Pro" w:hAnsi="Source Sans Pro"/>
                <w:bCs/>
                <w:sz w:val="16"/>
                <w:szCs w:val="16"/>
              </w:rPr>
              <w:t>Strasse</w:t>
            </w:r>
            <w:proofErr w:type="spellEnd"/>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B3BE4FE" w14:textId="621B485E"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 xml:space="preserve">Wacker </w:t>
            </w:r>
            <w:proofErr w:type="spellStart"/>
            <w:r>
              <w:rPr>
                <w:rFonts w:ascii="Source Sans Pro" w:hAnsi="Source Sans Pro"/>
                <w:bCs/>
                <w:sz w:val="16"/>
                <w:szCs w:val="16"/>
              </w:rPr>
              <w:t>Chemie</w:t>
            </w:r>
            <w:proofErr w:type="spellEnd"/>
            <w:r>
              <w:rPr>
                <w:rFonts w:ascii="Source Sans Pro" w:hAnsi="Source Sans Pro"/>
                <w:bCs/>
                <w:sz w:val="16"/>
                <w:szCs w:val="16"/>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43CCEEAB"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17,800</w:t>
            </w:r>
          </w:p>
        </w:tc>
      </w:tr>
      <w:tr w:rsidR="00B83DA7" w:rsidRPr="004A2D54" w14:paraId="42BF90A7"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9BF38" w14:textId="6B23131D" w:rsidR="00B83DA7" w:rsidRPr="004A2D54" w:rsidRDefault="00B83DA7" w:rsidP="00AA5925">
            <w:pPr>
              <w:widowControl w:val="0"/>
              <w:jc w:val="center"/>
              <w:rPr>
                <w:rFonts w:ascii="Source Sans Pro" w:hAnsi="Source Sans Pro" w:cs="Arial"/>
                <w:bCs/>
                <w:sz w:val="16"/>
                <w:szCs w:val="16"/>
              </w:rPr>
            </w:pPr>
            <w:r>
              <w:rPr>
                <w:rFonts w:ascii="Source Sans Pro" w:hAnsi="Source Sans Pro"/>
                <w:bCs/>
                <w:sz w:val="16"/>
                <w:szCs w:val="16"/>
              </w:rPr>
              <w:t>HAM</w:t>
            </w:r>
          </w:p>
        </w:tc>
        <w:tc>
          <w:tcPr>
            <w:tcW w:w="19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AFA6" w14:textId="12C7A968" w:rsidR="00B83DA7" w:rsidRPr="00B72F21" w:rsidRDefault="00B83DA7" w:rsidP="00AA5925">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Michaelis</w:t>
            </w:r>
            <w:proofErr w:type="spellEnd"/>
            <w:r>
              <w:rPr>
                <w:rFonts w:ascii="Source Sans Pro" w:hAnsi="Source Sans Pro"/>
                <w:bCs/>
                <w:sz w:val="16"/>
                <w:szCs w:val="16"/>
              </w:rPr>
              <w:t xml:space="preserve"> Quarter”, Ludwig-Erhard-</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11-17</w:t>
            </w:r>
          </w:p>
        </w:tc>
        <w:tc>
          <w:tcPr>
            <w:tcW w:w="20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420C9" w14:textId="472B89F9" w:rsidR="00B83DA7" w:rsidRPr="004A2D54" w:rsidRDefault="00B83DA7" w:rsidP="00AA5925">
            <w:pPr>
              <w:widowControl w:val="0"/>
              <w:jc w:val="center"/>
              <w:rPr>
                <w:rFonts w:ascii="Source Sans Pro" w:hAnsi="Source Sans Pro" w:cs="Arial"/>
                <w:bCs/>
                <w:sz w:val="16"/>
                <w:szCs w:val="16"/>
              </w:rPr>
            </w:pPr>
            <w:r>
              <w:rPr>
                <w:rFonts w:ascii="Source Sans Pro" w:hAnsi="Source Sans Pro"/>
                <w:bCs/>
                <w:sz w:val="16"/>
                <w:szCs w:val="16"/>
              </w:rPr>
              <w:t>Hamburg State Prosecutor</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AA2AC" w14:textId="17341B91" w:rsidR="00B83DA7" w:rsidRPr="004A2D54" w:rsidRDefault="00B83DA7" w:rsidP="00AA5925">
            <w:pPr>
              <w:widowControl w:val="0"/>
              <w:jc w:val="center"/>
              <w:rPr>
                <w:rFonts w:ascii="Source Sans Pro" w:hAnsi="Source Sans Pro" w:cs="Arial"/>
                <w:bCs/>
                <w:sz w:val="16"/>
                <w:szCs w:val="16"/>
              </w:rPr>
            </w:pPr>
            <w:r>
              <w:rPr>
                <w:rFonts w:ascii="Source Sans Pro" w:hAnsi="Source Sans Pro"/>
                <w:bCs/>
                <w:sz w:val="16"/>
                <w:szCs w:val="16"/>
              </w:rPr>
              <w:t>17,600</w:t>
            </w:r>
          </w:p>
        </w:tc>
      </w:tr>
      <w:tr w:rsidR="004A2D54" w:rsidRPr="004A2D54" w14:paraId="5B46D012"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323AA"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9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C0772" w14:textId="77777777" w:rsidR="004A2D54" w:rsidRPr="00B72F21" w:rsidRDefault="004A2D54" w:rsidP="00AA5925">
            <w:pPr>
              <w:widowControl w:val="0"/>
              <w:jc w:val="center"/>
              <w:rPr>
                <w:rFonts w:ascii="Source Sans Pro" w:hAnsi="Source Sans Pro" w:cs="Arial"/>
                <w:bCs/>
                <w:sz w:val="16"/>
                <w:szCs w:val="16"/>
              </w:rPr>
            </w:pPr>
            <w:r>
              <w:rPr>
                <w:rFonts w:ascii="Source Sans Pro" w:hAnsi="Source Sans Pro"/>
                <w:bCs/>
                <w:sz w:val="16"/>
                <w:szCs w:val="16"/>
              </w:rPr>
              <w:t>Josef-</w:t>
            </w:r>
            <w:proofErr w:type="spellStart"/>
            <w:r>
              <w:rPr>
                <w:rFonts w:ascii="Source Sans Pro" w:hAnsi="Source Sans Pro"/>
                <w:bCs/>
                <w:sz w:val="16"/>
                <w:szCs w:val="16"/>
              </w:rPr>
              <w:t>Lammerting</w:t>
            </w:r>
            <w:proofErr w:type="spellEnd"/>
            <w:r>
              <w:rPr>
                <w:rFonts w:ascii="Source Sans Pro" w:hAnsi="Source Sans Pro"/>
                <w:bCs/>
                <w:sz w:val="16"/>
                <w:szCs w:val="16"/>
              </w:rPr>
              <w:t>-</w:t>
            </w:r>
            <w:proofErr w:type="spellStart"/>
            <w:r>
              <w:rPr>
                <w:rFonts w:ascii="Source Sans Pro" w:hAnsi="Source Sans Pro"/>
                <w:bCs/>
                <w:sz w:val="16"/>
                <w:szCs w:val="16"/>
              </w:rPr>
              <w:t>Allee</w:t>
            </w:r>
            <w:proofErr w:type="spellEnd"/>
            <w:r>
              <w:rPr>
                <w:rFonts w:ascii="Source Sans Pro" w:hAnsi="Source Sans Pro"/>
                <w:bCs/>
                <w:sz w:val="16"/>
                <w:szCs w:val="16"/>
              </w:rPr>
              <w:t xml:space="preserve"> 24-34</w:t>
            </w:r>
          </w:p>
        </w:tc>
        <w:tc>
          <w:tcPr>
            <w:tcW w:w="20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6A6B0" w14:textId="7C09594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Federal agency</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57498"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16,200</w:t>
            </w:r>
          </w:p>
        </w:tc>
      </w:tr>
      <w:tr w:rsidR="00B72F21" w:rsidRPr="004A2D54" w14:paraId="1A58C38C"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016FBD" w14:textId="195E73FB" w:rsidR="00B72F21" w:rsidRPr="004A2D54" w:rsidRDefault="00B72F21" w:rsidP="00AA5925">
            <w:pPr>
              <w:widowControl w:val="0"/>
              <w:jc w:val="center"/>
              <w:rPr>
                <w:rFonts w:ascii="Source Sans Pro" w:hAnsi="Source Sans Pro" w:cs="Arial"/>
                <w:bCs/>
                <w:sz w:val="16"/>
                <w:szCs w:val="16"/>
              </w:rPr>
            </w:pPr>
            <w:r>
              <w:rPr>
                <w:rFonts w:ascii="Source Sans Pro" w:hAnsi="Source Sans Pro"/>
                <w:bCs/>
                <w:sz w:val="16"/>
                <w:szCs w:val="16"/>
              </w:rPr>
              <w:t>CGN</w:t>
            </w:r>
          </w:p>
        </w:tc>
        <w:tc>
          <w:tcPr>
            <w:tcW w:w="1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8AF01" w14:textId="12711E9E" w:rsidR="00B72F21" w:rsidRPr="00B72F21" w:rsidRDefault="00B72F21"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2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E9142" w14:textId="417F2F58" w:rsidR="00B72F21" w:rsidRPr="004A2D54" w:rsidRDefault="00B72F21" w:rsidP="00AA5925">
            <w:pPr>
              <w:widowControl w:val="0"/>
              <w:jc w:val="center"/>
              <w:rPr>
                <w:rFonts w:ascii="Source Sans Pro" w:hAnsi="Source Sans Pro" w:cs="Arial"/>
                <w:bCs/>
                <w:sz w:val="16"/>
                <w:szCs w:val="16"/>
              </w:rPr>
            </w:pPr>
            <w:r>
              <w:rPr>
                <w:rFonts w:ascii="Source Sans Pro" w:hAnsi="Source Sans Pro"/>
                <w:bCs/>
                <w:sz w:val="16"/>
                <w:szCs w:val="16"/>
              </w:rPr>
              <w:t>confidential</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746ED" w14:textId="1BD18A0D" w:rsidR="00B72F21" w:rsidRPr="004A2D54" w:rsidRDefault="00B72F21" w:rsidP="00AA5925">
            <w:pPr>
              <w:widowControl w:val="0"/>
              <w:jc w:val="center"/>
              <w:rPr>
                <w:rFonts w:ascii="Source Sans Pro" w:hAnsi="Source Sans Pro" w:cs="Arial"/>
                <w:bCs/>
                <w:sz w:val="16"/>
                <w:szCs w:val="16"/>
              </w:rPr>
            </w:pPr>
            <w:r>
              <w:rPr>
                <w:rFonts w:ascii="Source Sans Pro" w:hAnsi="Source Sans Pro"/>
                <w:bCs/>
                <w:sz w:val="16"/>
                <w:szCs w:val="16"/>
              </w:rPr>
              <w:t>16,000</w:t>
            </w:r>
          </w:p>
        </w:tc>
      </w:tr>
      <w:tr w:rsidR="00B72F21" w:rsidRPr="004A2D54" w14:paraId="7BECC91E"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D125C" w14:textId="173F9CA3" w:rsidR="00B72F21" w:rsidRPr="004A2D54" w:rsidRDefault="00B72F21"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1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64A8E" w14:textId="73BE7C56" w:rsidR="00B72F21" w:rsidRPr="00B72F21" w:rsidRDefault="00B72F21" w:rsidP="00AA5925">
            <w:pPr>
              <w:widowControl w:val="0"/>
              <w:jc w:val="center"/>
              <w:rPr>
                <w:rFonts w:ascii="Source Sans Pro" w:hAnsi="Source Sans Pro" w:cs="Arial"/>
                <w:bCs/>
                <w:sz w:val="16"/>
                <w:szCs w:val="16"/>
              </w:rPr>
            </w:pPr>
            <w:r>
              <w:rPr>
                <w:rFonts w:ascii="Source Sans Pro" w:hAnsi="Source Sans Pro"/>
                <w:bCs/>
                <w:sz w:val="16"/>
                <w:szCs w:val="16"/>
              </w:rPr>
              <w:t>“</w:t>
            </w:r>
            <w:proofErr w:type="spellStart"/>
            <w:r>
              <w:rPr>
                <w:rFonts w:ascii="Source Sans Pro" w:hAnsi="Source Sans Pro"/>
                <w:bCs/>
                <w:sz w:val="16"/>
                <w:szCs w:val="16"/>
              </w:rPr>
              <w:t>Atricom</w:t>
            </w:r>
            <w:proofErr w:type="spellEnd"/>
            <w:r>
              <w:rPr>
                <w:rFonts w:ascii="Source Sans Pro" w:hAnsi="Source Sans Pro"/>
                <w:bCs/>
                <w:sz w:val="16"/>
                <w:szCs w:val="16"/>
              </w:rPr>
              <w:t xml:space="preserve">”, </w:t>
            </w:r>
            <w:proofErr w:type="spellStart"/>
            <w:r>
              <w:rPr>
                <w:rFonts w:ascii="Source Sans Pro" w:hAnsi="Source Sans Pro"/>
                <w:bCs/>
                <w:sz w:val="16"/>
                <w:szCs w:val="16"/>
              </w:rPr>
              <w:t>Lyoner</w:t>
            </w:r>
            <w:proofErr w:type="spellEnd"/>
            <w:r>
              <w:rPr>
                <w:rFonts w:ascii="Source Sans Pro" w:hAnsi="Source Sans Pro"/>
                <w:bCs/>
                <w:sz w:val="16"/>
                <w:szCs w:val="16"/>
              </w:rPr>
              <w:t xml:space="preserve"> </w:t>
            </w:r>
            <w:proofErr w:type="spellStart"/>
            <w:r>
              <w:rPr>
                <w:rFonts w:ascii="Source Sans Pro" w:hAnsi="Source Sans Pro"/>
                <w:bCs/>
                <w:sz w:val="16"/>
                <w:szCs w:val="16"/>
              </w:rPr>
              <w:t>Strasse</w:t>
            </w:r>
            <w:proofErr w:type="spellEnd"/>
            <w:r>
              <w:rPr>
                <w:rFonts w:ascii="Source Sans Pro" w:hAnsi="Source Sans Pro"/>
                <w:bCs/>
                <w:sz w:val="16"/>
                <w:szCs w:val="16"/>
              </w:rPr>
              <w:t xml:space="preserve"> 15</w:t>
            </w:r>
          </w:p>
        </w:tc>
        <w:tc>
          <w:tcPr>
            <w:tcW w:w="2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72298" w14:textId="64DBF522" w:rsidR="00B72F21" w:rsidRPr="004A2D54" w:rsidRDefault="00B72F21" w:rsidP="00AA5925">
            <w:pPr>
              <w:widowControl w:val="0"/>
              <w:jc w:val="center"/>
              <w:rPr>
                <w:rFonts w:ascii="Source Sans Pro" w:hAnsi="Source Sans Pro" w:cs="Arial"/>
                <w:bCs/>
                <w:sz w:val="16"/>
                <w:szCs w:val="16"/>
              </w:rPr>
            </w:pPr>
            <w:proofErr w:type="spellStart"/>
            <w:r>
              <w:rPr>
                <w:rFonts w:ascii="Source Sans Pro" w:hAnsi="Source Sans Pro"/>
                <w:bCs/>
                <w:sz w:val="16"/>
                <w:szCs w:val="16"/>
              </w:rPr>
              <w:t>Worldline</w:t>
            </w:r>
            <w:proofErr w:type="spellEnd"/>
            <w:r>
              <w:rPr>
                <w:rFonts w:ascii="Source Sans Pro" w:hAnsi="Source Sans Pro"/>
                <w:bCs/>
                <w:sz w:val="16"/>
                <w:szCs w:val="16"/>
              </w:rPr>
              <w:t xml:space="preserve"> Germany</w:t>
            </w:r>
          </w:p>
        </w:tc>
        <w:tc>
          <w:tcPr>
            <w:tcW w:w="5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70878" w14:textId="61C3AC5B" w:rsidR="00B72F21" w:rsidRPr="004A2D54" w:rsidRDefault="00B72F21" w:rsidP="00AA5925">
            <w:pPr>
              <w:widowControl w:val="0"/>
              <w:jc w:val="center"/>
              <w:rPr>
                <w:rFonts w:ascii="Source Sans Pro" w:hAnsi="Source Sans Pro" w:cs="Arial"/>
                <w:bCs/>
                <w:sz w:val="16"/>
                <w:szCs w:val="16"/>
              </w:rPr>
            </w:pPr>
            <w:r>
              <w:rPr>
                <w:rFonts w:ascii="Source Sans Pro" w:hAnsi="Source Sans Pro"/>
                <w:bCs/>
                <w:sz w:val="16"/>
                <w:szCs w:val="16"/>
              </w:rPr>
              <w:t>15,400</w:t>
            </w:r>
          </w:p>
        </w:tc>
      </w:tr>
      <w:tr w:rsidR="004A2D54" w:rsidRPr="004A2D54" w14:paraId="17938D3C" w14:textId="77777777" w:rsidTr="00B72F21">
        <w:trPr>
          <w:trHeight w:val="227"/>
        </w:trPr>
        <w:tc>
          <w:tcPr>
            <w:tcW w:w="380" w:type="pct"/>
            <w:tcBorders>
              <w:top w:val="single" w:sz="4" w:space="0" w:color="auto"/>
              <w:left w:val="single" w:sz="4" w:space="0" w:color="auto"/>
              <w:bottom w:val="single" w:sz="4" w:space="0" w:color="auto"/>
              <w:right w:val="single" w:sz="4" w:space="0" w:color="auto"/>
            </w:tcBorders>
            <w:vAlign w:val="center"/>
          </w:tcPr>
          <w:p w14:paraId="46A92F1C"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FFM</w:t>
            </w:r>
          </w:p>
        </w:tc>
        <w:tc>
          <w:tcPr>
            <w:tcW w:w="1985" w:type="pct"/>
            <w:tcBorders>
              <w:top w:val="single" w:sz="4" w:space="0" w:color="auto"/>
              <w:left w:val="single" w:sz="4" w:space="0" w:color="auto"/>
              <w:bottom w:val="single" w:sz="4" w:space="0" w:color="auto"/>
              <w:right w:val="single" w:sz="4" w:space="0" w:color="auto"/>
            </w:tcBorders>
            <w:vAlign w:val="center"/>
          </w:tcPr>
          <w:p w14:paraId="63812694" w14:textId="6EAB904C" w:rsidR="004A2D54" w:rsidRPr="00B72F21" w:rsidRDefault="00B72F21" w:rsidP="00AA5925">
            <w:pPr>
              <w:widowControl w:val="0"/>
              <w:jc w:val="center"/>
              <w:rPr>
                <w:rFonts w:ascii="Source Sans Pro" w:hAnsi="Source Sans Pro" w:cs="Arial"/>
                <w:bCs/>
                <w:sz w:val="16"/>
                <w:szCs w:val="16"/>
              </w:rPr>
            </w:pPr>
            <w:r>
              <w:rPr>
                <w:rFonts w:ascii="Source Sans Pro" w:hAnsi="Source Sans Pro"/>
                <w:bCs/>
                <w:sz w:val="16"/>
                <w:szCs w:val="16"/>
              </w:rPr>
              <w:t xml:space="preserve">“The Move Blue”, (Gateway Gardens), </w:t>
            </w:r>
          </w:p>
          <w:p w14:paraId="6CB1DAB3" w14:textId="77777777" w:rsidR="004A2D54" w:rsidRPr="00B72F21" w:rsidRDefault="004A2D54" w:rsidP="00AA5925">
            <w:pPr>
              <w:widowControl w:val="0"/>
              <w:jc w:val="center"/>
              <w:rPr>
                <w:rFonts w:ascii="Source Sans Pro" w:hAnsi="Source Sans Pro" w:cs="Arial"/>
                <w:bCs/>
                <w:sz w:val="16"/>
                <w:szCs w:val="16"/>
              </w:rPr>
            </w:pPr>
            <w:r>
              <w:rPr>
                <w:rFonts w:ascii="Source Sans Pro" w:hAnsi="Source Sans Pro"/>
                <w:bCs/>
                <w:sz w:val="16"/>
                <w:szCs w:val="16"/>
              </w:rPr>
              <w:t>De-Saint-</w:t>
            </w:r>
            <w:proofErr w:type="spellStart"/>
            <w:r>
              <w:rPr>
                <w:rFonts w:ascii="Source Sans Pro" w:hAnsi="Source Sans Pro"/>
                <w:bCs/>
                <w:sz w:val="16"/>
                <w:szCs w:val="16"/>
              </w:rPr>
              <w:t>Exupèry</w:t>
            </w:r>
            <w:proofErr w:type="spellEnd"/>
            <w:r>
              <w:rPr>
                <w:rFonts w:ascii="Source Sans Pro" w:hAnsi="Source Sans Pro"/>
                <w:bCs/>
                <w:sz w:val="16"/>
                <w:szCs w:val="16"/>
              </w:rPr>
              <w:t>-</w:t>
            </w:r>
            <w:proofErr w:type="spellStart"/>
            <w:r>
              <w:rPr>
                <w:rFonts w:ascii="Source Sans Pro" w:hAnsi="Source Sans Pro"/>
                <w:bCs/>
                <w:sz w:val="16"/>
                <w:szCs w:val="16"/>
              </w:rPr>
              <w:t>Strasse</w:t>
            </w:r>
            <w:proofErr w:type="spellEnd"/>
            <w:r>
              <w:rPr>
                <w:rFonts w:ascii="Source Sans Pro" w:hAnsi="Source Sans Pro"/>
                <w:bCs/>
                <w:sz w:val="16"/>
                <w:szCs w:val="16"/>
              </w:rPr>
              <w:t xml:space="preserve"> 3, 5-7</w:t>
            </w:r>
          </w:p>
        </w:tc>
        <w:tc>
          <w:tcPr>
            <w:tcW w:w="2084" w:type="pct"/>
            <w:tcBorders>
              <w:top w:val="single" w:sz="4" w:space="0" w:color="auto"/>
              <w:left w:val="single" w:sz="4" w:space="0" w:color="auto"/>
              <w:bottom w:val="single" w:sz="4" w:space="0" w:color="auto"/>
              <w:right w:val="single" w:sz="4" w:space="0" w:color="auto"/>
            </w:tcBorders>
            <w:vAlign w:val="center"/>
          </w:tcPr>
          <w:p w14:paraId="7E1FE42F"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Siemens (owner-occupier)</w:t>
            </w:r>
          </w:p>
        </w:tc>
        <w:tc>
          <w:tcPr>
            <w:tcW w:w="551" w:type="pct"/>
            <w:tcBorders>
              <w:top w:val="single" w:sz="4" w:space="0" w:color="auto"/>
              <w:left w:val="single" w:sz="4" w:space="0" w:color="auto"/>
              <w:bottom w:val="single" w:sz="4" w:space="0" w:color="auto"/>
              <w:right w:val="single" w:sz="4" w:space="0" w:color="auto"/>
            </w:tcBorders>
            <w:vAlign w:val="center"/>
          </w:tcPr>
          <w:p w14:paraId="2881D34A" w14:textId="77777777" w:rsidR="004A2D54" w:rsidRPr="004A2D54" w:rsidRDefault="004A2D54" w:rsidP="00AA5925">
            <w:pPr>
              <w:widowControl w:val="0"/>
              <w:jc w:val="center"/>
              <w:rPr>
                <w:rFonts w:ascii="Source Sans Pro" w:hAnsi="Source Sans Pro" w:cs="Arial"/>
                <w:bCs/>
                <w:sz w:val="16"/>
                <w:szCs w:val="16"/>
              </w:rPr>
            </w:pPr>
            <w:r>
              <w:rPr>
                <w:rFonts w:ascii="Source Sans Pro" w:hAnsi="Source Sans Pro"/>
                <w:bCs/>
                <w:sz w:val="16"/>
                <w:szCs w:val="16"/>
              </w:rPr>
              <w:t>15,000</w:t>
            </w:r>
          </w:p>
        </w:tc>
      </w:tr>
    </w:tbl>
    <w:p w14:paraId="444FE02E" w14:textId="3C22A066" w:rsidR="004A2D54" w:rsidRPr="004A2D54" w:rsidRDefault="004A2D54" w:rsidP="004A2D54">
      <w:pPr>
        <w:widowControl w:val="0"/>
        <w:rPr>
          <w:rFonts w:ascii="Source Sans Pro" w:hAnsi="Source Sans Pro" w:cs="Arial"/>
          <w:sz w:val="16"/>
          <w:szCs w:val="16"/>
        </w:rPr>
      </w:pPr>
      <w:r>
        <w:rPr>
          <w:rFonts w:ascii="Source Sans Pro" w:hAnsi="Source Sans Pro"/>
          <w:sz w:val="16"/>
          <w:szCs w:val="16"/>
        </w:rPr>
        <w:t xml:space="preserve">Transactions occurring in the quarter covered by this report </w:t>
      </w:r>
      <w:proofErr w:type="gramStart"/>
      <w:r>
        <w:rPr>
          <w:rFonts w:ascii="Source Sans Pro" w:hAnsi="Source Sans Pro"/>
          <w:sz w:val="16"/>
          <w:szCs w:val="16"/>
        </w:rPr>
        <w:t>are highlighted</w:t>
      </w:r>
      <w:proofErr w:type="gramEnd"/>
      <w:r>
        <w:rPr>
          <w:rFonts w:ascii="Source Sans Pro" w:hAnsi="Source Sans Pro"/>
          <w:sz w:val="16"/>
          <w:szCs w:val="16"/>
        </w:rPr>
        <w:t>. Source: German Property Partners (GPP)</w:t>
      </w:r>
    </w:p>
    <w:p w14:paraId="475827B1" w14:textId="78BF3D2F" w:rsidR="00A67512" w:rsidRDefault="00A67512">
      <w:pPr>
        <w:overflowPunct/>
        <w:autoSpaceDE/>
        <w:autoSpaceDN/>
        <w:adjustRightInd/>
        <w:textAlignment w:val="auto"/>
        <w:rPr>
          <w:rFonts w:ascii="Source Sans Pro" w:hAnsi="Source Sans Pro" w:cs="Arial"/>
          <w:sz w:val="16"/>
          <w:szCs w:val="16"/>
        </w:rPr>
      </w:pPr>
    </w:p>
    <w:p w14:paraId="5B9B2836" w14:textId="77777777" w:rsidR="00054FE9" w:rsidRDefault="00054FE9">
      <w:pPr>
        <w:overflowPunct/>
        <w:autoSpaceDE/>
        <w:autoSpaceDN/>
        <w:adjustRightInd/>
        <w:textAlignment w:val="auto"/>
        <w:rPr>
          <w:rFonts w:ascii="Source Sans Pro" w:hAnsi="Source Sans Pro" w:cs="Arial"/>
          <w:sz w:val="16"/>
          <w:szCs w:val="16"/>
        </w:rPr>
      </w:pPr>
    </w:p>
    <w:p w14:paraId="75A1F579" w14:textId="77777777" w:rsidR="00054FE9" w:rsidRDefault="00054FE9">
      <w:pPr>
        <w:overflowPunct/>
        <w:autoSpaceDE/>
        <w:autoSpaceDN/>
        <w:adjustRightInd/>
        <w:textAlignment w:val="auto"/>
        <w:rPr>
          <w:rFonts w:ascii="Source Sans Pro" w:hAnsi="Source Sans Pro" w:cs="Arial"/>
          <w:sz w:val="16"/>
          <w:szCs w:val="16"/>
        </w:rPr>
      </w:pPr>
    </w:p>
    <w:p w14:paraId="1BF7891F" w14:textId="23B83AE2" w:rsidR="004A2D54" w:rsidRPr="004A2D54" w:rsidRDefault="004A2D54" w:rsidP="004A2D54">
      <w:pPr>
        <w:rPr>
          <w:rFonts w:ascii="Source Sans Pro" w:hAnsi="Source Sans Pro" w:cs="Arial"/>
          <w:sz w:val="16"/>
          <w:szCs w:val="16"/>
        </w:rPr>
      </w:pPr>
      <w:r>
        <w:rPr>
          <w:rFonts w:ascii="Source Sans Pro" w:hAnsi="Source Sans Pro"/>
          <w:b/>
          <w:sz w:val="20"/>
        </w:rPr>
        <w:t>Top 7 cities | 1st-4th quarters of 2021</w:t>
      </w:r>
    </w:p>
    <w:tbl>
      <w:tblPr>
        <w:tblStyle w:val="Tabellenraster"/>
        <w:tblW w:w="5000" w:type="pct"/>
        <w:tblLook w:val="04A0" w:firstRow="1" w:lastRow="0" w:firstColumn="1" w:lastColumn="0" w:noHBand="0" w:noVBand="1"/>
      </w:tblPr>
      <w:tblGrid>
        <w:gridCol w:w="1872"/>
        <w:gridCol w:w="954"/>
        <w:gridCol w:w="954"/>
        <w:gridCol w:w="955"/>
        <w:gridCol w:w="955"/>
        <w:gridCol w:w="955"/>
        <w:gridCol w:w="955"/>
        <w:gridCol w:w="955"/>
        <w:gridCol w:w="953"/>
      </w:tblGrid>
      <w:tr w:rsidR="004A2D54" w:rsidRPr="004A2D54" w14:paraId="1F169502" w14:textId="77777777" w:rsidTr="00AA5925">
        <w:trPr>
          <w:trHeight w:val="283"/>
        </w:trPr>
        <w:tc>
          <w:tcPr>
            <w:tcW w:w="985" w:type="pct"/>
            <w:vAlign w:val="center"/>
          </w:tcPr>
          <w:p w14:paraId="0254193F" w14:textId="77777777" w:rsidR="004A2D54" w:rsidRPr="004A2D54" w:rsidRDefault="004A2D54" w:rsidP="00AA5925">
            <w:pPr>
              <w:widowControl w:val="0"/>
              <w:rPr>
                <w:rFonts w:ascii="Source Sans Pro" w:hAnsi="Source Sans Pro" w:cs="Arial"/>
                <w:b/>
                <w:sz w:val="16"/>
                <w:szCs w:val="16"/>
              </w:rPr>
            </w:pPr>
          </w:p>
        </w:tc>
        <w:tc>
          <w:tcPr>
            <w:tcW w:w="502" w:type="pct"/>
            <w:vAlign w:val="center"/>
          </w:tcPr>
          <w:p w14:paraId="6F593517"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HAM</w:t>
            </w:r>
          </w:p>
        </w:tc>
        <w:tc>
          <w:tcPr>
            <w:tcW w:w="502" w:type="pct"/>
            <w:vAlign w:val="center"/>
          </w:tcPr>
          <w:p w14:paraId="4C569DD5"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BER</w:t>
            </w:r>
          </w:p>
        </w:tc>
        <w:tc>
          <w:tcPr>
            <w:tcW w:w="502" w:type="pct"/>
            <w:vAlign w:val="center"/>
          </w:tcPr>
          <w:p w14:paraId="31F1C321"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DUS</w:t>
            </w:r>
          </w:p>
        </w:tc>
        <w:tc>
          <w:tcPr>
            <w:tcW w:w="502" w:type="pct"/>
            <w:vAlign w:val="center"/>
          </w:tcPr>
          <w:p w14:paraId="22D79F28"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CGN</w:t>
            </w:r>
          </w:p>
        </w:tc>
        <w:tc>
          <w:tcPr>
            <w:tcW w:w="502" w:type="pct"/>
            <w:vAlign w:val="center"/>
          </w:tcPr>
          <w:p w14:paraId="45019706"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FFM</w:t>
            </w:r>
          </w:p>
        </w:tc>
        <w:tc>
          <w:tcPr>
            <w:tcW w:w="502" w:type="pct"/>
            <w:vAlign w:val="center"/>
          </w:tcPr>
          <w:p w14:paraId="690BA4AF"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STU</w:t>
            </w:r>
          </w:p>
        </w:tc>
        <w:tc>
          <w:tcPr>
            <w:tcW w:w="502" w:type="pct"/>
            <w:vAlign w:val="center"/>
          </w:tcPr>
          <w:p w14:paraId="7EB9AFCD"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MUC</w:t>
            </w:r>
          </w:p>
        </w:tc>
        <w:tc>
          <w:tcPr>
            <w:tcW w:w="502" w:type="pct"/>
            <w:vAlign w:val="center"/>
          </w:tcPr>
          <w:p w14:paraId="349A50B2"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Top 7</w:t>
            </w:r>
          </w:p>
        </w:tc>
      </w:tr>
      <w:tr w:rsidR="004A2D54" w:rsidRPr="004A2D54" w14:paraId="0A45CD03" w14:textId="77777777" w:rsidTr="00AA5925">
        <w:trPr>
          <w:trHeight w:val="283"/>
        </w:trPr>
        <w:tc>
          <w:tcPr>
            <w:tcW w:w="985" w:type="pct"/>
            <w:vAlign w:val="center"/>
          </w:tcPr>
          <w:p w14:paraId="405F271F"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Take-up of space</w:t>
            </w:r>
          </w:p>
          <w:p w14:paraId="1D6CAF59"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w:t>
            </w:r>
          </w:p>
        </w:tc>
        <w:tc>
          <w:tcPr>
            <w:tcW w:w="502" w:type="pct"/>
            <w:vAlign w:val="center"/>
          </w:tcPr>
          <w:p w14:paraId="6D8FB010" w14:textId="6591F900"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490,000</w:t>
            </w:r>
          </w:p>
        </w:tc>
        <w:tc>
          <w:tcPr>
            <w:tcW w:w="502" w:type="pct"/>
            <w:vAlign w:val="center"/>
          </w:tcPr>
          <w:p w14:paraId="3C6241A3" w14:textId="2461D4BB" w:rsidR="004A2D54" w:rsidRPr="004A2D54" w:rsidRDefault="002371FE" w:rsidP="00AA5925">
            <w:pPr>
              <w:jc w:val="center"/>
              <w:rPr>
                <w:rFonts w:ascii="Source Sans Pro" w:hAnsi="Source Sans Pro" w:cs="Arial"/>
                <w:sz w:val="16"/>
                <w:szCs w:val="16"/>
                <w:u w:val="single"/>
              </w:rPr>
            </w:pPr>
            <w:r>
              <w:rPr>
                <w:rFonts w:ascii="Source Sans Pro" w:hAnsi="Source Sans Pro"/>
                <w:sz w:val="16"/>
                <w:szCs w:val="16"/>
                <w:u w:val="single"/>
              </w:rPr>
              <w:t>810,000</w:t>
            </w:r>
          </w:p>
        </w:tc>
        <w:tc>
          <w:tcPr>
            <w:tcW w:w="502" w:type="pct"/>
            <w:vAlign w:val="center"/>
          </w:tcPr>
          <w:p w14:paraId="207CCC61" w14:textId="102D2B74"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281,600</w:t>
            </w:r>
          </w:p>
        </w:tc>
        <w:tc>
          <w:tcPr>
            <w:tcW w:w="502" w:type="pct"/>
            <w:vAlign w:val="center"/>
          </w:tcPr>
          <w:p w14:paraId="6EB9679F" w14:textId="789DF29C"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305,000</w:t>
            </w:r>
          </w:p>
        </w:tc>
        <w:tc>
          <w:tcPr>
            <w:tcW w:w="502" w:type="pct"/>
            <w:vAlign w:val="center"/>
          </w:tcPr>
          <w:p w14:paraId="59C93C6A" w14:textId="3F3009EA"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485,000</w:t>
            </w:r>
          </w:p>
        </w:tc>
        <w:tc>
          <w:tcPr>
            <w:tcW w:w="502" w:type="pct"/>
            <w:vAlign w:val="center"/>
          </w:tcPr>
          <w:p w14:paraId="181F9FE1" w14:textId="4FB5C57D"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157,200</w:t>
            </w:r>
          </w:p>
        </w:tc>
        <w:tc>
          <w:tcPr>
            <w:tcW w:w="502" w:type="pct"/>
            <w:vAlign w:val="center"/>
          </w:tcPr>
          <w:p w14:paraId="10452766" w14:textId="3E1F76B2"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598,000</w:t>
            </w:r>
          </w:p>
        </w:tc>
        <w:tc>
          <w:tcPr>
            <w:tcW w:w="502" w:type="pct"/>
            <w:vAlign w:val="center"/>
          </w:tcPr>
          <w:p w14:paraId="4805316C" w14:textId="7D7F54F0" w:rsidR="004A2D54" w:rsidRPr="004A2D54" w:rsidRDefault="002371FE" w:rsidP="00AA5925">
            <w:pPr>
              <w:jc w:val="center"/>
              <w:rPr>
                <w:rFonts w:ascii="Source Sans Pro" w:hAnsi="Source Sans Pro" w:cs="Arial"/>
                <w:b/>
                <w:sz w:val="16"/>
                <w:szCs w:val="16"/>
              </w:rPr>
            </w:pPr>
            <w:r>
              <w:rPr>
                <w:rFonts w:ascii="Source Sans Pro" w:hAnsi="Source Sans Pro"/>
                <w:b/>
                <w:bCs/>
                <w:sz w:val="16"/>
                <w:szCs w:val="16"/>
              </w:rPr>
              <w:t>3,126,800</w:t>
            </w:r>
          </w:p>
        </w:tc>
      </w:tr>
      <w:tr w:rsidR="004A2D54" w:rsidRPr="004A2D54" w14:paraId="1EA0FAB5" w14:textId="77777777" w:rsidTr="00AA5925">
        <w:trPr>
          <w:trHeight w:val="283"/>
        </w:trPr>
        <w:tc>
          <w:tcPr>
            <w:tcW w:w="985" w:type="pct"/>
            <w:vAlign w:val="center"/>
          </w:tcPr>
          <w:p w14:paraId="32D69839"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Change</w:t>
            </w:r>
          </w:p>
          <w:p w14:paraId="6D9A9C05"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 xml:space="preserve">against prior </w:t>
            </w:r>
            <w:proofErr w:type="spellStart"/>
            <w:r>
              <w:rPr>
                <w:rFonts w:ascii="Source Sans Pro" w:hAnsi="Source Sans Pro"/>
                <w:sz w:val="16"/>
                <w:szCs w:val="16"/>
              </w:rPr>
              <w:t>yr</w:t>
            </w:r>
            <w:proofErr w:type="spellEnd"/>
            <w:r>
              <w:rPr>
                <w:rFonts w:ascii="Source Sans Pro" w:hAnsi="Source Sans Pro"/>
                <w:sz w:val="16"/>
                <w:szCs w:val="16"/>
              </w:rPr>
              <w:t xml:space="preserve"> in %</w:t>
            </w:r>
          </w:p>
        </w:tc>
        <w:tc>
          <w:tcPr>
            <w:tcW w:w="502" w:type="pct"/>
            <w:vAlign w:val="center"/>
          </w:tcPr>
          <w:p w14:paraId="5F60596F" w14:textId="0F3F5F76" w:rsidR="004A2D54" w:rsidRPr="002371FE" w:rsidRDefault="004A2D54" w:rsidP="00AA5925">
            <w:pPr>
              <w:jc w:val="center"/>
              <w:rPr>
                <w:rFonts w:ascii="Source Sans Pro" w:hAnsi="Source Sans Pro" w:cs="Arial"/>
                <w:sz w:val="16"/>
                <w:szCs w:val="16"/>
                <w:u w:val="single"/>
              </w:rPr>
            </w:pPr>
            <w:r>
              <w:rPr>
                <w:rFonts w:ascii="Source Sans Pro" w:hAnsi="Source Sans Pro"/>
                <w:sz w:val="16"/>
                <w:szCs w:val="16"/>
                <w:u w:val="single"/>
              </w:rPr>
              <w:t>+44</w:t>
            </w:r>
          </w:p>
        </w:tc>
        <w:tc>
          <w:tcPr>
            <w:tcW w:w="502" w:type="pct"/>
            <w:vAlign w:val="center"/>
          </w:tcPr>
          <w:p w14:paraId="0E53EDA4" w14:textId="4C297EC9"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+24</w:t>
            </w:r>
          </w:p>
        </w:tc>
        <w:tc>
          <w:tcPr>
            <w:tcW w:w="502" w:type="pct"/>
            <w:vAlign w:val="center"/>
          </w:tcPr>
          <w:p w14:paraId="44D058C9" w14:textId="4CE0FF69"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+15</w:t>
            </w:r>
          </w:p>
        </w:tc>
        <w:tc>
          <w:tcPr>
            <w:tcW w:w="502" w:type="pct"/>
            <w:vAlign w:val="center"/>
          </w:tcPr>
          <w:p w14:paraId="07EAF74E" w14:textId="66F7812A" w:rsidR="004A2D54" w:rsidRPr="002371FE" w:rsidRDefault="002371FE" w:rsidP="00AA5925">
            <w:pPr>
              <w:jc w:val="center"/>
              <w:rPr>
                <w:rFonts w:ascii="Source Sans Pro" w:hAnsi="Source Sans Pro" w:cs="Arial"/>
                <w:sz w:val="16"/>
                <w:szCs w:val="16"/>
              </w:rPr>
            </w:pPr>
            <w:r>
              <w:rPr>
                <w:rFonts w:ascii="Source Sans Pro" w:hAnsi="Source Sans Pro"/>
                <w:sz w:val="16"/>
                <w:szCs w:val="16"/>
              </w:rPr>
              <w:t>+33</w:t>
            </w:r>
          </w:p>
        </w:tc>
        <w:tc>
          <w:tcPr>
            <w:tcW w:w="502" w:type="pct"/>
            <w:vAlign w:val="center"/>
          </w:tcPr>
          <w:p w14:paraId="5C1E2E78" w14:textId="462E3759"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+33</w:t>
            </w:r>
          </w:p>
        </w:tc>
        <w:tc>
          <w:tcPr>
            <w:tcW w:w="502" w:type="pct"/>
            <w:vAlign w:val="center"/>
          </w:tcPr>
          <w:p w14:paraId="0CE9A835" w14:textId="0EB9B177"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+11</w:t>
            </w:r>
          </w:p>
        </w:tc>
        <w:tc>
          <w:tcPr>
            <w:tcW w:w="502" w:type="pct"/>
            <w:vAlign w:val="center"/>
          </w:tcPr>
          <w:p w14:paraId="7AE6C155" w14:textId="29D7D600"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+16</w:t>
            </w:r>
          </w:p>
        </w:tc>
        <w:tc>
          <w:tcPr>
            <w:tcW w:w="502" w:type="pct"/>
            <w:vAlign w:val="center"/>
          </w:tcPr>
          <w:p w14:paraId="0193D00C" w14:textId="78D00E90" w:rsidR="004A2D54" w:rsidRPr="004A2D54" w:rsidRDefault="004A2D54" w:rsidP="00AA5925">
            <w:pPr>
              <w:jc w:val="center"/>
              <w:rPr>
                <w:rFonts w:ascii="Source Sans Pro" w:hAnsi="Source Sans Pro" w:cs="Arial"/>
                <w:b/>
                <w:sz w:val="16"/>
                <w:szCs w:val="16"/>
              </w:rPr>
            </w:pPr>
            <w:r>
              <w:rPr>
                <w:rFonts w:ascii="Source Sans Pro" w:hAnsi="Source Sans Pro"/>
                <w:b/>
                <w:sz w:val="16"/>
                <w:szCs w:val="16"/>
              </w:rPr>
              <w:t>+26</w:t>
            </w:r>
          </w:p>
        </w:tc>
      </w:tr>
      <w:tr w:rsidR="004A2D54" w:rsidRPr="004A2D54" w14:paraId="28C0E045" w14:textId="77777777" w:rsidTr="00AA5925">
        <w:trPr>
          <w:trHeight w:val="283"/>
        </w:trPr>
        <w:tc>
          <w:tcPr>
            <w:tcW w:w="985" w:type="pct"/>
            <w:vAlign w:val="center"/>
          </w:tcPr>
          <w:p w14:paraId="20BEBAE3"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Premium rent</w:t>
            </w:r>
          </w:p>
          <w:p w14:paraId="5014603B" w14:textId="77777777"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502" w:type="pct"/>
            <w:vAlign w:val="center"/>
          </w:tcPr>
          <w:p w14:paraId="38BC9DC0" w14:textId="21B6C28B"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31.50</w:t>
            </w:r>
          </w:p>
        </w:tc>
        <w:tc>
          <w:tcPr>
            <w:tcW w:w="502" w:type="pct"/>
            <w:vAlign w:val="center"/>
          </w:tcPr>
          <w:p w14:paraId="36FC9688" w14:textId="44CDD844"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40.30</w:t>
            </w:r>
          </w:p>
        </w:tc>
        <w:tc>
          <w:tcPr>
            <w:tcW w:w="502" w:type="pct"/>
            <w:vAlign w:val="center"/>
          </w:tcPr>
          <w:p w14:paraId="1327B9B3"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28.50</w:t>
            </w:r>
          </w:p>
        </w:tc>
        <w:tc>
          <w:tcPr>
            <w:tcW w:w="502" w:type="pct"/>
            <w:vAlign w:val="center"/>
          </w:tcPr>
          <w:p w14:paraId="760BB6C8" w14:textId="29A75801"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28.00</w:t>
            </w:r>
          </w:p>
        </w:tc>
        <w:tc>
          <w:tcPr>
            <w:tcW w:w="502" w:type="pct"/>
            <w:vAlign w:val="center"/>
          </w:tcPr>
          <w:p w14:paraId="3A6FFDAF" w14:textId="4A5D51A4" w:rsidR="004A2D54" w:rsidRPr="004A2D54" w:rsidRDefault="002371FE" w:rsidP="00AA5925">
            <w:pPr>
              <w:jc w:val="center"/>
              <w:rPr>
                <w:rFonts w:ascii="Source Sans Pro" w:hAnsi="Source Sans Pro" w:cs="Arial"/>
                <w:sz w:val="16"/>
                <w:szCs w:val="16"/>
                <w:u w:val="single"/>
              </w:rPr>
            </w:pPr>
            <w:r>
              <w:rPr>
                <w:rFonts w:ascii="Source Sans Pro" w:hAnsi="Source Sans Pro"/>
                <w:sz w:val="16"/>
                <w:szCs w:val="16"/>
                <w:u w:val="single"/>
              </w:rPr>
              <w:t>45.50</w:t>
            </w:r>
          </w:p>
        </w:tc>
        <w:tc>
          <w:tcPr>
            <w:tcW w:w="502" w:type="pct"/>
            <w:vAlign w:val="center"/>
          </w:tcPr>
          <w:p w14:paraId="7563F31F"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25.00</w:t>
            </w:r>
          </w:p>
        </w:tc>
        <w:tc>
          <w:tcPr>
            <w:tcW w:w="502" w:type="pct"/>
            <w:vAlign w:val="center"/>
          </w:tcPr>
          <w:p w14:paraId="1672D038" w14:textId="657F4792"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42.00</w:t>
            </w:r>
          </w:p>
        </w:tc>
        <w:tc>
          <w:tcPr>
            <w:tcW w:w="502" w:type="pct"/>
            <w:vAlign w:val="center"/>
          </w:tcPr>
          <w:p w14:paraId="4DAAB3CF"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1F9B5D78" w14:textId="77777777" w:rsidTr="00AA5925">
        <w:trPr>
          <w:trHeight w:val="283"/>
        </w:trPr>
        <w:tc>
          <w:tcPr>
            <w:tcW w:w="985" w:type="pct"/>
            <w:vAlign w:val="center"/>
          </w:tcPr>
          <w:p w14:paraId="7624939D"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Average rent</w:t>
            </w:r>
          </w:p>
          <w:p w14:paraId="0A688944" w14:textId="3E203F2E" w:rsidR="004A2D54" w:rsidRPr="004A2D54" w:rsidRDefault="004A2D54" w:rsidP="00AA5925">
            <w:pPr>
              <w:widowControl w:val="0"/>
              <w:rPr>
                <w:rFonts w:ascii="Source Sans Pro" w:hAnsi="Source Sans Pro" w:cs="Arial"/>
                <w:b/>
                <w:sz w:val="16"/>
                <w:szCs w:val="16"/>
              </w:rPr>
            </w:pPr>
            <w:r>
              <w:rPr>
                <w:rFonts w:ascii="Source Sans Pro" w:hAnsi="Source Sans Pro"/>
                <w:sz w:val="16"/>
                <w:szCs w:val="16"/>
              </w:rPr>
              <w:t>in €/m²/month</w:t>
            </w:r>
          </w:p>
        </w:tc>
        <w:tc>
          <w:tcPr>
            <w:tcW w:w="502" w:type="pct"/>
            <w:vAlign w:val="center"/>
          </w:tcPr>
          <w:p w14:paraId="6766B324" w14:textId="37948D0C"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18.10</w:t>
            </w:r>
          </w:p>
        </w:tc>
        <w:tc>
          <w:tcPr>
            <w:tcW w:w="502" w:type="pct"/>
            <w:vAlign w:val="center"/>
          </w:tcPr>
          <w:p w14:paraId="69F36A2E" w14:textId="59F767B4" w:rsidR="004A2D54" w:rsidRPr="004A2D54" w:rsidRDefault="002371FE" w:rsidP="00AA5925">
            <w:pPr>
              <w:jc w:val="center"/>
              <w:rPr>
                <w:rFonts w:ascii="Source Sans Pro" w:hAnsi="Source Sans Pro" w:cs="Arial"/>
                <w:sz w:val="16"/>
                <w:szCs w:val="16"/>
                <w:u w:val="single"/>
              </w:rPr>
            </w:pPr>
            <w:r>
              <w:rPr>
                <w:rFonts w:ascii="Source Sans Pro" w:hAnsi="Source Sans Pro"/>
                <w:sz w:val="16"/>
                <w:szCs w:val="16"/>
                <w:u w:val="single"/>
              </w:rPr>
              <w:t>29.30</w:t>
            </w:r>
          </w:p>
        </w:tc>
        <w:tc>
          <w:tcPr>
            <w:tcW w:w="502" w:type="pct"/>
            <w:vAlign w:val="center"/>
          </w:tcPr>
          <w:p w14:paraId="3A3D5B73" w14:textId="33EEFE18"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16.70</w:t>
            </w:r>
          </w:p>
        </w:tc>
        <w:tc>
          <w:tcPr>
            <w:tcW w:w="502" w:type="pct"/>
            <w:vAlign w:val="center"/>
          </w:tcPr>
          <w:p w14:paraId="5EEA2477" w14:textId="54FFBB0A" w:rsidR="004A2D54" w:rsidRPr="004A2D54" w:rsidRDefault="002A41A8" w:rsidP="00AA5925">
            <w:pPr>
              <w:jc w:val="center"/>
              <w:rPr>
                <w:rFonts w:ascii="Source Sans Pro" w:hAnsi="Source Sans Pro" w:cs="Arial"/>
                <w:sz w:val="16"/>
                <w:szCs w:val="16"/>
              </w:rPr>
            </w:pPr>
            <w:r>
              <w:rPr>
                <w:rFonts w:ascii="Source Sans Pro" w:hAnsi="Source Sans Pro"/>
                <w:sz w:val="16"/>
                <w:szCs w:val="16"/>
              </w:rPr>
              <w:t>17.00</w:t>
            </w:r>
          </w:p>
        </w:tc>
        <w:tc>
          <w:tcPr>
            <w:tcW w:w="502" w:type="pct"/>
            <w:vAlign w:val="center"/>
          </w:tcPr>
          <w:p w14:paraId="5785D354" w14:textId="2BBD6901"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21.70</w:t>
            </w:r>
          </w:p>
        </w:tc>
        <w:tc>
          <w:tcPr>
            <w:tcW w:w="502" w:type="pct"/>
            <w:vAlign w:val="center"/>
          </w:tcPr>
          <w:p w14:paraId="44091F26" w14:textId="19BF6C07"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16.00</w:t>
            </w:r>
          </w:p>
        </w:tc>
        <w:tc>
          <w:tcPr>
            <w:tcW w:w="502" w:type="pct"/>
            <w:vAlign w:val="center"/>
          </w:tcPr>
          <w:p w14:paraId="2CFCC248" w14:textId="5459B37F" w:rsidR="004A2D54" w:rsidRPr="004A2D54" w:rsidRDefault="002371FE" w:rsidP="00AA5925">
            <w:pPr>
              <w:jc w:val="center"/>
              <w:rPr>
                <w:rFonts w:ascii="Source Sans Pro" w:hAnsi="Source Sans Pro" w:cs="Arial"/>
                <w:sz w:val="16"/>
                <w:szCs w:val="16"/>
              </w:rPr>
            </w:pPr>
            <w:r>
              <w:rPr>
                <w:rFonts w:ascii="Source Sans Pro" w:hAnsi="Source Sans Pro"/>
                <w:sz w:val="16"/>
                <w:szCs w:val="16"/>
              </w:rPr>
              <w:t>24.50</w:t>
            </w:r>
          </w:p>
        </w:tc>
        <w:tc>
          <w:tcPr>
            <w:tcW w:w="502" w:type="pct"/>
            <w:vAlign w:val="center"/>
          </w:tcPr>
          <w:p w14:paraId="77B616F3" w14:textId="77777777" w:rsidR="004A2D54" w:rsidRPr="004A2D54" w:rsidRDefault="004A2D54" w:rsidP="00AA5925">
            <w:pPr>
              <w:widowControl w:val="0"/>
              <w:jc w:val="center"/>
              <w:rPr>
                <w:rFonts w:ascii="Source Sans Pro" w:hAnsi="Source Sans Pro" w:cs="Arial"/>
                <w:b/>
                <w:sz w:val="16"/>
                <w:szCs w:val="16"/>
              </w:rPr>
            </w:pPr>
            <w:r>
              <w:rPr>
                <w:rFonts w:ascii="Source Sans Pro" w:hAnsi="Source Sans Pro"/>
                <w:b/>
                <w:sz w:val="16"/>
                <w:szCs w:val="16"/>
              </w:rPr>
              <w:t>-</w:t>
            </w:r>
          </w:p>
        </w:tc>
      </w:tr>
      <w:tr w:rsidR="004A2D54" w:rsidRPr="004A2D54" w14:paraId="497ADABD" w14:textId="77777777" w:rsidTr="00AA5925">
        <w:trPr>
          <w:trHeight w:val="283"/>
        </w:trPr>
        <w:tc>
          <w:tcPr>
            <w:tcW w:w="985" w:type="pct"/>
            <w:vAlign w:val="center"/>
          </w:tcPr>
          <w:p w14:paraId="7DB90D4B" w14:textId="77777777" w:rsidR="004A2D54" w:rsidRDefault="004A2D54" w:rsidP="00AA5925">
            <w:pPr>
              <w:widowControl w:val="0"/>
              <w:rPr>
                <w:rFonts w:ascii="Source Sans Pro" w:hAnsi="Source Sans Pro" w:cs="Arial"/>
                <w:b/>
                <w:sz w:val="16"/>
                <w:szCs w:val="16"/>
              </w:rPr>
            </w:pPr>
            <w:r>
              <w:rPr>
                <w:rFonts w:ascii="Source Sans Pro" w:hAnsi="Source Sans Pro"/>
                <w:b/>
                <w:sz w:val="16"/>
                <w:szCs w:val="16"/>
              </w:rPr>
              <w:t>Total stock of office space</w:t>
            </w:r>
          </w:p>
          <w:p w14:paraId="265D7B5E" w14:textId="595DC771" w:rsidR="004A2D54" w:rsidRPr="004A2D54" w:rsidRDefault="004A2D54" w:rsidP="00AA5925">
            <w:pPr>
              <w:widowControl w:val="0"/>
              <w:rPr>
                <w:rFonts w:ascii="Source Sans Pro" w:hAnsi="Source Sans Pro" w:cs="Arial"/>
                <w:sz w:val="16"/>
                <w:szCs w:val="16"/>
              </w:rPr>
            </w:pPr>
            <w:r>
              <w:rPr>
                <w:rFonts w:ascii="Source Sans Pro" w:hAnsi="Source Sans Pro"/>
                <w:sz w:val="16"/>
                <w:szCs w:val="16"/>
              </w:rPr>
              <w:t>in millions m²</w:t>
            </w:r>
          </w:p>
        </w:tc>
        <w:tc>
          <w:tcPr>
            <w:tcW w:w="502" w:type="pct"/>
            <w:vAlign w:val="center"/>
          </w:tcPr>
          <w:p w14:paraId="6B529685" w14:textId="027D61A4"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13.96</w:t>
            </w:r>
          </w:p>
        </w:tc>
        <w:tc>
          <w:tcPr>
            <w:tcW w:w="502" w:type="pct"/>
            <w:vAlign w:val="center"/>
          </w:tcPr>
          <w:p w14:paraId="5A655032" w14:textId="3C8990BA" w:rsidR="004A2D54" w:rsidRPr="004A2D54" w:rsidRDefault="004A2D54" w:rsidP="008E5C25">
            <w:pPr>
              <w:jc w:val="center"/>
              <w:rPr>
                <w:rFonts w:ascii="Source Sans Pro" w:hAnsi="Source Sans Pro" w:cs="Arial"/>
                <w:sz w:val="16"/>
                <w:szCs w:val="16"/>
              </w:rPr>
            </w:pPr>
            <w:r>
              <w:rPr>
                <w:rFonts w:ascii="Source Sans Pro" w:hAnsi="Source Sans Pro"/>
                <w:sz w:val="16"/>
                <w:szCs w:val="16"/>
              </w:rPr>
              <w:t>20.51</w:t>
            </w:r>
          </w:p>
        </w:tc>
        <w:tc>
          <w:tcPr>
            <w:tcW w:w="502" w:type="pct"/>
            <w:vAlign w:val="center"/>
          </w:tcPr>
          <w:p w14:paraId="7BC26CF2" w14:textId="6216403D"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7.33</w:t>
            </w:r>
          </w:p>
        </w:tc>
        <w:tc>
          <w:tcPr>
            <w:tcW w:w="502" w:type="pct"/>
            <w:vAlign w:val="center"/>
          </w:tcPr>
          <w:p w14:paraId="6CDA777F"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8.00</w:t>
            </w:r>
          </w:p>
        </w:tc>
        <w:tc>
          <w:tcPr>
            <w:tcW w:w="502" w:type="pct"/>
            <w:vAlign w:val="center"/>
          </w:tcPr>
          <w:p w14:paraId="14273F72" w14:textId="2DCF46A4" w:rsidR="004A2D54" w:rsidRPr="004A2D54" w:rsidRDefault="004A2D54" w:rsidP="008E5C25">
            <w:pPr>
              <w:jc w:val="center"/>
              <w:rPr>
                <w:rFonts w:ascii="Source Sans Pro" w:hAnsi="Source Sans Pro" w:cs="Arial"/>
                <w:sz w:val="16"/>
                <w:szCs w:val="16"/>
              </w:rPr>
            </w:pPr>
            <w:r>
              <w:rPr>
                <w:rFonts w:ascii="Source Sans Pro" w:hAnsi="Source Sans Pro"/>
                <w:sz w:val="16"/>
                <w:szCs w:val="16"/>
              </w:rPr>
              <w:t>11.68</w:t>
            </w:r>
          </w:p>
        </w:tc>
        <w:tc>
          <w:tcPr>
            <w:tcW w:w="502" w:type="pct"/>
            <w:vAlign w:val="center"/>
          </w:tcPr>
          <w:p w14:paraId="40B9B914" w14:textId="4B6A2676"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8.26</w:t>
            </w:r>
          </w:p>
        </w:tc>
        <w:tc>
          <w:tcPr>
            <w:tcW w:w="502" w:type="pct"/>
            <w:vAlign w:val="center"/>
          </w:tcPr>
          <w:p w14:paraId="2FFE04BD" w14:textId="0342680A" w:rsidR="004A2D54" w:rsidRPr="004A2D54" w:rsidRDefault="004A2D54" w:rsidP="008E5C25">
            <w:pPr>
              <w:jc w:val="center"/>
              <w:rPr>
                <w:rFonts w:ascii="Source Sans Pro" w:hAnsi="Source Sans Pro" w:cs="Arial"/>
                <w:sz w:val="16"/>
                <w:szCs w:val="16"/>
                <w:u w:val="single"/>
              </w:rPr>
            </w:pPr>
            <w:r>
              <w:rPr>
                <w:rFonts w:ascii="Source Sans Pro" w:hAnsi="Source Sans Pro"/>
                <w:sz w:val="16"/>
                <w:szCs w:val="16"/>
                <w:u w:val="single"/>
              </w:rPr>
              <w:t>23.40</w:t>
            </w:r>
          </w:p>
        </w:tc>
        <w:tc>
          <w:tcPr>
            <w:tcW w:w="502" w:type="pct"/>
            <w:vAlign w:val="center"/>
          </w:tcPr>
          <w:p w14:paraId="3F08A3A6" w14:textId="06A1AF9A" w:rsidR="004A2D54" w:rsidRPr="004A2D54" w:rsidRDefault="008E5C25" w:rsidP="002A41A8">
            <w:pPr>
              <w:jc w:val="center"/>
              <w:rPr>
                <w:rFonts w:ascii="Source Sans Pro" w:hAnsi="Source Sans Pro" w:cs="Arial"/>
                <w:b/>
                <w:sz w:val="16"/>
                <w:szCs w:val="16"/>
              </w:rPr>
            </w:pPr>
            <w:r>
              <w:rPr>
                <w:rFonts w:ascii="Source Sans Pro" w:hAnsi="Source Sans Pro"/>
                <w:b/>
                <w:sz w:val="16"/>
                <w:szCs w:val="16"/>
              </w:rPr>
              <w:t>93.14</w:t>
            </w:r>
          </w:p>
        </w:tc>
      </w:tr>
      <w:tr w:rsidR="004A2D54" w:rsidRPr="004A2D54" w14:paraId="0AF55D2E" w14:textId="77777777" w:rsidTr="00AA5925">
        <w:trPr>
          <w:trHeight w:val="283"/>
        </w:trPr>
        <w:tc>
          <w:tcPr>
            <w:tcW w:w="985" w:type="pct"/>
            <w:vAlign w:val="center"/>
          </w:tcPr>
          <w:p w14:paraId="092670C9"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Vacant space</w:t>
            </w:r>
            <w:r>
              <w:rPr>
                <w:rFonts w:ascii="Source Sans Pro" w:hAnsi="Source Sans Pro"/>
                <w:sz w:val="16"/>
                <w:szCs w:val="16"/>
              </w:rPr>
              <w:t xml:space="preserve"> incl. sub-let space [m²]</w:t>
            </w:r>
          </w:p>
        </w:tc>
        <w:tc>
          <w:tcPr>
            <w:tcW w:w="502" w:type="pct"/>
            <w:vAlign w:val="center"/>
          </w:tcPr>
          <w:p w14:paraId="22C1869E" w14:textId="72B5EEEF"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537,600</w:t>
            </w:r>
          </w:p>
        </w:tc>
        <w:tc>
          <w:tcPr>
            <w:tcW w:w="502" w:type="pct"/>
            <w:vAlign w:val="center"/>
          </w:tcPr>
          <w:p w14:paraId="75562CB1" w14:textId="08ADC524" w:rsidR="004A2D54" w:rsidRPr="004A2D54" w:rsidRDefault="008E5C25" w:rsidP="002A41A8">
            <w:pPr>
              <w:jc w:val="center"/>
              <w:rPr>
                <w:rFonts w:ascii="Source Sans Pro" w:hAnsi="Source Sans Pro" w:cs="Arial"/>
                <w:sz w:val="16"/>
                <w:szCs w:val="16"/>
              </w:rPr>
            </w:pPr>
            <w:r>
              <w:rPr>
                <w:rFonts w:ascii="Source Sans Pro" w:hAnsi="Source Sans Pro"/>
                <w:sz w:val="16"/>
                <w:szCs w:val="16"/>
              </w:rPr>
              <w:t>690,000</w:t>
            </w:r>
          </w:p>
        </w:tc>
        <w:tc>
          <w:tcPr>
            <w:tcW w:w="502" w:type="pct"/>
            <w:vAlign w:val="center"/>
          </w:tcPr>
          <w:p w14:paraId="05FD8594" w14:textId="3CC1B028"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551,500</w:t>
            </w:r>
          </w:p>
        </w:tc>
        <w:tc>
          <w:tcPr>
            <w:tcW w:w="502" w:type="pct"/>
            <w:vAlign w:val="center"/>
          </w:tcPr>
          <w:p w14:paraId="69FA3B3B" w14:textId="1C5B2439"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255,000</w:t>
            </w:r>
          </w:p>
        </w:tc>
        <w:tc>
          <w:tcPr>
            <w:tcW w:w="502" w:type="pct"/>
            <w:vAlign w:val="center"/>
          </w:tcPr>
          <w:p w14:paraId="3FBF36AD" w14:textId="57620801" w:rsidR="004A2D54" w:rsidRPr="004A2D54" w:rsidRDefault="008E5C25" w:rsidP="00AA5925">
            <w:pPr>
              <w:jc w:val="center"/>
              <w:rPr>
                <w:rFonts w:ascii="Source Sans Pro" w:hAnsi="Source Sans Pro" w:cs="Arial"/>
                <w:sz w:val="16"/>
                <w:szCs w:val="16"/>
                <w:u w:val="single"/>
              </w:rPr>
            </w:pPr>
            <w:r>
              <w:rPr>
                <w:rFonts w:ascii="Source Sans Pro" w:hAnsi="Source Sans Pro"/>
                <w:sz w:val="16"/>
                <w:szCs w:val="16"/>
                <w:u w:val="single"/>
              </w:rPr>
              <w:t>1,057,500</w:t>
            </w:r>
          </w:p>
        </w:tc>
        <w:tc>
          <w:tcPr>
            <w:tcW w:w="502" w:type="pct"/>
            <w:vAlign w:val="center"/>
          </w:tcPr>
          <w:p w14:paraId="25A1686F" w14:textId="18EE45F8"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268,000</w:t>
            </w:r>
          </w:p>
        </w:tc>
        <w:tc>
          <w:tcPr>
            <w:tcW w:w="502" w:type="pct"/>
            <w:vAlign w:val="center"/>
          </w:tcPr>
          <w:p w14:paraId="3C303F25" w14:textId="1DB0A29E"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998,000</w:t>
            </w:r>
          </w:p>
        </w:tc>
        <w:tc>
          <w:tcPr>
            <w:tcW w:w="502" w:type="pct"/>
            <w:vAlign w:val="center"/>
          </w:tcPr>
          <w:p w14:paraId="21F33999" w14:textId="72E9F10E" w:rsidR="004A2D54" w:rsidRPr="004A2D54" w:rsidRDefault="008E5C25" w:rsidP="002A41A8">
            <w:pPr>
              <w:jc w:val="center"/>
              <w:rPr>
                <w:rFonts w:ascii="Source Sans Pro" w:hAnsi="Source Sans Pro" w:cs="Arial"/>
                <w:b/>
                <w:sz w:val="16"/>
                <w:szCs w:val="16"/>
              </w:rPr>
            </w:pPr>
            <w:r>
              <w:rPr>
                <w:rFonts w:ascii="Source Sans Pro" w:hAnsi="Source Sans Pro"/>
                <w:b/>
                <w:bCs/>
                <w:sz w:val="16"/>
                <w:szCs w:val="16"/>
              </w:rPr>
              <w:t>4,357,600</w:t>
            </w:r>
          </w:p>
        </w:tc>
      </w:tr>
      <w:tr w:rsidR="004A2D54" w:rsidRPr="004A2D54" w14:paraId="33CC4AFE" w14:textId="77777777" w:rsidTr="00AA5925">
        <w:trPr>
          <w:trHeight w:val="283"/>
        </w:trPr>
        <w:tc>
          <w:tcPr>
            <w:tcW w:w="985" w:type="pct"/>
            <w:vAlign w:val="center"/>
          </w:tcPr>
          <w:p w14:paraId="020462D7"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Vacancy rate</w:t>
            </w:r>
            <w:r>
              <w:rPr>
                <w:rFonts w:ascii="Source Sans Pro" w:hAnsi="Source Sans Pro"/>
                <w:sz w:val="16"/>
                <w:szCs w:val="16"/>
              </w:rPr>
              <w:t xml:space="preserve"> incl. sub-let space [%]</w:t>
            </w:r>
          </w:p>
        </w:tc>
        <w:tc>
          <w:tcPr>
            <w:tcW w:w="502" w:type="pct"/>
            <w:vAlign w:val="center"/>
          </w:tcPr>
          <w:p w14:paraId="7D507D43" w14:textId="7777777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3.8</w:t>
            </w:r>
          </w:p>
        </w:tc>
        <w:tc>
          <w:tcPr>
            <w:tcW w:w="502" w:type="pct"/>
            <w:vAlign w:val="center"/>
          </w:tcPr>
          <w:p w14:paraId="13E26529" w14:textId="3F2F601F"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3.4</w:t>
            </w:r>
          </w:p>
        </w:tc>
        <w:tc>
          <w:tcPr>
            <w:tcW w:w="502" w:type="pct"/>
            <w:vAlign w:val="center"/>
          </w:tcPr>
          <w:p w14:paraId="6F4F9D00" w14:textId="2069FA2D"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7.5</w:t>
            </w:r>
          </w:p>
        </w:tc>
        <w:tc>
          <w:tcPr>
            <w:tcW w:w="502" w:type="pct"/>
            <w:vAlign w:val="center"/>
          </w:tcPr>
          <w:p w14:paraId="5C46F14C" w14:textId="4AEF85F7"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3.2</w:t>
            </w:r>
          </w:p>
        </w:tc>
        <w:tc>
          <w:tcPr>
            <w:tcW w:w="502" w:type="pct"/>
            <w:vAlign w:val="center"/>
          </w:tcPr>
          <w:p w14:paraId="28A3EAD2" w14:textId="43793AC4" w:rsidR="004A2D54" w:rsidRPr="004A2D54" w:rsidRDefault="008E5C25" w:rsidP="00AA5925">
            <w:pPr>
              <w:jc w:val="center"/>
              <w:rPr>
                <w:rFonts w:ascii="Source Sans Pro" w:hAnsi="Source Sans Pro" w:cs="Arial"/>
                <w:sz w:val="16"/>
                <w:szCs w:val="16"/>
                <w:u w:val="single"/>
              </w:rPr>
            </w:pPr>
            <w:r>
              <w:rPr>
                <w:rFonts w:ascii="Source Sans Pro" w:hAnsi="Source Sans Pro"/>
                <w:sz w:val="16"/>
                <w:szCs w:val="16"/>
                <w:u w:val="single"/>
              </w:rPr>
              <w:t>9.1</w:t>
            </w:r>
          </w:p>
        </w:tc>
        <w:tc>
          <w:tcPr>
            <w:tcW w:w="502" w:type="pct"/>
            <w:vAlign w:val="center"/>
          </w:tcPr>
          <w:p w14:paraId="33743795" w14:textId="6C533F8B" w:rsidR="004A2D54" w:rsidRPr="004A2D54" w:rsidRDefault="004A2D54" w:rsidP="00AA5925">
            <w:pPr>
              <w:jc w:val="center"/>
              <w:rPr>
                <w:rFonts w:ascii="Source Sans Pro" w:hAnsi="Source Sans Pro" w:cs="Arial"/>
                <w:sz w:val="16"/>
                <w:szCs w:val="16"/>
              </w:rPr>
            </w:pPr>
            <w:r>
              <w:rPr>
                <w:rFonts w:ascii="Source Sans Pro" w:hAnsi="Source Sans Pro"/>
                <w:sz w:val="16"/>
                <w:szCs w:val="16"/>
              </w:rPr>
              <w:t>3.2</w:t>
            </w:r>
          </w:p>
        </w:tc>
        <w:tc>
          <w:tcPr>
            <w:tcW w:w="502" w:type="pct"/>
            <w:vAlign w:val="center"/>
          </w:tcPr>
          <w:p w14:paraId="0C8518F0" w14:textId="0B6BFD3F"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4.3</w:t>
            </w:r>
          </w:p>
        </w:tc>
        <w:tc>
          <w:tcPr>
            <w:tcW w:w="502" w:type="pct"/>
            <w:vAlign w:val="center"/>
          </w:tcPr>
          <w:p w14:paraId="691A5F70" w14:textId="42C4FBF3" w:rsidR="004A2D54" w:rsidRPr="004A2D54" w:rsidRDefault="004A2D54" w:rsidP="00AA5925">
            <w:pPr>
              <w:jc w:val="center"/>
              <w:rPr>
                <w:rFonts w:ascii="Source Sans Pro" w:hAnsi="Source Sans Pro" w:cs="Arial"/>
                <w:b/>
                <w:sz w:val="16"/>
                <w:szCs w:val="16"/>
              </w:rPr>
            </w:pPr>
            <w:r>
              <w:rPr>
                <w:rFonts w:ascii="Source Sans Pro" w:hAnsi="Source Sans Pro"/>
                <w:b/>
                <w:sz w:val="16"/>
                <w:szCs w:val="16"/>
              </w:rPr>
              <w:t>4.7</w:t>
            </w:r>
          </w:p>
        </w:tc>
      </w:tr>
      <w:tr w:rsidR="004A2D54" w:rsidRPr="004A2D54" w14:paraId="29AB7F04" w14:textId="77777777" w:rsidTr="00AA5925">
        <w:trPr>
          <w:trHeight w:val="283"/>
        </w:trPr>
        <w:tc>
          <w:tcPr>
            <w:tcW w:w="985" w:type="pct"/>
            <w:vAlign w:val="center"/>
          </w:tcPr>
          <w:p w14:paraId="3F65BD0D" w14:textId="77777777" w:rsidR="004A2D54" w:rsidRPr="004A2D54" w:rsidRDefault="004A2D54" w:rsidP="00AA5925">
            <w:pPr>
              <w:widowControl w:val="0"/>
              <w:rPr>
                <w:rFonts w:ascii="Source Sans Pro" w:hAnsi="Source Sans Pro" w:cs="Arial"/>
                <w:b/>
                <w:sz w:val="16"/>
                <w:szCs w:val="16"/>
              </w:rPr>
            </w:pPr>
            <w:r>
              <w:rPr>
                <w:rFonts w:ascii="Source Sans Pro" w:hAnsi="Source Sans Pro"/>
                <w:b/>
                <w:sz w:val="16"/>
                <w:szCs w:val="16"/>
              </w:rPr>
              <w:t>Completions</w:t>
            </w:r>
          </w:p>
          <w:p w14:paraId="3D128034" w14:textId="08BF3C70" w:rsidR="004A2D54" w:rsidRPr="004A2D54" w:rsidRDefault="008E5C25" w:rsidP="00AA5925">
            <w:pPr>
              <w:widowControl w:val="0"/>
              <w:rPr>
                <w:rFonts w:ascii="Source Sans Pro" w:hAnsi="Source Sans Pro" w:cs="Arial"/>
                <w:b/>
                <w:sz w:val="16"/>
                <w:szCs w:val="16"/>
              </w:rPr>
            </w:pPr>
            <w:r>
              <w:rPr>
                <w:rFonts w:ascii="Source Sans Pro" w:hAnsi="Source Sans Pro"/>
                <w:b/>
                <w:bCs/>
                <w:sz w:val="16"/>
                <w:szCs w:val="16"/>
              </w:rPr>
              <w:t>2022 + 2023</w:t>
            </w:r>
            <w:r>
              <w:rPr>
                <w:rFonts w:ascii="Source Sans Pro" w:hAnsi="Source Sans Pro"/>
                <w:bCs/>
                <w:sz w:val="16"/>
                <w:szCs w:val="16"/>
              </w:rPr>
              <w:t xml:space="preserve"> </w:t>
            </w:r>
            <w:r>
              <w:rPr>
                <w:rFonts w:ascii="Source Sans Pro" w:hAnsi="Source Sans Pro"/>
                <w:sz w:val="16"/>
                <w:szCs w:val="16"/>
              </w:rPr>
              <w:t>in m²</w:t>
            </w:r>
          </w:p>
        </w:tc>
        <w:tc>
          <w:tcPr>
            <w:tcW w:w="502" w:type="pct"/>
            <w:vAlign w:val="center"/>
          </w:tcPr>
          <w:p w14:paraId="09CD14A0" w14:textId="78905770"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556,000</w:t>
            </w:r>
          </w:p>
        </w:tc>
        <w:tc>
          <w:tcPr>
            <w:tcW w:w="502" w:type="pct"/>
            <w:vAlign w:val="center"/>
          </w:tcPr>
          <w:p w14:paraId="1B9CE76A" w14:textId="671F33AC" w:rsidR="004A2D54" w:rsidRPr="004A2D54" w:rsidRDefault="008E5C25" w:rsidP="00AA5925">
            <w:pPr>
              <w:jc w:val="center"/>
              <w:rPr>
                <w:rFonts w:ascii="Source Sans Pro" w:hAnsi="Source Sans Pro" w:cs="Arial"/>
                <w:sz w:val="16"/>
                <w:szCs w:val="16"/>
                <w:u w:val="single"/>
              </w:rPr>
            </w:pPr>
            <w:r>
              <w:rPr>
                <w:rFonts w:ascii="Source Sans Pro" w:hAnsi="Source Sans Pro"/>
                <w:sz w:val="16"/>
                <w:szCs w:val="16"/>
                <w:u w:val="single"/>
              </w:rPr>
              <w:t>911,000</w:t>
            </w:r>
          </w:p>
        </w:tc>
        <w:tc>
          <w:tcPr>
            <w:tcW w:w="502" w:type="pct"/>
            <w:vAlign w:val="center"/>
          </w:tcPr>
          <w:p w14:paraId="6D668434" w14:textId="1DE495C4"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307,000</w:t>
            </w:r>
          </w:p>
        </w:tc>
        <w:tc>
          <w:tcPr>
            <w:tcW w:w="502" w:type="pct"/>
            <w:vAlign w:val="center"/>
          </w:tcPr>
          <w:p w14:paraId="10EAAFA9" w14:textId="345E83A1"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260,000</w:t>
            </w:r>
          </w:p>
        </w:tc>
        <w:tc>
          <w:tcPr>
            <w:tcW w:w="502" w:type="pct"/>
            <w:vAlign w:val="center"/>
          </w:tcPr>
          <w:p w14:paraId="1661A81C" w14:textId="1B237E9E"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482,600</w:t>
            </w:r>
          </w:p>
        </w:tc>
        <w:tc>
          <w:tcPr>
            <w:tcW w:w="502" w:type="pct"/>
            <w:vAlign w:val="center"/>
          </w:tcPr>
          <w:p w14:paraId="3B7AF91D" w14:textId="7C32EA4E"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271,600</w:t>
            </w:r>
          </w:p>
        </w:tc>
        <w:tc>
          <w:tcPr>
            <w:tcW w:w="502" w:type="pct"/>
            <w:vAlign w:val="center"/>
          </w:tcPr>
          <w:p w14:paraId="77B39730" w14:textId="45CA93B0"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670,000</w:t>
            </w:r>
          </w:p>
        </w:tc>
        <w:tc>
          <w:tcPr>
            <w:tcW w:w="502" w:type="pct"/>
            <w:vAlign w:val="center"/>
          </w:tcPr>
          <w:p w14:paraId="3FBBFB7B" w14:textId="217C7EF3" w:rsidR="004A2D54" w:rsidRPr="004A2D54" w:rsidRDefault="004A2D54" w:rsidP="008E5C25">
            <w:pPr>
              <w:jc w:val="center"/>
              <w:rPr>
                <w:rFonts w:ascii="Source Sans Pro" w:hAnsi="Source Sans Pro" w:cs="Arial"/>
                <w:b/>
                <w:sz w:val="16"/>
                <w:szCs w:val="16"/>
              </w:rPr>
            </w:pPr>
            <w:r>
              <w:rPr>
                <w:rFonts w:ascii="Source Sans Pro" w:hAnsi="Source Sans Pro"/>
                <w:b/>
                <w:bCs/>
                <w:sz w:val="16"/>
                <w:szCs w:val="16"/>
              </w:rPr>
              <w:t>3,458,000</w:t>
            </w:r>
          </w:p>
        </w:tc>
      </w:tr>
      <w:tr w:rsidR="004A2D54" w:rsidRPr="004A2D54" w14:paraId="21503B01" w14:textId="77777777" w:rsidTr="00AA5925">
        <w:trPr>
          <w:trHeight w:val="283"/>
        </w:trPr>
        <w:tc>
          <w:tcPr>
            <w:tcW w:w="985" w:type="pct"/>
            <w:vAlign w:val="center"/>
          </w:tcPr>
          <w:p w14:paraId="3334946C" w14:textId="01A4169E" w:rsidR="004A2D54" w:rsidRPr="004A2D54" w:rsidRDefault="008E5C25" w:rsidP="00AA5925">
            <w:pPr>
              <w:widowControl w:val="0"/>
              <w:rPr>
                <w:rFonts w:ascii="Source Sans Pro" w:hAnsi="Source Sans Pro" w:cs="Arial"/>
                <w:b/>
                <w:sz w:val="16"/>
                <w:szCs w:val="16"/>
              </w:rPr>
            </w:pPr>
            <w:r>
              <w:rPr>
                <w:rFonts w:ascii="Source Sans Pro" w:hAnsi="Source Sans Pro"/>
                <w:b/>
                <w:sz w:val="16"/>
                <w:szCs w:val="16"/>
              </w:rPr>
              <w:t>Pre-let ratios 2022 + 2023 in %</w:t>
            </w:r>
          </w:p>
        </w:tc>
        <w:tc>
          <w:tcPr>
            <w:tcW w:w="502" w:type="pct"/>
            <w:vAlign w:val="center"/>
          </w:tcPr>
          <w:p w14:paraId="032EB028" w14:textId="7AD86E31"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57</w:t>
            </w:r>
          </w:p>
        </w:tc>
        <w:tc>
          <w:tcPr>
            <w:tcW w:w="502" w:type="pct"/>
            <w:vAlign w:val="center"/>
          </w:tcPr>
          <w:p w14:paraId="3128957F" w14:textId="21EBED51" w:rsidR="004A2D54" w:rsidRPr="008E5C25" w:rsidRDefault="008E5C25" w:rsidP="00AA5925">
            <w:pPr>
              <w:jc w:val="center"/>
              <w:rPr>
                <w:rFonts w:ascii="Source Sans Pro" w:hAnsi="Source Sans Pro" w:cs="Arial"/>
                <w:sz w:val="16"/>
                <w:szCs w:val="16"/>
                <w:u w:val="single"/>
              </w:rPr>
            </w:pPr>
            <w:r>
              <w:rPr>
                <w:rFonts w:ascii="Source Sans Pro" w:hAnsi="Source Sans Pro"/>
                <w:sz w:val="16"/>
                <w:szCs w:val="16"/>
                <w:u w:val="single"/>
              </w:rPr>
              <w:t>58</w:t>
            </w:r>
          </w:p>
        </w:tc>
        <w:tc>
          <w:tcPr>
            <w:tcW w:w="502" w:type="pct"/>
            <w:vAlign w:val="center"/>
          </w:tcPr>
          <w:p w14:paraId="7CFBEDFF" w14:textId="3FC37BC6" w:rsidR="004A2D54" w:rsidRPr="008E5C25" w:rsidRDefault="008E5C25" w:rsidP="00AA5925">
            <w:pPr>
              <w:jc w:val="center"/>
              <w:rPr>
                <w:rFonts w:ascii="Source Sans Pro" w:hAnsi="Source Sans Pro" w:cs="Arial"/>
                <w:sz w:val="16"/>
                <w:szCs w:val="16"/>
                <w:u w:val="single"/>
              </w:rPr>
            </w:pPr>
            <w:r>
              <w:rPr>
                <w:rFonts w:ascii="Source Sans Pro" w:hAnsi="Source Sans Pro"/>
                <w:sz w:val="16"/>
                <w:szCs w:val="16"/>
                <w:u w:val="single"/>
              </w:rPr>
              <w:t>58</w:t>
            </w:r>
          </w:p>
        </w:tc>
        <w:tc>
          <w:tcPr>
            <w:tcW w:w="502" w:type="pct"/>
            <w:vAlign w:val="center"/>
          </w:tcPr>
          <w:p w14:paraId="67E63DB4" w14:textId="5ADD8571"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55</w:t>
            </w:r>
          </w:p>
        </w:tc>
        <w:tc>
          <w:tcPr>
            <w:tcW w:w="502" w:type="pct"/>
            <w:vAlign w:val="center"/>
          </w:tcPr>
          <w:p w14:paraId="06DA1C27" w14:textId="3FFCEF2C"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31</w:t>
            </w:r>
          </w:p>
        </w:tc>
        <w:tc>
          <w:tcPr>
            <w:tcW w:w="502" w:type="pct"/>
            <w:vAlign w:val="center"/>
          </w:tcPr>
          <w:p w14:paraId="7876BE02" w14:textId="3FBFDF10" w:rsidR="004A2D54" w:rsidRPr="008E5C25" w:rsidRDefault="008E5C25" w:rsidP="00AA5925">
            <w:pPr>
              <w:jc w:val="center"/>
              <w:rPr>
                <w:rFonts w:ascii="Source Sans Pro" w:hAnsi="Source Sans Pro" w:cs="Arial"/>
                <w:sz w:val="16"/>
                <w:szCs w:val="16"/>
              </w:rPr>
            </w:pPr>
            <w:r>
              <w:rPr>
                <w:rFonts w:ascii="Source Sans Pro" w:hAnsi="Source Sans Pro"/>
                <w:sz w:val="16"/>
                <w:szCs w:val="16"/>
              </w:rPr>
              <w:t>47</w:t>
            </w:r>
          </w:p>
        </w:tc>
        <w:tc>
          <w:tcPr>
            <w:tcW w:w="502" w:type="pct"/>
            <w:vAlign w:val="center"/>
          </w:tcPr>
          <w:p w14:paraId="7E645B9E" w14:textId="6B7D40E0" w:rsidR="004A2D54" w:rsidRPr="004A2D54" w:rsidRDefault="008E5C25" w:rsidP="00AA5925">
            <w:pPr>
              <w:jc w:val="center"/>
              <w:rPr>
                <w:rFonts w:ascii="Source Sans Pro" w:hAnsi="Source Sans Pro" w:cs="Arial"/>
                <w:sz w:val="16"/>
                <w:szCs w:val="16"/>
              </w:rPr>
            </w:pPr>
            <w:r>
              <w:rPr>
                <w:rFonts w:ascii="Source Sans Pro" w:hAnsi="Source Sans Pro"/>
                <w:sz w:val="16"/>
                <w:szCs w:val="16"/>
              </w:rPr>
              <w:t>46</w:t>
            </w:r>
          </w:p>
        </w:tc>
        <w:tc>
          <w:tcPr>
            <w:tcW w:w="502" w:type="pct"/>
            <w:vAlign w:val="center"/>
          </w:tcPr>
          <w:p w14:paraId="6B1BB734" w14:textId="227858B6" w:rsidR="004A2D54" w:rsidRPr="004A2D54" w:rsidRDefault="008E5C25" w:rsidP="00AA5925">
            <w:pPr>
              <w:jc w:val="center"/>
              <w:rPr>
                <w:rFonts w:ascii="Source Sans Pro" w:hAnsi="Source Sans Pro" w:cs="Arial"/>
                <w:b/>
                <w:sz w:val="16"/>
                <w:szCs w:val="16"/>
              </w:rPr>
            </w:pPr>
            <w:r>
              <w:rPr>
                <w:rFonts w:ascii="Source Sans Pro" w:hAnsi="Source Sans Pro"/>
                <w:b/>
                <w:sz w:val="16"/>
                <w:szCs w:val="16"/>
              </w:rPr>
              <w:t>51</w:t>
            </w:r>
          </w:p>
        </w:tc>
      </w:tr>
    </w:tbl>
    <w:p w14:paraId="1DF46B9C" w14:textId="77777777" w:rsidR="004A2D54" w:rsidRPr="004A2D54" w:rsidRDefault="004A2D54" w:rsidP="004A2D54">
      <w:pPr>
        <w:widowControl w:val="0"/>
        <w:rPr>
          <w:rFonts w:ascii="Source Sans Pro" w:hAnsi="Source Sans Pro" w:cs="Arial"/>
          <w:sz w:val="16"/>
          <w:szCs w:val="16"/>
        </w:rPr>
      </w:pPr>
      <w:r>
        <w:rPr>
          <w:rFonts w:ascii="Source Sans Pro" w:hAnsi="Source Sans Pro"/>
          <w:sz w:val="16"/>
          <w:szCs w:val="16"/>
        </w:rPr>
        <w:t xml:space="preserve"> Source: German Property Partners (GPP)</w:t>
      </w:r>
    </w:p>
    <w:p w14:paraId="24F7C797" w14:textId="77777777" w:rsidR="00DA733A" w:rsidRDefault="00DA733A" w:rsidP="00DA733A">
      <w:pPr>
        <w:pStyle w:val="EinfAbs"/>
        <w:tabs>
          <w:tab w:val="left" w:pos="200"/>
        </w:tabs>
        <w:jc w:val="both"/>
        <w:rPr>
          <w:rFonts w:ascii="Source Sans Pro" w:hAnsi="Source Sans Pro" w:cs="Source Sans Pro"/>
          <w:sz w:val="22"/>
          <w:szCs w:val="22"/>
        </w:rPr>
      </w:pPr>
    </w:p>
    <w:p w14:paraId="11085DE5" w14:textId="77777777" w:rsidR="00054FE9" w:rsidRDefault="00054FE9">
      <w:pPr>
        <w:overflowPunct/>
        <w:autoSpaceDE/>
        <w:autoSpaceDN/>
        <w:adjustRightInd/>
        <w:textAlignment w:val="auto"/>
        <w:rPr>
          <w:rFonts w:ascii="Source Sans Pro SemiBold" w:hAnsi="Source Sans Pro SemiBold" w:cs="Source Sans Pro SemiBold"/>
          <w:b/>
          <w:bCs/>
          <w:caps/>
          <w:color w:val="0087A8"/>
          <w:sz w:val="18"/>
          <w:szCs w:val="18"/>
        </w:rPr>
      </w:pPr>
      <w:r>
        <w:br w:type="page"/>
      </w:r>
    </w:p>
    <w:p w14:paraId="50B0AF24" w14:textId="0C28B730" w:rsidR="00DA733A" w:rsidRPr="006456EA" w:rsidRDefault="00DA733A"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lastRenderedPageBreak/>
        <w:t xml:space="preserve">ABOUT GERMAN PROPERTY PARTNERS </w:t>
      </w:r>
    </w:p>
    <w:p w14:paraId="47B60849" w14:textId="77777777" w:rsidR="00E1280F" w:rsidRPr="00E1280F" w:rsidRDefault="000A1D21"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7" w:history="1">
        <w:r w:rsidR="00DF2B8B">
          <w:rPr>
            <w:rFonts w:ascii="Source Sans Pro SemiBold" w:hAnsi="Source Sans Pro SemiBold"/>
            <w:bCs/>
            <w:caps/>
            <w:color w:val="0087A8"/>
            <w:sz w:val="18"/>
            <w:szCs w:val="18"/>
          </w:rPr>
          <w:t>German Property Partners</w:t>
        </w:r>
      </w:hyperlink>
      <w:r w:rsidR="00DF2B8B">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5A7E453"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410 property specialists work for the network. Nationwide, German Property Partners brokered lets in 2020 involving 462,800 m² of commercial property, and managed investment transactions totalling €2.45bn.</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proofErr w:type="spellStart"/>
      <w:r>
        <w:rPr>
          <w:rFonts w:ascii="Source Sans Pro SemiBold" w:hAnsi="Source Sans Pro SemiBold"/>
          <w:b/>
          <w:bCs/>
          <w:color w:val="0087A8"/>
          <w:sz w:val="18"/>
          <w:szCs w:val="18"/>
        </w:rPr>
        <w:t>www.germanpropertypartners.de</w:t>
      </w:r>
      <w:proofErr w:type="spellEnd"/>
      <w:r>
        <w:rPr>
          <w:rFonts w:ascii="Source Sans Pro SemiBold" w:hAnsi="Source Sans Pro SemiBold"/>
          <w:b/>
          <w:bCs/>
          <w:color w:val="0087A8"/>
          <w:sz w:val="18"/>
          <w:szCs w:val="18"/>
        </w:rPr>
        <w:t>/</w:t>
      </w:r>
      <w:proofErr w:type="spellStart"/>
      <w:r>
        <w:rPr>
          <w:rFonts w:ascii="Source Sans Pro SemiBold" w:hAnsi="Source Sans Pro SemiBold"/>
          <w:b/>
          <w:bCs/>
          <w:color w:val="0087A8"/>
          <w:sz w:val="18"/>
          <w:szCs w:val="18"/>
        </w:rPr>
        <w:t>en</w:t>
      </w:r>
      <w:proofErr w:type="spellEnd"/>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62C4FFC2" w14:textId="4F8ED38C" w:rsidR="00DA733A" w:rsidRPr="00917410" w:rsidRDefault="004000A8" w:rsidP="006609C2">
      <w:pPr>
        <w:pStyle w:val="EinfAbs"/>
        <w:tabs>
          <w:tab w:val="left" w:pos="200"/>
        </w:tabs>
        <w:spacing w:line="180" w:lineRule="exact"/>
        <w:jc w:val="both"/>
        <w:rPr>
          <w:rFonts w:ascii="Source Sans Pro" w:hAnsi="Source Sans Pro" w:cs="Source Sans Pro"/>
          <w:sz w:val="14"/>
          <w:szCs w:val="14"/>
        </w:rPr>
      </w:pPr>
      <w:r>
        <w:rPr>
          <w:sz w:val="14"/>
          <w:szCs w:val="14"/>
        </w:rPr>
        <w:t xml:space="preserve">German Property Partners’ </w:t>
      </w:r>
      <w:r w:rsidR="0054350B">
        <w:rPr>
          <w:b/>
          <w:sz w:val="14"/>
          <w:szCs w:val="14"/>
        </w:rPr>
        <w:t>DATA PROTECTION DECLARATION</w:t>
      </w:r>
      <w:r w:rsidR="0054350B">
        <w:rPr>
          <w:sz w:val="14"/>
          <w:szCs w:val="14"/>
        </w:rPr>
        <w:t xml:space="preserve"> </w:t>
      </w:r>
      <w:r>
        <w:rPr>
          <w:sz w:val="14"/>
          <w:szCs w:val="14"/>
        </w:rPr>
        <w:t xml:space="preserve">is available on the GPP website: </w:t>
      </w:r>
      <w:proofErr w:type="spellStart"/>
      <w:r>
        <w:rPr>
          <w:sz w:val="14"/>
          <w:szCs w:val="14"/>
        </w:rPr>
        <w:t>www.germanpropertypartners.de</w:t>
      </w:r>
      <w:proofErr w:type="spellEnd"/>
      <w:r>
        <w:rPr>
          <w:sz w:val="14"/>
          <w:szCs w:val="14"/>
        </w:rPr>
        <w:t>/</w:t>
      </w:r>
      <w:proofErr w:type="spellStart"/>
      <w:r>
        <w:rPr>
          <w:sz w:val="14"/>
          <w:szCs w:val="14"/>
        </w:rPr>
        <w:t>en</w:t>
      </w:r>
      <w:proofErr w:type="spellEnd"/>
      <w:r>
        <w:rPr>
          <w:sz w:val="14"/>
          <w:szCs w:val="14"/>
        </w:rPr>
        <w:t>/privacy-policy.</w:t>
      </w:r>
      <w:r>
        <w:rPr>
          <w:rFonts w:ascii="Source Sans Pro" w:hAnsi="Source Sans Pro"/>
          <w:sz w:val="14"/>
          <w:szCs w:val="14"/>
        </w:rPr>
        <w:t xml:space="preserve"> If in </w:t>
      </w:r>
      <w:proofErr w:type="gramStart"/>
      <w:r>
        <w:rPr>
          <w:rFonts w:ascii="Source Sans Pro" w:hAnsi="Source Sans Pro"/>
          <w:sz w:val="14"/>
          <w:szCs w:val="14"/>
        </w:rPr>
        <w:t>future</w:t>
      </w:r>
      <w:proofErr w:type="gramEnd"/>
      <w:r>
        <w:rPr>
          <w:rFonts w:ascii="Source Sans Pro" w:hAnsi="Source Sans Pro"/>
          <w:sz w:val="14"/>
          <w:szCs w:val="14"/>
        </w:rPr>
        <w:t xml:space="preserve"> you would prefer not to receive any more information from the GPP press office, please e-mail us at </w:t>
      </w:r>
      <w:proofErr w:type="spellStart"/>
      <w:r>
        <w:rPr>
          <w:rFonts w:ascii="Source Sans Pro" w:hAnsi="Source Sans Pro"/>
          <w:sz w:val="14"/>
          <w:szCs w:val="14"/>
        </w:rPr>
        <w:t>presse@germanpropertypartners.de</w:t>
      </w:r>
      <w:proofErr w:type="spellEnd"/>
      <w:r>
        <w:rPr>
          <w:rFonts w:ascii="Source Sans Pro" w:hAnsi="Source Sans Pro"/>
          <w:sz w:val="14"/>
          <w:szCs w:val="14"/>
        </w:rPr>
        <w:t xml:space="preserv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p w14:paraId="468FAFF6" w14:textId="77777777" w:rsidR="005C25D5" w:rsidRPr="007D5A52" w:rsidRDefault="005C25D5" w:rsidP="007D5A52">
      <w:pPr>
        <w:snapToGrid w:val="0"/>
        <w:spacing w:line="280" w:lineRule="exact"/>
        <w:jc w:val="both"/>
      </w:pPr>
    </w:p>
    <w:sectPr w:rsidR="005C25D5" w:rsidRPr="007D5A52" w:rsidSect="001B786B">
      <w:headerReference w:type="default" r:id="rId8"/>
      <w:footerReference w:type="default" r:id="rId9"/>
      <w:headerReference w:type="first" r:id="rId10"/>
      <w:footerReference w:type="first" r:id="rId11"/>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1B1DA" w14:textId="77777777" w:rsidR="00EA0185" w:rsidRDefault="00EA0185">
      <w:r>
        <w:separator/>
      </w:r>
    </w:p>
  </w:endnote>
  <w:endnote w:type="continuationSeparator" w:id="0">
    <w:p w14:paraId="78207F49" w14:textId="77777777" w:rsidR="00EA0185" w:rsidRDefault="00EA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5E076F67"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0A1D21">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0A1D21">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72E608F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6F9C1B3C" w14:textId="51C2BD2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3AD726D9">
          <wp:simplePos x="0" y="0"/>
          <wp:positionH relativeFrom="page">
            <wp:posOffset>4788535</wp:posOffset>
          </wp:positionH>
          <wp:positionV relativeFrom="page">
            <wp:posOffset>10197899</wp:posOffset>
          </wp:positionV>
          <wp:extent cx="1947600" cy="10080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r>
    <w:proofErr w:type="spellStart"/>
    <w:r>
      <w:rPr>
        <w:rFonts w:ascii="Source Sans Pro" w:hAnsi="Source Sans Pro"/>
        <w:color w:val="0087A8"/>
        <w:sz w:val="18"/>
        <w:szCs w:val="18"/>
      </w:rPr>
      <w:t>presse@germanpropertypartners.de</w:t>
    </w:r>
    <w:proofErr w:type="spellEnd"/>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34288B21"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0A1D21">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0A1D21">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2B0D7F87"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5F7CBAE8" w14:textId="089DD86C"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Berit Friedrich</w:t>
    </w:r>
    <w:r>
      <w:rPr>
        <w:rFonts w:ascii="Source Sans Pro" w:hAnsi="Source Sans Pro"/>
        <w:color w:val="0087A8"/>
        <w:sz w:val="18"/>
        <w:szCs w:val="18"/>
      </w:rPr>
      <w:tab/>
    </w:r>
    <w:proofErr w:type="spellStart"/>
    <w:r>
      <w:rPr>
        <w:rFonts w:ascii="Source Sans Pro" w:hAnsi="Source Sans Pro"/>
        <w:color w:val="0087A8"/>
        <w:sz w:val="18"/>
        <w:szCs w:val="18"/>
      </w:rPr>
      <w:t>presse@germanpropertypartners.de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1D42" w14:textId="77777777" w:rsidR="00EA0185" w:rsidRDefault="00EA0185">
      <w:r>
        <w:separator/>
      </w:r>
    </w:p>
  </w:footnote>
  <w:footnote w:type="continuationSeparator" w:id="0">
    <w:p w14:paraId="2F47D658" w14:textId="77777777" w:rsidR="00EA0185" w:rsidRDefault="00EA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444D80"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sz w:val="32"/>
                        <w:szCs w:val="32"/>
                        <w:rFonts w:ascii="Source Sans Pro" w:hAnsi="Source Sans Pro" w:cs="Source Sans Pro"/>
                      </w:rPr>
                    </w:pPr>
                    <w:r>
                      <w:rPr>
                        <w:sz w:val="32"/>
                        <w:szCs w:val="32"/>
                        <w:rFonts w:ascii="Source Sans Pro" w:hAnsi="Source Sans Pro"/>
                      </w:rPr>
                      <w:t xml:space="preserve">PRESS RELEASE</w:t>
                    </w:r>
                    <w:r>
                      <w:rPr>
                        <w:sz w:val="32"/>
                        <w:szCs w:val="32"/>
                        <w:rFonts w:ascii="Source Sans Pro" w:hAnsi="Source Sans Pro"/>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85"/>
    <w:rsid w:val="00003819"/>
    <w:rsid w:val="00004E93"/>
    <w:rsid w:val="00007A82"/>
    <w:rsid w:val="00012426"/>
    <w:rsid w:val="000136D7"/>
    <w:rsid w:val="00013D73"/>
    <w:rsid w:val="00013FE8"/>
    <w:rsid w:val="00020AC9"/>
    <w:rsid w:val="0002187D"/>
    <w:rsid w:val="00022CE1"/>
    <w:rsid w:val="00022F25"/>
    <w:rsid w:val="00024032"/>
    <w:rsid w:val="000243CC"/>
    <w:rsid w:val="00027EA3"/>
    <w:rsid w:val="00032028"/>
    <w:rsid w:val="00033F7F"/>
    <w:rsid w:val="0003409F"/>
    <w:rsid w:val="000440EB"/>
    <w:rsid w:val="0005029E"/>
    <w:rsid w:val="000513D0"/>
    <w:rsid w:val="00054FE9"/>
    <w:rsid w:val="000663B5"/>
    <w:rsid w:val="00066A8A"/>
    <w:rsid w:val="00071BAF"/>
    <w:rsid w:val="00077E8A"/>
    <w:rsid w:val="00082C59"/>
    <w:rsid w:val="00091562"/>
    <w:rsid w:val="0009382E"/>
    <w:rsid w:val="000A1D21"/>
    <w:rsid w:val="000A4FBB"/>
    <w:rsid w:val="000A6A78"/>
    <w:rsid w:val="000B310B"/>
    <w:rsid w:val="000C36A5"/>
    <w:rsid w:val="000C3A22"/>
    <w:rsid w:val="000C5B2A"/>
    <w:rsid w:val="000D6F2E"/>
    <w:rsid w:val="000D7FD3"/>
    <w:rsid w:val="000E1357"/>
    <w:rsid w:val="000E194E"/>
    <w:rsid w:val="000E641E"/>
    <w:rsid w:val="000E6577"/>
    <w:rsid w:val="000E7EA5"/>
    <w:rsid w:val="000F57F1"/>
    <w:rsid w:val="000F79F5"/>
    <w:rsid w:val="00103C4E"/>
    <w:rsid w:val="001116D7"/>
    <w:rsid w:val="00113D8C"/>
    <w:rsid w:val="00120624"/>
    <w:rsid w:val="0012156C"/>
    <w:rsid w:val="00125B3F"/>
    <w:rsid w:val="00127A45"/>
    <w:rsid w:val="001416A0"/>
    <w:rsid w:val="001421F7"/>
    <w:rsid w:val="0014498B"/>
    <w:rsid w:val="00146881"/>
    <w:rsid w:val="001504EA"/>
    <w:rsid w:val="001550FE"/>
    <w:rsid w:val="00155828"/>
    <w:rsid w:val="00157F0D"/>
    <w:rsid w:val="001647B3"/>
    <w:rsid w:val="00166ED2"/>
    <w:rsid w:val="00173AA4"/>
    <w:rsid w:val="0017641E"/>
    <w:rsid w:val="00184BB0"/>
    <w:rsid w:val="00187963"/>
    <w:rsid w:val="001963BB"/>
    <w:rsid w:val="001A22F5"/>
    <w:rsid w:val="001B786B"/>
    <w:rsid w:val="001C518B"/>
    <w:rsid w:val="001C5D5B"/>
    <w:rsid w:val="001C6C29"/>
    <w:rsid w:val="001D3808"/>
    <w:rsid w:val="001E1829"/>
    <w:rsid w:val="001E5503"/>
    <w:rsid w:val="001E6935"/>
    <w:rsid w:val="001F218D"/>
    <w:rsid w:val="001F35E1"/>
    <w:rsid w:val="00200C83"/>
    <w:rsid w:val="002014F7"/>
    <w:rsid w:val="00202DD3"/>
    <w:rsid w:val="002076E6"/>
    <w:rsid w:val="00223AD5"/>
    <w:rsid w:val="00226210"/>
    <w:rsid w:val="0022694F"/>
    <w:rsid w:val="002303B6"/>
    <w:rsid w:val="00235393"/>
    <w:rsid w:val="002371FE"/>
    <w:rsid w:val="002468C0"/>
    <w:rsid w:val="00264A0A"/>
    <w:rsid w:val="00270180"/>
    <w:rsid w:val="0028070D"/>
    <w:rsid w:val="00282ED8"/>
    <w:rsid w:val="002A09C2"/>
    <w:rsid w:val="002A41A8"/>
    <w:rsid w:val="002A480D"/>
    <w:rsid w:val="002A59DD"/>
    <w:rsid w:val="002A7D58"/>
    <w:rsid w:val="002B537B"/>
    <w:rsid w:val="002C52C5"/>
    <w:rsid w:val="002E0FB5"/>
    <w:rsid w:val="002F461A"/>
    <w:rsid w:val="002F746F"/>
    <w:rsid w:val="003152C9"/>
    <w:rsid w:val="00316196"/>
    <w:rsid w:val="003250ED"/>
    <w:rsid w:val="0033523C"/>
    <w:rsid w:val="00337E28"/>
    <w:rsid w:val="00341D84"/>
    <w:rsid w:val="003424EC"/>
    <w:rsid w:val="00343846"/>
    <w:rsid w:val="0034454C"/>
    <w:rsid w:val="0035249E"/>
    <w:rsid w:val="00355438"/>
    <w:rsid w:val="00355ED1"/>
    <w:rsid w:val="00357E06"/>
    <w:rsid w:val="00363075"/>
    <w:rsid w:val="00366AF3"/>
    <w:rsid w:val="00370BFB"/>
    <w:rsid w:val="00371640"/>
    <w:rsid w:val="00371F87"/>
    <w:rsid w:val="00374F87"/>
    <w:rsid w:val="00381D14"/>
    <w:rsid w:val="00392C51"/>
    <w:rsid w:val="003948FA"/>
    <w:rsid w:val="003A463F"/>
    <w:rsid w:val="003D36F0"/>
    <w:rsid w:val="003D5215"/>
    <w:rsid w:val="003E772C"/>
    <w:rsid w:val="003F293B"/>
    <w:rsid w:val="003F5E07"/>
    <w:rsid w:val="004000A8"/>
    <w:rsid w:val="0040331F"/>
    <w:rsid w:val="00403C95"/>
    <w:rsid w:val="0041251D"/>
    <w:rsid w:val="00423DAC"/>
    <w:rsid w:val="00425DBF"/>
    <w:rsid w:val="004329C6"/>
    <w:rsid w:val="004343B1"/>
    <w:rsid w:val="00434EB9"/>
    <w:rsid w:val="00453BB0"/>
    <w:rsid w:val="00453F14"/>
    <w:rsid w:val="00456442"/>
    <w:rsid w:val="0047027D"/>
    <w:rsid w:val="00474099"/>
    <w:rsid w:val="00483578"/>
    <w:rsid w:val="00491CBC"/>
    <w:rsid w:val="004A2A30"/>
    <w:rsid w:val="004A2D54"/>
    <w:rsid w:val="004A5F84"/>
    <w:rsid w:val="004A6E04"/>
    <w:rsid w:val="004B5CB6"/>
    <w:rsid w:val="004C616B"/>
    <w:rsid w:val="004D2CD0"/>
    <w:rsid w:val="004E6B98"/>
    <w:rsid w:val="004F1EDD"/>
    <w:rsid w:val="004F77D4"/>
    <w:rsid w:val="00500981"/>
    <w:rsid w:val="00500AD6"/>
    <w:rsid w:val="0050304A"/>
    <w:rsid w:val="005045E7"/>
    <w:rsid w:val="00510C33"/>
    <w:rsid w:val="005122A0"/>
    <w:rsid w:val="00520B8C"/>
    <w:rsid w:val="005319DF"/>
    <w:rsid w:val="0054038E"/>
    <w:rsid w:val="0054350B"/>
    <w:rsid w:val="0054593A"/>
    <w:rsid w:val="005476AA"/>
    <w:rsid w:val="00547A36"/>
    <w:rsid w:val="00554C9F"/>
    <w:rsid w:val="00557B57"/>
    <w:rsid w:val="005644BE"/>
    <w:rsid w:val="00567755"/>
    <w:rsid w:val="0057524E"/>
    <w:rsid w:val="00575A55"/>
    <w:rsid w:val="00580A44"/>
    <w:rsid w:val="005810F0"/>
    <w:rsid w:val="00596092"/>
    <w:rsid w:val="005A5999"/>
    <w:rsid w:val="005A7DA9"/>
    <w:rsid w:val="005C25D5"/>
    <w:rsid w:val="005D0D0E"/>
    <w:rsid w:val="005D449F"/>
    <w:rsid w:val="005D73BE"/>
    <w:rsid w:val="005E6515"/>
    <w:rsid w:val="005F27EF"/>
    <w:rsid w:val="005F3B7B"/>
    <w:rsid w:val="0060257F"/>
    <w:rsid w:val="00605989"/>
    <w:rsid w:val="00613713"/>
    <w:rsid w:val="0062180F"/>
    <w:rsid w:val="006224FB"/>
    <w:rsid w:val="0063115F"/>
    <w:rsid w:val="006363DA"/>
    <w:rsid w:val="00640E69"/>
    <w:rsid w:val="006432C0"/>
    <w:rsid w:val="006456EA"/>
    <w:rsid w:val="00650F25"/>
    <w:rsid w:val="00653983"/>
    <w:rsid w:val="00655943"/>
    <w:rsid w:val="006609C2"/>
    <w:rsid w:val="00675E89"/>
    <w:rsid w:val="00695F46"/>
    <w:rsid w:val="006A3C35"/>
    <w:rsid w:val="006A49B1"/>
    <w:rsid w:val="006A6D11"/>
    <w:rsid w:val="006B2259"/>
    <w:rsid w:val="006B2684"/>
    <w:rsid w:val="006B5252"/>
    <w:rsid w:val="006C1FF3"/>
    <w:rsid w:val="006C5754"/>
    <w:rsid w:val="006C5831"/>
    <w:rsid w:val="006D6526"/>
    <w:rsid w:val="006D7431"/>
    <w:rsid w:val="006D7E9F"/>
    <w:rsid w:val="006E03E0"/>
    <w:rsid w:val="006E3B37"/>
    <w:rsid w:val="006E60AE"/>
    <w:rsid w:val="006E674D"/>
    <w:rsid w:val="006E6770"/>
    <w:rsid w:val="006F154A"/>
    <w:rsid w:val="006F3F00"/>
    <w:rsid w:val="0070363C"/>
    <w:rsid w:val="00712023"/>
    <w:rsid w:val="007144E9"/>
    <w:rsid w:val="00714A1F"/>
    <w:rsid w:val="00717328"/>
    <w:rsid w:val="0072073D"/>
    <w:rsid w:val="007366B7"/>
    <w:rsid w:val="00742C04"/>
    <w:rsid w:val="0074571D"/>
    <w:rsid w:val="007627C8"/>
    <w:rsid w:val="00766717"/>
    <w:rsid w:val="00771C92"/>
    <w:rsid w:val="007832C8"/>
    <w:rsid w:val="00797DA3"/>
    <w:rsid w:val="007A4844"/>
    <w:rsid w:val="007B3142"/>
    <w:rsid w:val="007B33CE"/>
    <w:rsid w:val="007B7B81"/>
    <w:rsid w:val="007D1495"/>
    <w:rsid w:val="007D5A52"/>
    <w:rsid w:val="007D75C8"/>
    <w:rsid w:val="007E2C66"/>
    <w:rsid w:val="007F02A1"/>
    <w:rsid w:val="007F1021"/>
    <w:rsid w:val="007F2DBB"/>
    <w:rsid w:val="007F7E7C"/>
    <w:rsid w:val="008010F4"/>
    <w:rsid w:val="008113A7"/>
    <w:rsid w:val="0081554E"/>
    <w:rsid w:val="00821A81"/>
    <w:rsid w:val="00833779"/>
    <w:rsid w:val="008373FC"/>
    <w:rsid w:val="00846E84"/>
    <w:rsid w:val="00856A7C"/>
    <w:rsid w:val="008739E7"/>
    <w:rsid w:val="00874645"/>
    <w:rsid w:val="00881685"/>
    <w:rsid w:val="00882014"/>
    <w:rsid w:val="008844D9"/>
    <w:rsid w:val="00891C3A"/>
    <w:rsid w:val="008931F2"/>
    <w:rsid w:val="00895BBC"/>
    <w:rsid w:val="008A3A3B"/>
    <w:rsid w:val="008A7188"/>
    <w:rsid w:val="008D24F1"/>
    <w:rsid w:val="008D6864"/>
    <w:rsid w:val="008D6B2E"/>
    <w:rsid w:val="008E5C25"/>
    <w:rsid w:val="008F2058"/>
    <w:rsid w:val="009064CE"/>
    <w:rsid w:val="00912233"/>
    <w:rsid w:val="00917410"/>
    <w:rsid w:val="009264D0"/>
    <w:rsid w:val="009312C4"/>
    <w:rsid w:val="0093360A"/>
    <w:rsid w:val="009358D3"/>
    <w:rsid w:val="00955433"/>
    <w:rsid w:val="00955764"/>
    <w:rsid w:val="00957A6F"/>
    <w:rsid w:val="009649C2"/>
    <w:rsid w:val="00965DEB"/>
    <w:rsid w:val="00972718"/>
    <w:rsid w:val="00973056"/>
    <w:rsid w:val="009738DE"/>
    <w:rsid w:val="009758E9"/>
    <w:rsid w:val="00977A0F"/>
    <w:rsid w:val="00980BEB"/>
    <w:rsid w:val="00980D94"/>
    <w:rsid w:val="00982F7B"/>
    <w:rsid w:val="009843D4"/>
    <w:rsid w:val="00986E5B"/>
    <w:rsid w:val="0099076D"/>
    <w:rsid w:val="0099690F"/>
    <w:rsid w:val="00996D38"/>
    <w:rsid w:val="00997675"/>
    <w:rsid w:val="009A3211"/>
    <w:rsid w:val="009A53E2"/>
    <w:rsid w:val="009B008F"/>
    <w:rsid w:val="009C3FDE"/>
    <w:rsid w:val="009C7CAD"/>
    <w:rsid w:val="009D686B"/>
    <w:rsid w:val="009E6FDF"/>
    <w:rsid w:val="009F28F5"/>
    <w:rsid w:val="009F2DA7"/>
    <w:rsid w:val="00A0717D"/>
    <w:rsid w:val="00A07846"/>
    <w:rsid w:val="00A115D2"/>
    <w:rsid w:val="00A159F8"/>
    <w:rsid w:val="00A17CA6"/>
    <w:rsid w:val="00A2086A"/>
    <w:rsid w:val="00A22C2C"/>
    <w:rsid w:val="00A346EF"/>
    <w:rsid w:val="00A54087"/>
    <w:rsid w:val="00A65690"/>
    <w:rsid w:val="00A65FB0"/>
    <w:rsid w:val="00A66A23"/>
    <w:rsid w:val="00A67512"/>
    <w:rsid w:val="00A743C6"/>
    <w:rsid w:val="00A908C3"/>
    <w:rsid w:val="00A9412B"/>
    <w:rsid w:val="00A95739"/>
    <w:rsid w:val="00A96A38"/>
    <w:rsid w:val="00AA2AE0"/>
    <w:rsid w:val="00AB2F7B"/>
    <w:rsid w:val="00AB300C"/>
    <w:rsid w:val="00AB69AD"/>
    <w:rsid w:val="00AC00F8"/>
    <w:rsid w:val="00AC6B15"/>
    <w:rsid w:val="00AD2569"/>
    <w:rsid w:val="00AD3799"/>
    <w:rsid w:val="00AD4124"/>
    <w:rsid w:val="00AE027C"/>
    <w:rsid w:val="00AE0761"/>
    <w:rsid w:val="00AE07A3"/>
    <w:rsid w:val="00AE0E7B"/>
    <w:rsid w:val="00AE2412"/>
    <w:rsid w:val="00AE318F"/>
    <w:rsid w:val="00AE6F47"/>
    <w:rsid w:val="00AF202A"/>
    <w:rsid w:val="00AF237D"/>
    <w:rsid w:val="00AF2F5E"/>
    <w:rsid w:val="00B005BD"/>
    <w:rsid w:val="00B03444"/>
    <w:rsid w:val="00B04F23"/>
    <w:rsid w:val="00B14E68"/>
    <w:rsid w:val="00B23669"/>
    <w:rsid w:val="00B24860"/>
    <w:rsid w:val="00B30599"/>
    <w:rsid w:val="00B340CD"/>
    <w:rsid w:val="00B4714C"/>
    <w:rsid w:val="00B50A63"/>
    <w:rsid w:val="00B56AFB"/>
    <w:rsid w:val="00B576A5"/>
    <w:rsid w:val="00B62EDB"/>
    <w:rsid w:val="00B71718"/>
    <w:rsid w:val="00B71BBD"/>
    <w:rsid w:val="00B72F21"/>
    <w:rsid w:val="00B776EA"/>
    <w:rsid w:val="00B83DA7"/>
    <w:rsid w:val="00B862DB"/>
    <w:rsid w:val="00B922EE"/>
    <w:rsid w:val="00B9596E"/>
    <w:rsid w:val="00BA6227"/>
    <w:rsid w:val="00BB0F85"/>
    <w:rsid w:val="00BB21C3"/>
    <w:rsid w:val="00BC0132"/>
    <w:rsid w:val="00BC0598"/>
    <w:rsid w:val="00BC72A5"/>
    <w:rsid w:val="00BD0426"/>
    <w:rsid w:val="00BD10B3"/>
    <w:rsid w:val="00BD2784"/>
    <w:rsid w:val="00BE0C9E"/>
    <w:rsid w:val="00BF11C6"/>
    <w:rsid w:val="00BF5F7B"/>
    <w:rsid w:val="00C11004"/>
    <w:rsid w:val="00C111FE"/>
    <w:rsid w:val="00C1497F"/>
    <w:rsid w:val="00C20B9C"/>
    <w:rsid w:val="00C2509E"/>
    <w:rsid w:val="00C2778C"/>
    <w:rsid w:val="00C27F6A"/>
    <w:rsid w:val="00C35841"/>
    <w:rsid w:val="00C41C74"/>
    <w:rsid w:val="00C43C76"/>
    <w:rsid w:val="00C47F8B"/>
    <w:rsid w:val="00C64096"/>
    <w:rsid w:val="00C846F6"/>
    <w:rsid w:val="00C85B10"/>
    <w:rsid w:val="00C96048"/>
    <w:rsid w:val="00C96214"/>
    <w:rsid w:val="00C9797F"/>
    <w:rsid w:val="00CA1FB9"/>
    <w:rsid w:val="00CA73C1"/>
    <w:rsid w:val="00CA79D7"/>
    <w:rsid w:val="00CC40B9"/>
    <w:rsid w:val="00CD463B"/>
    <w:rsid w:val="00CD77DD"/>
    <w:rsid w:val="00CD7E39"/>
    <w:rsid w:val="00CE2EFB"/>
    <w:rsid w:val="00CE5A10"/>
    <w:rsid w:val="00CF6D99"/>
    <w:rsid w:val="00D002D6"/>
    <w:rsid w:val="00D02FD8"/>
    <w:rsid w:val="00D10832"/>
    <w:rsid w:val="00D30707"/>
    <w:rsid w:val="00D3104C"/>
    <w:rsid w:val="00D41ABC"/>
    <w:rsid w:val="00D478CC"/>
    <w:rsid w:val="00D50FDD"/>
    <w:rsid w:val="00D51669"/>
    <w:rsid w:val="00D602AC"/>
    <w:rsid w:val="00D70824"/>
    <w:rsid w:val="00D760A9"/>
    <w:rsid w:val="00D925B8"/>
    <w:rsid w:val="00D92C1C"/>
    <w:rsid w:val="00D95197"/>
    <w:rsid w:val="00DA0D62"/>
    <w:rsid w:val="00DA3B66"/>
    <w:rsid w:val="00DA6836"/>
    <w:rsid w:val="00DA733A"/>
    <w:rsid w:val="00DB2417"/>
    <w:rsid w:val="00DC05A3"/>
    <w:rsid w:val="00DC0951"/>
    <w:rsid w:val="00DC6A0C"/>
    <w:rsid w:val="00DC7EB8"/>
    <w:rsid w:val="00DD2947"/>
    <w:rsid w:val="00DD3BDB"/>
    <w:rsid w:val="00DF1CFC"/>
    <w:rsid w:val="00DF1EEF"/>
    <w:rsid w:val="00DF25FA"/>
    <w:rsid w:val="00DF2B8B"/>
    <w:rsid w:val="00E03DB3"/>
    <w:rsid w:val="00E05ECE"/>
    <w:rsid w:val="00E1280F"/>
    <w:rsid w:val="00E17B2C"/>
    <w:rsid w:val="00E20271"/>
    <w:rsid w:val="00E27DEF"/>
    <w:rsid w:val="00E32743"/>
    <w:rsid w:val="00E342C7"/>
    <w:rsid w:val="00E354F6"/>
    <w:rsid w:val="00E404DC"/>
    <w:rsid w:val="00E41A83"/>
    <w:rsid w:val="00E4317C"/>
    <w:rsid w:val="00E51A3A"/>
    <w:rsid w:val="00E63703"/>
    <w:rsid w:val="00E66C4A"/>
    <w:rsid w:val="00E704C6"/>
    <w:rsid w:val="00E75185"/>
    <w:rsid w:val="00E775AC"/>
    <w:rsid w:val="00E77B98"/>
    <w:rsid w:val="00E80907"/>
    <w:rsid w:val="00E8471E"/>
    <w:rsid w:val="00E9085A"/>
    <w:rsid w:val="00E942DA"/>
    <w:rsid w:val="00E94EF3"/>
    <w:rsid w:val="00E959E9"/>
    <w:rsid w:val="00E95E00"/>
    <w:rsid w:val="00E9704C"/>
    <w:rsid w:val="00E97167"/>
    <w:rsid w:val="00EA0185"/>
    <w:rsid w:val="00EB19E5"/>
    <w:rsid w:val="00EB468A"/>
    <w:rsid w:val="00EC3DC1"/>
    <w:rsid w:val="00EC6CC2"/>
    <w:rsid w:val="00ED0970"/>
    <w:rsid w:val="00ED6DCA"/>
    <w:rsid w:val="00EF20B1"/>
    <w:rsid w:val="00EF7BE7"/>
    <w:rsid w:val="00F00604"/>
    <w:rsid w:val="00F00CF2"/>
    <w:rsid w:val="00F011B6"/>
    <w:rsid w:val="00F05141"/>
    <w:rsid w:val="00F119A6"/>
    <w:rsid w:val="00F167CB"/>
    <w:rsid w:val="00F2164E"/>
    <w:rsid w:val="00F240EB"/>
    <w:rsid w:val="00F315FE"/>
    <w:rsid w:val="00F31FE6"/>
    <w:rsid w:val="00F45BB8"/>
    <w:rsid w:val="00F53E0E"/>
    <w:rsid w:val="00F53F80"/>
    <w:rsid w:val="00F5697E"/>
    <w:rsid w:val="00F63BFA"/>
    <w:rsid w:val="00F64376"/>
    <w:rsid w:val="00F6556A"/>
    <w:rsid w:val="00F65709"/>
    <w:rsid w:val="00F673A2"/>
    <w:rsid w:val="00F72A3E"/>
    <w:rsid w:val="00F7577B"/>
    <w:rsid w:val="00F77715"/>
    <w:rsid w:val="00F84C57"/>
    <w:rsid w:val="00F937F1"/>
    <w:rsid w:val="00FA4024"/>
    <w:rsid w:val="00FB28C0"/>
    <w:rsid w:val="00FB3B53"/>
    <w:rsid w:val="00FC69D9"/>
    <w:rsid w:val="00FD6D0F"/>
    <w:rsid w:val="00FD7412"/>
    <w:rsid w:val="00FE2133"/>
    <w:rsid w:val="00FE6C3C"/>
    <w:rsid w:val="00FF1703"/>
    <w:rsid w:val="00FF1EF9"/>
    <w:rsid w:val="00FF54B4"/>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46E54"/>
  <w15:docId w15:val="{DEDC0D60-54AD-4E02-AC9A-1DA50356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416A0"/>
    <w:rPr>
      <w:sz w:val="16"/>
      <w:szCs w:val="16"/>
    </w:rPr>
  </w:style>
  <w:style w:type="paragraph" w:styleId="Kommentartext">
    <w:name w:val="annotation text"/>
    <w:basedOn w:val="Standard"/>
    <w:link w:val="KommentartextZchn"/>
    <w:uiPriority w:val="99"/>
    <w:semiHidden/>
    <w:unhideWhenUsed/>
    <w:rsid w:val="001416A0"/>
    <w:rPr>
      <w:sz w:val="20"/>
    </w:rPr>
  </w:style>
  <w:style w:type="character" w:customStyle="1" w:styleId="KommentartextZchn">
    <w:name w:val="Kommentartext Zchn"/>
    <w:basedOn w:val="Absatz-Standardschriftart"/>
    <w:link w:val="Kommentartext"/>
    <w:uiPriority w:val="99"/>
    <w:semiHidden/>
    <w:rsid w:val="001416A0"/>
  </w:style>
  <w:style w:type="paragraph" w:styleId="Kommentarthema">
    <w:name w:val="annotation subject"/>
    <w:basedOn w:val="Kommentartext"/>
    <w:next w:val="Kommentartext"/>
    <w:link w:val="KommentarthemaZchn"/>
    <w:uiPriority w:val="99"/>
    <w:semiHidden/>
    <w:unhideWhenUsed/>
    <w:rsid w:val="001416A0"/>
    <w:rPr>
      <w:b/>
      <w:bCs/>
    </w:rPr>
  </w:style>
  <w:style w:type="character" w:customStyle="1" w:styleId="KommentarthemaZchn">
    <w:name w:val="Kommentarthema Zchn"/>
    <w:basedOn w:val="KommentartextZchn"/>
    <w:link w:val="Kommentarthema"/>
    <w:uiPriority w:val="99"/>
    <w:semiHidden/>
    <w:rsid w:val="0014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rmanpropertypartners.d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7584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Berit Friedrich</cp:lastModifiedBy>
  <cp:revision>7</cp:revision>
  <cp:lastPrinted>2022-01-10T06:48:00Z</cp:lastPrinted>
  <dcterms:created xsi:type="dcterms:W3CDTF">2022-01-07T09:08:00Z</dcterms:created>
  <dcterms:modified xsi:type="dcterms:W3CDTF">2022-01-10T07:54:00Z</dcterms:modified>
</cp:coreProperties>
</file>