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504539F2" w:rsidR="00CA79D7" w:rsidRPr="006456EA" w:rsidRDefault="00161817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top-7-investment</w:t>
      </w:r>
      <w:r w:rsidR="000021F4">
        <w:rPr>
          <w:rFonts w:ascii="Source Sans Pro" w:hAnsi="Source Sans Pro" w:cs="Source Sans Pro"/>
          <w:caps/>
          <w:color w:val="0086A8"/>
          <w:sz w:val="22"/>
          <w:szCs w:val="22"/>
        </w:rPr>
        <w:t>märkte Q</w:t>
      </w:r>
      <w:r w:rsidR="00147232">
        <w:rPr>
          <w:rFonts w:ascii="Source Sans Pro" w:hAnsi="Source Sans Pro" w:cs="Source Sans Pro"/>
          <w:caps/>
          <w:color w:val="0086A8"/>
          <w:sz w:val="22"/>
          <w:szCs w:val="22"/>
        </w:rPr>
        <w:t>1-3</w:t>
      </w:r>
      <w:r w:rsidR="001550FE">
        <w:rPr>
          <w:rFonts w:ascii="Source Sans Pro" w:hAnsi="Source Sans Pro" w:cs="Source Sans Pro"/>
          <w:caps/>
          <w:color w:val="0086A8"/>
          <w:sz w:val="22"/>
          <w:szCs w:val="22"/>
        </w:rPr>
        <w:t>/202</w:t>
      </w:r>
      <w:r w:rsidR="00F40B12">
        <w:rPr>
          <w:rFonts w:ascii="Source Sans Pro" w:hAnsi="Source Sans Pro" w:cs="Source Sans Pro"/>
          <w:caps/>
          <w:color w:val="0086A8"/>
          <w:sz w:val="22"/>
          <w:szCs w:val="22"/>
        </w:rPr>
        <w:t>2</w:t>
      </w:r>
      <w:r w:rsidR="00CA79D7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2D2599" w14:textId="52142D88" w:rsidR="00CA79D7" w:rsidRDefault="00E61E7D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 xml:space="preserve">Transaktionsvolumen </w:t>
      </w:r>
      <w:r w:rsidR="009D0ED9">
        <w:rPr>
          <w:rFonts w:ascii="Source Sans Pro" w:hAnsi="Source Sans Pro" w:cs="Source Sans Pro"/>
          <w:sz w:val="36"/>
          <w:szCs w:val="36"/>
        </w:rPr>
        <w:t>durch Sondereffekte über</w:t>
      </w:r>
      <w:r>
        <w:rPr>
          <w:rFonts w:ascii="Source Sans Pro" w:hAnsi="Source Sans Pro" w:cs="Source Sans Pro"/>
          <w:sz w:val="36"/>
          <w:szCs w:val="36"/>
        </w:rPr>
        <w:t xml:space="preserve"> Vorjahresniv</w:t>
      </w:r>
      <w:r w:rsidR="005512C5">
        <w:rPr>
          <w:rFonts w:ascii="Source Sans Pro" w:hAnsi="Source Sans Pro" w:cs="Source Sans Pro"/>
          <w:sz w:val="36"/>
          <w:szCs w:val="36"/>
        </w:rPr>
        <w:t>e</w:t>
      </w:r>
      <w:r>
        <w:rPr>
          <w:rFonts w:ascii="Source Sans Pro" w:hAnsi="Source Sans Pro" w:cs="Source Sans Pro"/>
          <w:sz w:val="36"/>
          <w:szCs w:val="36"/>
        </w:rPr>
        <w:t>au</w:t>
      </w:r>
      <w:r w:rsidR="00361BB2">
        <w:rPr>
          <w:rFonts w:ascii="Source Sans Pro" w:hAnsi="Source Sans Pro" w:cs="Source Sans Pro"/>
          <w:sz w:val="36"/>
          <w:szCs w:val="36"/>
        </w:rPr>
        <w:t xml:space="preserve"> </w:t>
      </w:r>
    </w:p>
    <w:p w14:paraId="743073FD" w14:textId="77777777" w:rsidR="003152C9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1DE5BFC8" w14:textId="747BAF9E" w:rsidR="00904B69" w:rsidRDefault="00C06DF4" w:rsidP="0067347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  <w:r>
        <w:rPr>
          <w:rFonts w:ascii="Source Sans Pro" w:hAnsi="Source Sans Pro" w:cs="Source Sans Pro"/>
          <w:noProof/>
          <w:color w:val="0086A8"/>
          <w:sz w:val="22"/>
          <w:szCs w:val="22"/>
        </w:rPr>
        <w:drawing>
          <wp:inline distT="0" distB="0" distL="0" distR="0" wp14:anchorId="3963CA1D" wp14:editId="2F8D3BAC">
            <wp:extent cx="4264761" cy="2422732"/>
            <wp:effectExtent l="19050" t="19050" r="21590" b="158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32" cy="244396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B4136E" w14:textId="1EDAAD05" w:rsidR="00285C8D" w:rsidRPr="00285C8D" w:rsidRDefault="00673477" w:rsidP="00EE60C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color w:val="0086A8"/>
          <w:sz w:val="22"/>
          <w:szCs w:val="22"/>
        </w:rPr>
        <w:br/>
      </w:r>
      <w:r w:rsidR="00F40B12">
        <w:rPr>
          <w:rFonts w:ascii="Source Sans Pro" w:hAnsi="Source Sans Pro" w:cs="Source Sans Pro"/>
          <w:color w:val="0086A8"/>
          <w:sz w:val="22"/>
          <w:szCs w:val="22"/>
        </w:rPr>
        <w:t>0</w:t>
      </w:r>
      <w:r w:rsidR="00147232">
        <w:rPr>
          <w:rFonts w:ascii="Source Sans Pro" w:hAnsi="Source Sans Pro" w:cs="Source Sans Pro"/>
          <w:color w:val="0086A8"/>
          <w:sz w:val="22"/>
          <w:szCs w:val="22"/>
        </w:rPr>
        <w:t>5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 w:rsidR="00147232">
        <w:rPr>
          <w:rFonts w:ascii="Source Sans Pro" w:hAnsi="Source Sans Pro" w:cs="Source Sans Pro"/>
          <w:color w:val="0087A8"/>
          <w:sz w:val="22"/>
          <w:szCs w:val="22"/>
        </w:rPr>
        <w:t>Oktober</w:t>
      </w:r>
      <w:r w:rsidR="000021F4">
        <w:rPr>
          <w:rFonts w:ascii="Source Sans Pro" w:hAnsi="Source Sans Pro" w:cs="Source Sans Pro"/>
          <w:color w:val="0087A8"/>
          <w:sz w:val="22"/>
          <w:szCs w:val="22"/>
        </w:rPr>
        <w:t xml:space="preserve"> 2022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7733D1">
        <w:rPr>
          <w:rFonts w:ascii="Source Sans Pro" w:hAnsi="Source Sans Pro" w:cs="Source Sans Pro"/>
          <w:color w:val="auto"/>
          <w:sz w:val="22"/>
          <w:szCs w:val="22"/>
        </w:rPr>
        <w:t>An den deutschen Top-7-Standorten</w:t>
      </w:r>
      <w:r w:rsidR="00B03DB5" w:rsidRPr="00B03DB5">
        <w:rPr>
          <w:rFonts w:ascii="Source Sans Pro" w:hAnsi="Source Sans Pro" w:cs="Source Sans Pro"/>
          <w:color w:val="auto"/>
          <w:sz w:val="22"/>
          <w:szCs w:val="22"/>
        </w:rPr>
        <w:t xml:space="preserve"> Hamburg, Berlin, Düsseldorf, Köln, Frankfurt, Stuttgart und München</w:t>
      </w:r>
      <w:r w:rsidR="007733D1">
        <w:rPr>
          <w:rFonts w:ascii="Source Sans Pro" w:hAnsi="Source Sans Pro" w:cs="Source Sans Pro"/>
          <w:color w:val="auto"/>
          <w:sz w:val="22"/>
          <w:szCs w:val="22"/>
        </w:rPr>
        <w:t xml:space="preserve"> sind in den ersten </w:t>
      </w:r>
      <w:r w:rsidR="00B03DB5" w:rsidRPr="00B03DB5">
        <w:rPr>
          <w:rFonts w:ascii="Source Sans Pro" w:hAnsi="Source Sans Pro" w:cs="Source Sans Pro"/>
          <w:color w:val="auto"/>
          <w:sz w:val="22"/>
          <w:szCs w:val="22"/>
        </w:rPr>
        <w:t>neun Monaten 202</w:t>
      </w:r>
      <w:r w:rsidR="00B03DB5">
        <w:rPr>
          <w:rFonts w:ascii="Source Sans Pro" w:hAnsi="Source Sans Pro" w:cs="Source Sans Pro"/>
          <w:color w:val="auto"/>
          <w:sz w:val="22"/>
          <w:szCs w:val="22"/>
        </w:rPr>
        <w:t>2</w:t>
      </w:r>
      <w:r w:rsidR="00B03DB5" w:rsidRPr="00B03DB5">
        <w:rPr>
          <w:rFonts w:ascii="Source Sans Pro" w:hAnsi="Source Sans Pro" w:cs="Source Sans Pro"/>
          <w:color w:val="auto"/>
          <w:sz w:val="22"/>
          <w:szCs w:val="22"/>
        </w:rPr>
        <w:t xml:space="preserve"> Verkäufe für gewerbliche Immobilien in Höhe von </w:t>
      </w:r>
      <w:r w:rsidR="00B03DB5">
        <w:rPr>
          <w:rFonts w:ascii="Source Sans Pro" w:hAnsi="Source Sans Pro" w:cs="Source Sans Pro"/>
          <w:color w:val="auto"/>
          <w:sz w:val="22"/>
          <w:szCs w:val="22"/>
        </w:rPr>
        <w:t xml:space="preserve">rund </w:t>
      </w:r>
      <w:r w:rsidR="007733D1">
        <w:rPr>
          <w:rFonts w:ascii="Source Sans Pro" w:hAnsi="Source Sans Pro" w:cs="Source Sans Pro"/>
          <w:color w:val="auto"/>
          <w:sz w:val="22"/>
          <w:szCs w:val="22"/>
        </w:rPr>
        <w:t>20</w:t>
      </w:r>
      <w:r w:rsidR="007733D1" w:rsidRPr="00B03DB5">
        <w:rPr>
          <w:rFonts w:ascii="Source Sans Pro" w:hAnsi="Source Sans Pro" w:cs="Source Sans Pro"/>
          <w:color w:val="auto"/>
          <w:sz w:val="22"/>
          <w:szCs w:val="22"/>
        </w:rPr>
        <w:t>,</w:t>
      </w:r>
      <w:r>
        <w:rPr>
          <w:rFonts w:ascii="Source Sans Pro" w:hAnsi="Source Sans Pro" w:cs="Source Sans Pro"/>
          <w:color w:val="auto"/>
          <w:sz w:val="22"/>
          <w:szCs w:val="22"/>
        </w:rPr>
        <w:t>9</w:t>
      </w:r>
      <w:r w:rsidR="007733D1" w:rsidRPr="00B03DB5">
        <w:rPr>
          <w:rFonts w:ascii="Source Sans Pro" w:hAnsi="Source Sans Pro" w:cs="Source Sans Pro"/>
          <w:color w:val="auto"/>
          <w:sz w:val="22"/>
          <w:szCs w:val="22"/>
        </w:rPr>
        <w:t xml:space="preserve"> Mrd. €</w:t>
      </w:r>
      <w:r w:rsidR="007733D1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B03DB5" w:rsidRPr="00B03DB5">
        <w:rPr>
          <w:rFonts w:ascii="Source Sans Pro" w:hAnsi="Source Sans Pro" w:cs="Source Sans Pro"/>
          <w:color w:val="auto"/>
          <w:sz w:val="22"/>
          <w:szCs w:val="22"/>
        </w:rPr>
        <w:t>abgeschlossen worden.</w:t>
      </w:r>
      <w:r w:rsidR="007733D1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7733D1" w:rsidRPr="00B03DB5">
        <w:rPr>
          <w:rFonts w:ascii="Source Sans Pro" w:hAnsi="Source Sans Pro" w:cs="Source Sans Pro"/>
          <w:color w:val="auto"/>
          <w:sz w:val="22"/>
          <w:szCs w:val="22"/>
        </w:rPr>
        <w:t xml:space="preserve">Das Transaktionsvolumen (TAV) </w:t>
      </w:r>
      <w:r w:rsidR="007733D1">
        <w:rPr>
          <w:rFonts w:ascii="Source Sans Pro" w:hAnsi="Source Sans Pro" w:cs="Source Sans Pro"/>
          <w:color w:val="auto"/>
          <w:sz w:val="22"/>
          <w:szCs w:val="22"/>
        </w:rPr>
        <w:t>lag damit zum Ende des</w:t>
      </w:r>
      <w:r w:rsidR="007733D1" w:rsidRPr="00B03DB5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7733D1">
        <w:rPr>
          <w:rFonts w:ascii="Source Sans Pro" w:hAnsi="Source Sans Pro" w:cs="Source Sans Pro"/>
          <w:color w:val="auto"/>
          <w:sz w:val="22"/>
          <w:szCs w:val="22"/>
        </w:rPr>
        <w:t>3</w:t>
      </w:r>
      <w:r w:rsidR="007733D1" w:rsidRPr="00B03DB5">
        <w:rPr>
          <w:rFonts w:ascii="Source Sans Pro" w:hAnsi="Source Sans Pro" w:cs="Source Sans Pro"/>
          <w:color w:val="auto"/>
          <w:sz w:val="22"/>
          <w:szCs w:val="22"/>
        </w:rPr>
        <w:t>. Quartal</w:t>
      </w:r>
      <w:r w:rsidR="007733D1">
        <w:rPr>
          <w:rFonts w:ascii="Source Sans Pro" w:hAnsi="Source Sans Pro" w:cs="Source Sans Pro"/>
          <w:color w:val="auto"/>
          <w:sz w:val="22"/>
          <w:szCs w:val="22"/>
        </w:rPr>
        <w:t>s</w:t>
      </w:r>
      <w:r w:rsidR="007733D1" w:rsidRPr="00B03DB5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>
        <w:rPr>
          <w:rFonts w:ascii="Source Sans Pro" w:hAnsi="Source Sans Pro" w:cs="Source Sans Pro"/>
          <w:color w:val="auto"/>
          <w:sz w:val="22"/>
          <w:szCs w:val="22"/>
        </w:rPr>
        <w:t>leicht über</w:t>
      </w:r>
      <w:r w:rsidR="007733D1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dem </w:t>
      </w:r>
      <w:r w:rsidR="00AF1CCD">
        <w:rPr>
          <w:rFonts w:ascii="Source Sans Pro" w:hAnsi="Source Sans Pro" w:cs="Source Sans Pro"/>
          <w:color w:val="auto"/>
          <w:sz w:val="22"/>
          <w:szCs w:val="22"/>
        </w:rPr>
        <w:t>Vorjahresniveau (+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5 </w:t>
      </w:r>
      <w:r w:rsidR="007733D1">
        <w:rPr>
          <w:rFonts w:ascii="Source Sans Pro" w:hAnsi="Source Sans Pro" w:cs="Source Sans Pro"/>
          <w:color w:val="auto"/>
          <w:sz w:val="22"/>
          <w:szCs w:val="22"/>
        </w:rPr>
        <w:t xml:space="preserve">%). </w:t>
      </w:r>
      <w:r w:rsidR="00285C8D" w:rsidRPr="0042270C">
        <w:rPr>
          <w:rFonts w:ascii="Source Sans Pro" w:hAnsi="Source Sans Pro" w:cs="Source Sans Pro"/>
          <w:sz w:val="22"/>
          <w:szCs w:val="22"/>
        </w:rPr>
        <w:t>Dies ergaben Analysen von German Property Partners (GPP), dem Gewerbeimmobiliennetz</w:t>
      </w:r>
      <w:r w:rsidR="00285C8D">
        <w:rPr>
          <w:rFonts w:ascii="Source Sans Pro" w:hAnsi="Source Sans Pro" w:cs="Source Sans Pro"/>
          <w:sz w:val="22"/>
          <w:szCs w:val="22"/>
        </w:rPr>
        <w:t xml:space="preserve">werk von </w:t>
      </w:r>
      <w:r w:rsidR="00285C8D" w:rsidRPr="00EB1611">
        <w:rPr>
          <w:rFonts w:ascii="Source Sans Pro" w:hAnsi="Source Sans Pro" w:cs="Arial"/>
          <w:bCs/>
          <w:sz w:val="22"/>
          <w:szCs w:val="22"/>
        </w:rPr>
        <w:t xml:space="preserve">Grossmann &amp; Berger, Anteon Immobilien, GREIF &amp; CONTZEN Immobilien, </w:t>
      </w:r>
      <w:proofErr w:type="spellStart"/>
      <w:r w:rsidR="00285C8D" w:rsidRPr="00EB1611">
        <w:rPr>
          <w:rFonts w:ascii="Source Sans Pro" w:hAnsi="Source Sans Pro" w:cs="Arial"/>
          <w:bCs/>
          <w:sz w:val="22"/>
          <w:szCs w:val="22"/>
        </w:rPr>
        <w:t>b</w:t>
      </w:r>
      <w:r w:rsidR="00285C8D">
        <w:rPr>
          <w:rFonts w:ascii="Source Sans Pro" w:hAnsi="Source Sans Pro" w:cs="Arial"/>
          <w:bCs/>
          <w:sz w:val="22"/>
          <w:szCs w:val="22"/>
        </w:rPr>
        <w:t>lackolive</w:t>
      </w:r>
      <w:proofErr w:type="spellEnd"/>
      <w:r w:rsidR="00285C8D">
        <w:rPr>
          <w:rFonts w:ascii="Source Sans Pro" w:hAnsi="Source Sans Pro" w:cs="Arial"/>
          <w:bCs/>
          <w:sz w:val="22"/>
          <w:szCs w:val="22"/>
        </w:rPr>
        <w:t xml:space="preserve"> und E &amp; G Real Estate.</w:t>
      </w:r>
      <w:r w:rsidR="00285C8D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1F412EB2" w14:textId="77777777" w:rsidR="00285C8D" w:rsidRDefault="00285C8D" w:rsidP="00EE60C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</w:p>
    <w:p w14:paraId="7360E022" w14:textId="5311A1AE" w:rsidR="00AB116B" w:rsidRDefault="00AB116B" w:rsidP="00EE60C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 w:rsidRPr="00285C8D">
        <w:rPr>
          <w:rFonts w:ascii="Source Sans Pro" w:hAnsi="Source Sans Pro" w:cs="Source Sans Pro"/>
          <w:i/>
          <w:color w:val="auto"/>
          <w:sz w:val="22"/>
          <w:szCs w:val="22"/>
        </w:rPr>
        <w:t>„</w:t>
      </w:r>
      <w:r w:rsidR="00673477">
        <w:rPr>
          <w:rFonts w:ascii="Source Sans Pro" w:hAnsi="Source Sans Pro" w:cs="Source Sans Pro"/>
          <w:i/>
          <w:color w:val="auto"/>
          <w:sz w:val="22"/>
          <w:szCs w:val="22"/>
        </w:rPr>
        <w:t>Das</w:t>
      </w:r>
      <w:r w:rsidR="00285C8D" w:rsidRPr="00285C8D">
        <w:rPr>
          <w:rFonts w:ascii="Source Sans Pro" w:hAnsi="Source Sans Pro" w:cs="Source Sans Pro"/>
          <w:i/>
          <w:color w:val="auto"/>
          <w:sz w:val="22"/>
          <w:szCs w:val="22"/>
        </w:rPr>
        <w:t xml:space="preserve"> Ergebnis wird </w:t>
      </w:r>
      <w:r w:rsidR="00285C8D">
        <w:rPr>
          <w:rFonts w:ascii="Source Sans Pro" w:hAnsi="Source Sans Pro" w:cs="Source Sans Pro"/>
          <w:i/>
          <w:color w:val="auto"/>
          <w:sz w:val="22"/>
          <w:szCs w:val="22"/>
        </w:rPr>
        <w:t xml:space="preserve">weiterhin </w:t>
      </w:r>
      <w:r w:rsidR="00285C8D" w:rsidRPr="00285C8D">
        <w:rPr>
          <w:rFonts w:ascii="Source Sans Pro" w:hAnsi="Source Sans Pro" w:cs="Source Sans Pro"/>
          <w:i/>
          <w:color w:val="auto"/>
          <w:sz w:val="22"/>
          <w:szCs w:val="22"/>
        </w:rPr>
        <w:t xml:space="preserve">von </w:t>
      </w:r>
      <w:r w:rsidR="00E61E7D">
        <w:rPr>
          <w:rFonts w:ascii="Source Sans Pro" w:hAnsi="Source Sans Pro" w:cs="Source Sans Pro"/>
          <w:i/>
          <w:color w:val="auto"/>
          <w:sz w:val="22"/>
          <w:szCs w:val="22"/>
        </w:rPr>
        <w:t xml:space="preserve">dem Volumenrekord zu Jahresbeginn sowie weiteren Sondereffekten </w:t>
      </w:r>
      <w:r w:rsidR="0035171C">
        <w:rPr>
          <w:rFonts w:ascii="Source Sans Pro" w:hAnsi="Source Sans Pro" w:cs="Source Sans Pro"/>
          <w:i/>
          <w:color w:val="auto"/>
          <w:sz w:val="22"/>
          <w:szCs w:val="22"/>
        </w:rPr>
        <w:t xml:space="preserve">an einzelnen Standorten </w:t>
      </w:r>
      <w:r w:rsidR="00285C8D" w:rsidRPr="00285C8D">
        <w:rPr>
          <w:rFonts w:ascii="Source Sans Pro" w:hAnsi="Source Sans Pro" w:cs="Source Sans Pro"/>
          <w:i/>
          <w:color w:val="auto"/>
          <w:sz w:val="22"/>
          <w:szCs w:val="22"/>
        </w:rPr>
        <w:t>getragen</w:t>
      </w:r>
      <w:r w:rsidR="00E61E7D">
        <w:rPr>
          <w:rFonts w:ascii="Source Sans Pro" w:hAnsi="Source Sans Pro" w:cs="Source Sans Pro"/>
          <w:i/>
          <w:color w:val="auto"/>
          <w:sz w:val="22"/>
          <w:szCs w:val="22"/>
        </w:rPr>
        <w:t xml:space="preserve">. </w:t>
      </w:r>
      <w:r w:rsidR="00673477">
        <w:rPr>
          <w:rFonts w:ascii="Source Sans Pro" w:hAnsi="Source Sans Pro" w:cs="Source Sans Pro"/>
          <w:i/>
          <w:color w:val="auto"/>
          <w:sz w:val="22"/>
          <w:szCs w:val="22"/>
        </w:rPr>
        <w:t>Tatsächlich finden momentan t</w:t>
      </w:r>
      <w:r w:rsidR="0035171C" w:rsidRPr="0035171C">
        <w:rPr>
          <w:rFonts w:ascii="Source Sans Pro" w:hAnsi="Source Sans Pro" w:cs="Source Sans Pro"/>
          <w:i/>
          <w:color w:val="auto"/>
          <w:sz w:val="22"/>
          <w:szCs w:val="22"/>
        </w:rPr>
        <w:t xml:space="preserve">rotz anhaltender Liquidität im Markt </w:t>
      </w:r>
      <w:r w:rsidR="001F602C">
        <w:rPr>
          <w:rFonts w:ascii="Source Sans Pro" w:hAnsi="Source Sans Pro" w:cs="Source Sans Pro"/>
          <w:i/>
          <w:color w:val="auto"/>
          <w:sz w:val="22"/>
          <w:szCs w:val="22"/>
        </w:rPr>
        <w:t>weniger</w:t>
      </w:r>
      <w:r w:rsidR="0035171C" w:rsidRPr="0035171C">
        <w:rPr>
          <w:rFonts w:ascii="Source Sans Pro" w:hAnsi="Source Sans Pro" w:cs="Source Sans Pro"/>
          <w:i/>
          <w:color w:val="auto"/>
          <w:sz w:val="22"/>
          <w:szCs w:val="22"/>
        </w:rPr>
        <w:t xml:space="preserve"> Abschlüsse statt. </w:t>
      </w:r>
      <w:r w:rsidR="0035171C">
        <w:rPr>
          <w:rFonts w:ascii="Source Sans Pro" w:hAnsi="Source Sans Pro" w:cs="Source Sans Pro"/>
          <w:i/>
          <w:color w:val="auto"/>
          <w:sz w:val="22"/>
          <w:szCs w:val="22"/>
        </w:rPr>
        <w:t>Die</w:t>
      </w:r>
      <w:r w:rsidR="00285C8D" w:rsidRPr="00285C8D">
        <w:rPr>
          <w:rFonts w:ascii="Source Sans Pro" w:hAnsi="Source Sans Pro" w:cs="Source Sans Pro"/>
          <w:i/>
          <w:color w:val="auto"/>
          <w:sz w:val="22"/>
          <w:szCs w:val="22"/>
        </w:rPr>
        <w:t xml:space="preserve"> Investoren </w:t>
      </w:r>
      <w:r w:rsidR="0035171C">
        <w:rPr>
          <w:rFonts w:ascii="Source Sans Pro" w:hAnsi="Source Sans Pro" w:cs="Source Sans Pro"/>
          <w:i/>
          <w:color w:val="auto"/>
          <w:sz w:val="22"/>
          <w:szCs w:val="22"/>
        </w:rPr>
        <w:t xml:space="preserve">sind </w:t>
      </w:r>
      <w:r w:rsidR="00285C8D" w:rsidRPr="00285C8D">
        <w:rPr>
          <w:rFonts w:ascii="Source Sans Pro" w:hAnsi="Source Sans Pro" w:cs="Source Sans Pro"/>
          <w:i/>
          <w:color w:val="auto"/>
          <w:sz w:val="22"/>
          <w:szCs w:val="22"/>
        </w:rPr>
        <w:t xml:space="preserve">angesichts der </w:t>
      </w:r>
      <w:r w:rsidR="00E61E7D">
        <w:rPr>
          <w:rFonts w:ascii="Source Sans Pro" w:hAnsi="Source Sans Pro" w:cs="Source Sans Pro"/>
          <w:i/>
          <w:color w:val="auto"/>
          <w:sz w:val="22"/>
          <w:szCs w:val="22"/>
        </w:rPr>
        <w:t>seit August wieder deutlich steigend</w:t>
      </w:r>
      <w:r w:rsidR="00285C8D">
        <w:rPr>
          <w:rFonts w:ascii="Source Sans Pro" w:hAnsi="Source Sans Pro" w:cs="Source Sans Pro"/>
          <w:i/>
          <w:color w:val="auto"/>
          <w:sz w:val="22"/>
          <w:szCs w:val="22"/>
        </w:rPr>
        <w:t>en</w:t>
      </w:r>
      <w:r w:rsidR="00285C8D" w:rsidRPr="00285C8D">
        <w:rPr>
          <w:rFonts w:ascii="Source Sans Pro" w:hAnsi="Source Sans Pro" w:cs="Source Sans Pro"/>
          <w:i/>
          <w:color w:val="auto"/>
          <w:sz w:val="22"/>
          <w:szCs w:val="22"/>
        </w:rPr>
        <w:t xml:space="preserve"> Zinsen </w:t>
      </w:r>
      <w:r w:rsidR="00064553">
        <w:rPr>
          <w:rFonts w:ascii="Source Sans Pro" w:hAnsi="Source Sans Pro" w:cs="Source Sans Pro"/>
          <w:i/>
          <w:color w:val="auto"/>
          <w:sz w:val="22"/>
          <w:szCs w:val="22"/>
        </w:rPr>
        <w:t xml:space="preserve">und der gesamtpolitischen Lage </w:t>
      </w:r>
      <w:r w:rsidR="00285C8D" w:rsidRPr="00285C8D">
        <w:rPr>
          <w:rFonts w:ascii="Source Sans Pro" w:hAnsi="Source Sans Pro" w:cs="Source Sans Pro"/>
          <w:i/>
          <w:color w:val="auto"/>
          <w:sz w:val="22"/>
          <w:szCs w:val="22"/>
        </w:rPr>
        <w:t>zurückhaltend“</w:t>
      </w:r>
      <w:r w:rsidR="00285C8D">
        <w:rPr>
          <w:rFonts w:ascii="Source Sans Pro" w:hAnsi="Source Sans Pro" w:cs="Source Sans Pro"/>
          <w:color w:val="auto"/>
          <w:sz w:val="22"/>
          <w:szCs w:val="22"/>
        </w:rPr>
        <w:t xml:space="preserve">, ordnet GPP-Sprecher </w:t>
      </w:r>
      <w:r w:rsidR="00285C8D" w:rsidRPr="00285C8D">
        <w:rPr>
          <w:rFonts w:ascii="Source Sans Pro" w:hAnsi="Source Sans Pro" w:cs="Source Sans Pro"/>
          <w:b/>
          <w:color w:val="auto"/>
          <w:sz w:val="22"/>
          <w:szCs w:val="22"/>
        </w:rPr>
        <w:t>Andreas Rehberg</w:t>
      </w:r>
      <w:r w:rsidR="00285C8D">
        <w:rPr>
          <w:rFonts w:ascii="Source Sans Pro" w:hAnsi="Source Sans Pro" w:cs="Source Sans Pro"/>
          <w:color w:val="auto"/>
          <w:sz w:val="22"/>
          <w:szCs w:val="22"/>
        </w:rPr>
        <w:t xml:space="preserve"> das Ergebnis ein.   </w:t>
      </w:r>
    </w:p>
    <w:p w14:paraId="0423D186" w14:textId="3FEE7BBB" w:rsidR="00895E64" w:rsidRDefault="00895E64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</w:p>
    <w:p w14:paraId="0E4CB111" w14:textId="5385C00A" w:rsidR="00A85640" w:rsidRPr="00895E64" w:rsidRDefault="00E61E7D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DEUTLICHE TAV-ZUWÄCHSE</w:t>
      </w:r>
      <w:r w:rsidR="00D32309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IN </w:t>
      </w:r>
      <w:r w:rsidR="00285C8D">
        <w:rPr>
          <w:rFonts w:ascii="Source Sans Pro" w:hAnsi="Source Sans Pro" w:cs="Source Sans Pro"/>
          <w:caps/>
          <w:color w:val="0086A8"/>
          <w:sz w:val="22"/>
          <w:szCs w:val="22"/>
        </w:rPr>
        <w:t>Hamburg und Düsseldorf</w:t>
      </w:r>
      <w:r w:rsidR="00821281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D43155" w14:textId="1F97ADF5" w:rsidR="00285C8D" w:rsidRDefault="00285C8D" w:rsidP="00821281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color w:val="auto"/>
          <w:sz w:val="22"/>
          <w:szCs w:val="22"/>
        </w:rPr>
        <w:t xml:space="preserve">In </w:t>
      </w:r>
      <w:r w:rsidR="009D0ED9">
        <w:rPr>
          <w:rFonts w:ascii="Source Sans Pro" w:hAnsi="Source Sans Pro" w:cs="Source Sans Pro"/>
          <w:color w:val="auto"/>
          <w:sz w:val="22"/>
          <w:szCs w:val="22"/>
        </w:rPr>
        <w:t xml:space="preserve">Hamburg </w:t>
      </w:r>
      <w:r w:rsidR="005B66EC">
        <w:rPr>
          <w:rFonts w:ascii="Source Sans Pro" w:hAnsi="Source Sans Pro" w:cs="Source Sans Pro"/>
          <w:color w:val="auto"/>
          <w:sz w:val="22"/>
          <w:szCs w:val="22"/>
        </w:rPr>
        <w:t xml:space="preserve">summierte sich 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das </w:t>
      </w:r>
      <w:r w:rsidRPr="003D346B">
        <w:rPr>
          <w:rFonts w:ascii="Source Sans Pro" w:hAnsi="Source Sans Pro" w:cs="Source Sans Pro"/>
          <w:color w:val="auto"/>
          <w:sz w:val="22"/>
          <w:szCs w:val="22"/>
        </w:rPr>
        <w:t xml:space="preserve">TAV </w:t>
      </w:r>
      <w:r w:rsidR="009D0ED9">
        <w:rPr>
          <w:rFonts w:ascii="Source Sans Pro" w:hAnsi="Source Sans Pro" w:cs="Source Sans Pro"/>
          <w:color w:val="auto"/>
          <w:sz w:val="22"/>
          <w:szCs w:val="22"/>
        </w:rPr>
        <w:t xml:space="preserve">zum Ende des 3. Quartals </w:t>
      </w:r>
      <w:r w:rsidR="005B66EC">
        <w:rPr>
          <w:rFonts w:ascii="Source Sans Pro" w:hAnsi="Source Sans Pro" w:cs="Source Sans Pro"/>
          <w:color w:val="auto"/>
          <w:sz w:val="22"/>
          <w:szCs w:val="22"/>
        </w:rPr>
        <w:t xml:space="preserve">auf </w:t>
      </w:r>
      <w:r w:rsidRPr="003D346B">
        <w:rPr>
          <w:rFonts w:ascii="Source Sans Pro" w:hAnsi="Source Sans Pro" w:cs="Source Sans Pro"/>
          <w:color w:val="auto"/>
          <w:sz w:val="22"/>
          <w:szCs w:val="22"/>
        </w:rPr>
        <w:t>rund 3,9 Mrd. €</w:t>
      </w:r>
      <w:r w:rsidR="005B66EC">
        <w:rPr>
          <w:rFonts w:ascii="Source Sans Pro" w:hAnsi="Source Sans Pro" w:cs="Source Sans Pro"/>
          <w:color w:val="auto"/>
          <w:sz w:val="22"/>
          <w:szCs w:val="22"/>
        </w:rPr>
        <w:t xml:space="preserve"> – ein A</w:t>
      </w:r>
      <w:r w:rsidR="003D346B" w:rsidRPr="003D346B">
        <w:rPr>
          <w:rFonts w:ascii="Source Sans Pro" w:hAnsi="Source Sans Pro" w:cs="Source Sans Pro"/>
          <w:color w:val="auto"/>
          <w:sz w:val="22"/>
          <w:szCs w:val="22"/>
        </w:rPr>
        <w:t>nstieg von 86 % gegenüber dem V</w:t>
      </w:r>
      <w:r w:rsidRPr="003D346B">
        <w:rPr>
          <w:rFonts w:ascii="Source Sans Pro" w:hAnsi="Source Sans Pro" w:cs="Source Sans Pro"/>
          <w:color w:val="auto"/>
          <w:sz w:val="22"/>
          <w:szCs w:val="22"/>
        </w:rPr>
        <w:t>orjahresniveau</w:t>
      </w:r>
      <w:r w:rsidR="005B66EC">
        <w:rPr>
          <w:rFonts w:ascii="Source Sans Pro" w:hAnsi="Source Sans Pro" w:cs="Source Sans Pro"/>
          <w:color w:val="auto"/>
          <w:sz w:val="22"/>
          <w:szCs w:val="22"/>
        </w:rPr>
        <w:t xml:space="preserve"> und </w:t>
      </w:r>
      <w:r w:rsidR="005B66EC" w:rsidRPr="005B66EC">
        <w:rPr>
          <w:rFonts w:ascii="Source Sans Pro" w:hAnsi="Source Sans Pro" w:cs="Source Sans Pro"/>
          <w:color w:val="auto"/>
          <w:sz w:val="22"/>
          <w:szCs w:val="22"/>
        </w:rPr>
        <w:t xml:space="preserve">das zweithöchste jemals zum Ende eines 3. Quartals </w:t>
      </w:r>
      <w:r w:rsidR="005B66EC">
        <w:rPr>
          <w:rFonts w:ascii="Source Sans Pro" w:hAnsi="Source Sans Pro" w:cs="Source Sans Pro"/>
          <w:color w:val="auto"/>
          <w:sz w:val="22"/>
          <w:szCs w:val="22"/>
        </w:rPr>
        <w:t xml:space="preserve">in Hamburg </w:t>
      </w:r>
      <w:r w:rsidR="005B66EC" w:rsidRPr="005B66EC">
        <w:rPr>
          <w:rFonts w:ascii="Source Sans Pro" w:hAnsi="Source Sans Pro" w:cs="Source Sans Pro"/>
          <w:color w:val="auto"/>
          <w:sz w:val="22"/>
          <w:szCs w:val="22"/>
        </w:rPr>
        <w:t>erfasste Ergebnis</w:t>
      </w:r>
      <w:r w:rsidR="005B66EC">
        <w:rPr>
          <w:rFonts w:ascii="Source Sans Pro" w:hAnsi="Source Sans Pro" w:cs="Source Sans Pro"/>
          <w:color w:val="auto"/>
          <w:sz w:val="22"/>
          <w:szCs w:val="22"/>
        </w:rPr>
        <w:t>. Das hohe TAV</w:t>
      </w:r>
      <w:r w:rsidRPr="003D346B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9D0ED9">
        <w:rPr>
          <w:rFonts w:ascii="Source Sans Pro" w:hAnsi="Source Sans Pro" w:cs="Source Sans Pro"/>
          <w:color w:val="auto"/>
          <w:sz w:val="22"/>
          <w:szCs w:val="22"/>
        </w:rPr>
        <w:t xml:space="preserve">in der Hansestadt </w:t>
      </w:r>
      <w:r w:rsidR="003D346B" w:rsidRPr="003D346B">
        <w:rPr>
          <w:rFonts w:ascii="Source Sans Pro" w:hAnsi="Source Sans Pro" w:cs="Source Sans Pro"/>
          <w:color w:val="auto"/>
          <w:sz w:val="22"/>
          <w:szCs w:val="22"/>
        </w:rPr>
        <w:t xml:space="preserve">ist auf Übernahmen und Projektbeteiligungen zurückzuführen, darunter die </w:t>
      </w:r>
      <w:proofErr w:type="spellStart"/>
      <w:r w:rsidR="003D346B" w:rsidRPr="003D346B">
        <w:rPr>
          <w:rFonts w:ascii="Source Sans Pro" w:hAnsi="Source Sans Pro" w:cs="Source Sans Pro"/>
          <w:color w:val="auto"/>
          <w:sz w:val="22"/>
          <w:szCs w:val="22"/>
        </w:rPr>
        <w:t>alstria</w:t>
      </w:r>
      <w:proofErr w:type="spellEnd"/>
      <w:r w:rsidR="003D346B" w:rsidRPr="003D346B">
        <w:rPr>
          <w:rFonts w:ascii="Source Sans Pro" w:hAnsi="Source Sans Pro" w:cs="Source Sans Pro"/>
          <w:color w:val="auto"/>
          <w:sz w:val="22"/>
          <w:szCs w:val="22"/>
        </w:rPr>
        <w:t xml:space="preserve">-Übernahme </w:t>
      </w:r>
      <w:r w:rsidR="00E61E7D" w:rsidRPr="00A432CB">
        <w:rPr>
          <w:rFonts w:ascii="Source Sans Pro" w:hAnsi="Source Sans Pro" w:cs="Arial"/>
          <w:bCs/>
          <w:sz w:val="22"/>
          <w:szCs w:val="22"/>
        </w:rPr>
        <w:t xml:space="preserve">durch </w:t>
      </w:r>
      <w:proofErr w:type="spellStart"/>
      <w:r w:rsidR="00E61E7D" w:rsidRPr="00A432CB">
        <w:rPr>
          <w:rFonts w:ascii="Source Sans Pro" w:hAnsi="Source Sans Pro" w:cs="Arial"/>
          <w:bCs/>
          <w:sz w:val="22"/>
          <w:szCs w:val="22"/>
        </w:rPr>
        <w:t>Brookfield</w:t>
      </w:r>
      <w:proofErr w:type="spellEnd"/>
      <w:r w:rsidR="00E61E7D" w:rsidRPr="00A432CB">
        <w:rPr>
          <w:rFonts w:ascii="Source Sans Pro" w:hAnsi="Source Sans Pro" w:cs="Arial"/>
          <w:bCs/>
          <w:sz w:val="22"/>
          <w:szCs w:val="22"/>
        </w:rPr>
        <w:t xml:space="preserve"> </w:t>
      </w:r>
      <w:r w:rsidR="00E61E7D">
        <w:rPr>
          <w:rFonts w:ascii="Source Sans Pro" w:hAnsi="Source Sans Pro" w:cs="Source Sans Pro"/>
          <w:color w:val="auto"/>
          <w:sz w:val="22"/>
          <w:szCs w:val="22"/>
        </w:rPr>
        <w:t xml:space="preserve">(Q1) </w:t>
      </w:r>
      <w:r w:rsidR="003D346B" w:rsidRPr="003D346B">
        <w:rPr>
          <w:rFonts w:ascii="Source Sans Pro" w:hAnsi="Source Sans Pro" w:cs="Source Sans Pro"/>
          <w:color w:val="auto"/>
          <w:sz w:val="22"/>
          <w:szCs w:val="22"/>
        </w:rPr>
        <w:t>und die Beteiligung</w:t>
      </w:r>
      <w:r w:rsidR="005B66EC">
        <w:rPr>
          <w:rFonts w:ascii="Source Sans Pro" w:hAnsi="Source Sans Pro" w:cs="Source Sans Pro"/>
          <w:color w:val="auto"/>
          <w:sz w:val="22"/>
          <w:szCs w:val="22"/>
        </w:rPr>
        <w:t xml:space="preserve"> von </w:t>
      </w:r>
      <w:proofErr w:type="spellStart"/>
      <w:r w:rsidR="005B66EC" w:rsidRPr="005B66EC">
        <w:rPr>
          <w:rFonts w:ascii="Source Sans Pro" w:hAnsi="Source Sans Pro" w:cs="Source Sans Pro"/>
          <w:color w:val="auto"/>
          <w:sz w:val="22"/>
          <w:szCs w:val="22"/>
        </w:rPr>
        <w:t>Commerz</w:t>
      </w:r>
      <w:proofErr w:type="spellEnd"/>
      <w:r w:rsidR="005B66EC" w:rsidRPr="005B66EC">
        <w:rPr>
          <w:rFonts w:ascii="Source Sans Pro" w:hAnsi="Source Sans Pro" w:cs="Source Sans Pro"/>
          <w:color w:val="auto"/>
          <w:sz w:val="22"/>
          <w:szCs w:val="22"/>
        </w:rPr>
        <w:t xml:space="preserve"> Real</w:t>
      </w:r>
      <w:r w:rsidR="003D346B" w:rsidRPr="003D346B">
        <w:rPr>
          <w:rFonts w:ascii="Source Sans Pro" w:hAnsi="Source Sans Pro" w:cs="Source Sans Pro"/>
          <w:color w:val="auto"/>
          <w:sz w:val="22"/>
          <w:szCs w:val="22"/>
        </w:rPr>
        <w:t xml:space="preserve"> a</w:t>
      </w:r>
      <w:r w:rsidR="00C857CF">
        <w:rPr>
          <w:rFonts w:ascii="Source Sans Pro" w:hAnsi="Source Sans Pro" w:cs="Source Sans Pro"/>
          <w:color w:val="auto"/>
          <w:sz w:val="22"/>
          <w:szCs w:val="22"/>
        </w:rPr>
        <w:t xml:space="preserve">m </w:t>
      </w:r>
      <w:proofErr w:type="spellStart"/>
      <w:r w:rsidR="003D346B" w:rsidRPr="003D346B">
        <w:rPr>
          <w:rFonts w:ascii="Source Sans Pro" w:hAnsi="Source Sans Pro" w:cs="Source Sans Pro"/>
          <w:color w:val="auto"/>
          <w:sz w:val="22"/>
          <w:szCs w:val="22"/>
        </w:rPr>
        <w:t>Elbtower</w:t>
      </w:r>
      <w:proofErr w:type="spellEnd"/>
      <w:r w:rsidR="00E61E7D">
        <w:rPr>
          <w:rFonts w:ascii="Source Sans Pro" w:hAnsi="Source Sans Pro" w:cs="Source Sans Pro"/>
          <w:color w:val="auto"/>
          <w:sz w:val="22"/>
          <w:szCs w:val="22"/>
        </w:rPr>
        <w:t xml:space="preserve"> (Q3)</w:t>
      </w:r>
      <w:r w:rsidR="003D346B" w:rsidRPr="003D346B">
        <w:rPr>
          <w:rFonts w:ascii="Source Sans Pro" w:hAnsi="Source Sans Pro" w:cs="Source Sans Pro"/>
          <w:color w:val="auto"/>
          <w:sz w:val="22"/>
          <w:szCs w:val="22"/>
        </w:rPr>
        <w:t>.</w:t>
      </w:r>
      <w:r w:rsidR="003D346B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3D346B" w:rsidRPr="003D346B">
        <w:rPr>
          <w:rFonts w:ascii="Source Sans Pro" w:hAnsi="Source Sans Pro" w:cs="Source Sans Pro"/>
          <w:color w:val="auto"/>
          <w:sz w:val="22"/>
          <w:szCs w:val="22"/>
        </w:rPr>
        <w:t xml:space="preserve">Düsseldorf erreichte einen </w:t>
      </w:r>
      <w:r w:rsidR="005B66EC">
        <w:rPr>
          <w:rFonts w:ascii="Source Sans Pro" w:hAnsi="Source Sans Pro" w:cs="Source Sans Pro"/>
          <w:color w:val="auto"/>
          <w:sz w:val="22"/>
          <w:szCs w:val="22"/>
        </w:rPr>
        <w:t xml:space="preserve">ebenfalls deutlichen </w:t>
      </w:r>
      <w:r w:rsidR="003D346B" w:rsidRPr="003D346B">
        <w:rPr>
          <w:rFonts w:ascii="Source Sans Pro" w:hAnsi="Source Sans Pro" w:cs="Source Sans Pro"/>
          <w:color w:val="auto"/>
          <w:sz w:val="22"/>
          <w:szCs w:val="22"/>
        </w:rPr>
        <w:t xml:space="preserve">TAV-Anstieg von </w:t>
      </w:r>
      <w:r w:rsidR="003D346B">
        <w:rPr>
          <w:rFonts w:ascii="Source Sans Pro" w:hAnsi="Source Sans Pro" w:cs="Source Sans Pro"/>
          <w:color w:val="auto"/>
          <w:sz w:val="22"/>
          <w:szCs w:val="22"/>
        </w:rPr>
        <w:t xml:space="preserve">79 % auf 2,4 Mrd. €. Hier </w:t>
      </w:r>
      <w:r w:rsidR="00064553">
        <w:rPr>
          <w:rFonts w:ascii="Source Sans Pro" w:hAnsi="Source Sans Pro" w:cs="Source Sans Pro"/>
          <w:color w:val="auto"/>
          <w:sz w:val="22"/>
          <w:szCs w:val="22"/>
        </w:rPr>
        <w:t>trugen</w:t>
      </w:r>
      <w:r w:rsidR="003D346B">
        <w:rPr>
          <w:rFonts w:ascii="Source Sans Pro" w:hAnsi="Source Sans Pro" w:cs="Source Sans Pro"/>
          <w:color w:val="auto"/>
          <w:sz w:val="22"/>
          <w:szCs w:val="22"/>
        </w:rPr>
        <w:t xml:space="preserve"> neben dem </w:t>
      </w:r>
      <w:proofErr w:type="spellStart"/>
      <w:r w:rsidR="003D346B">
        <w:rPr>
          <w:rFonts w:ascii="Source Sans Pro" w:hAnsi="Source Sans Pro" w:cs="Source Sans Pro"/>
          <w:color w:val="auto"/>
          <w:sz w:val="22"/>
          <w:szCs w:val="22"/>
        </w:rPr>
        <w:t>alstria</w:t>
      </w:r>
      <w:proofErr w:type="spellEnd"/>
      <w:r w:rsidR="003D346B">
        <w:rPr>
          <w:rFonts w:ascii="Source Sans Pro" w:hAnsi="Source Sans Pro" w:cs="Source Sans Pro"/>
          <w:color w:val="auto"/>
          <w:sz w:val="22"/>
          <w:szCs w:val="22"/>
        </w:rPr>
        <w:t xml:space="preserve">-Deal </w:t>
      </w:r>
      <w:r w:rsidR="000E716C">
        <w:rPr>
          <w:rFonts w:ascii="Source Sans Pro" w:hAnsi="Source Sans Pro" w:cs="Source Sans Pro"/>
          <w:color w:val="auto"/>
          <w:sz w:val="22"/>
          <w:szCs w:val="22"/>
        </w:rPr>
        <w:t>unter anderem</w:t>
      </w:r>
      <w:r w:rsidR="003D346B">
        <w:rPr>
          <w:rFonts w:ascii="Source Sans Pro" w:hAnsi="Source Sans Pro" w:cs="Source Sans Pro"/>
          <w:color w:val="auto"/>
          <w:sz w:val="22"/>
          <w:szCs w:val="22"/>
        </w:rPr>
        <w:t xml:space="preserve"> die Anteilsübernahme der </w:t>
      </w:r>
      <w:proofErr w:type="spellStart"/>
      <w:r w:rsidR="003D346B">
        <w:rPr>
          <w:rFonts w:ascii="Source Sans Pro" w:hAnsi="Source Sans Pro" w:cs="Source Sans Pro"/>
          <w:color w:val="auto"/>
          <w:sz w:val="22"/>
          <w:szCs w:val="22"/>
        </w:rPr>
        <w:t>Immofinanz</w:t>
      </w:r>
      <w:proofErr w:type="spellEnd"/>
      <w:r w:rsidR="003D346B">
        <w:rPr>
          <w:rFonts w:ascii="Source Sans Pro" w:hAnsi="Source Sans Pro" w:cs="Source Sans Pro"/>
          <w:color w:val="auto"/>
          <w:sz w:val="22"/>
          <w:szCs w:val="22"/>
        </w:rPr>
        <w:t xml:space="preserve"> durch CPI (Q1) sowie einige gr</w:t>
      </w:r>
      <w:r w:rsidR="005B66EC">
        <w:rPr>
          <w:rFonts w:ascii="Source Sans Pro" w:hAnsi="Source Sans Pro" w:cs="Source Sans Pro"/>
          <w:color w:val="auto"/>
          <w:sz w:val="22"/>
          <w:szCs w:val="22"/>
        </w:rPr>
        <w:t>ö</w:t>
      </w:r>
      <w:r w:rsidR="003D346B">
        <w:rPr>
          <w:rFonts w:ascii="Source Sans Pro" w:hAnsi="Source Sans Pro" w:cs="Source Sans Pro"/>
          <w:color w:val="auto"/>
          <w:sz w:val="22"/>
          <w:szCs w:val="22"/>
        </w:rPr>
        <w:t>ße</w:t>
      </w:r>
      <w:r w:rsidR="005B66EC">
        <w:rPr>
          <w:rFonts w:ascii="Source Sans Pro" w:hAnsi="Source Sans Pro" w:cs="Source Sans Pro"/>
          <w:color w:val="auto"/>
          <w:sz w:val="22"/>
          <w:szCs w:val="22"/>
        </w:rPr>
        <w:t>re</w:t>
      </w:r>
      <w:r w:rsidR="003D346B">
        <w:rPr>
          <w:rFonts w:ascii="Source Sans Pro" w:hAnsi="Source Sans Pro" w:cs="Source Sans Pro"/>
          <w:color w:val="auto"/>
          <w:sz w:val="22"/>
          <w:szCs w:val="22"/>
        </w:rPr>
        <w:t xml:space="preserve"> Grundstückstransaktionen </w:t>
      </w:r>
      <w:r w:rsidR="00E61E7D">
        <w:rPr>
          <w:rFonts w:ascii="Source Sans Pro" w:hAnsi="Source Sans Pro" w:cs="Source Sans Pro"/>
          <w:color w:val="auto"/>
          <w:sz w:val="22"/>
          <w:szCs w:val="22"/>
        </w:rPr>
        <w:t xml:space="preserve">im 3. Quartal </w:t>
      </w:r>
      <w:r w:rsidR="003D346B">
        <w:rPr>
          <w:rFonts w:ascii="Source Sans Pro" w:hAnsi="Source Sans Pro" w:cs="Source Sans Pro"/>
          <w:color w:val="auto"/>
          <w:sz w:val="22"/>
          <w:szCs w:val="22"/>
        </w:rPr>
        <w:t>zum</w:t>
      </w:r>
      <w:r w:rsidR="00064553">
        <w:rPr>
          <w:rFonts w:ascii="Source Sans Pro" w:hAnsi="Source Sans Pro" w:cs="Source Sans Pro"/>
          <w:color w:val="auto"/>
          <w:sz w:val="22"/>
          <w:szCs w:val="22"/>
        </w:rPr>
        <w:t xml:space="preserve"> starken Ergebnis bei. In Stuttgart lag das TAV bei rund 841 Mio. € und damit </w:t>
      </w:r>
      <w:r w:rsidR="00C857CF">
        <w:rPr>
          <w:rFonts w:ascii="Source Sans Pro" w:hAnsi="Source Sans Pro" w:cs="Source Sans Pro"/>
          <w:color w:val="auto"/>
          <w:sz w:val="22"/>
          <w:szCs w:val="22"/>
        </w:rPr>
        <w:t xml:space="preserve">ebenfalls leicht </w:t>
      </w:r>
      <w:r w:rsidR="00064553">
        <w:rPr>
          <w:rFonts w:ascii="Source Sans Pro" w:hAnsi="Source Sans Pro" w:cs="Source Sans Pro"/>
          <w:color w:val="auto"/>
          <w:sz w:val="22"/>
          <w:szCs w:val="22"/>
        </w:rPr>
        <w:t>über dem Vorjahreswert</w:t>
      </w:r>
      <w:r w:rsidR="00C857CF">
        <w:rPr>
          <w:rFonts w:ascii="Source Sans Pro" w:hAnsi="Source Sans Pro" w:cs="Source Sans Pro"/>
          <w:color w:val="auto"/>
          <w:sz w:val="22"/>
          <w:szCs w:val="22"/>
        </w:rPr>
        <w:t xml:space="preserve"> (+7 %)</w:t>
      </w:r>
      <w:r w:rsidR="00AA0703">
        <w:rPr>
          <w:rFonts w:ascii="Source Sans Pro" w:hAnsi="Source Sans Pro" w:cs="Source Sans Pro"/>
          <w:color w:val="auto"/>
          <w:sz w:val="22"/>
          <w:szCs w:val="22"/>
        </w:rPr>
        <w:t xml:space="preserve">, was insbesondere auf den starken Jahresauftakt </w:t>
      </w:r>
      <w:r w:rsidR="00AC6CC1">
        <w:rPr>
          <w:rFonts w:ascii="Source Sans Pro" w:hAnsi="Source Sans Pro" w:cs="Source Sans Pro"/>
          <w:color w:val="auto"/>
          <w:sz w:val="22"/>
          <w:szCs w:val="22"/>
        </w:rPr>
        <w:t>durch den</w:t>
      </w:r>
      <w:r w:rsidR="00EC1434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proofErr w:type="spellStart"/>
      <w:r w:rsidR="00EC1434">
        <w:rPr>
          <w:rFonts w:ascii="Source Sans Pro" w:hAnsi="Source Sans Pro" w:cs="Source Sans Pro"/>
          <w:color w:val="auto"/>
          <w:sz w:val="22"/>
          <w:szCs w:val="22"/>
        </w:rPr>
        <w:t>alstria</w:t>
      </w:r>
      <w:proofErr w:type="spellEnd"/>
      <w:r w:rsidR="00EC1434">
        <w:rPr>
          <w:rFonts w:ascii="Source Sans Pro" w:hAnsi="Source Sans Pro" w:cs="Source Sans Pro"/>
          <w:color w:val="auto"/>
          <w:sz w:val="22"/>
          <w:szCs w:val="22"/>
        </w:rPr>
        <w:t xml:space="preserve">-Deal </w:t>
      </w:r>
      <w:r w:rsidR="00AA0703">
        <w:rPr>
          <w:rFonts w:ascii="Source Sans Pro" w:hAnsi="Source Sans Pro" w:cs="Source Sans Pro"/>
          <w:color w:val="auto"/>
          <w:sz w:val="22"/>
          <w:szCs w:val="22"/>
        </w:rPr>
        <w:t>zurückzuführen ist</w:t>
      </w:r>
      <w:r w:rsidR="00064553">
        <w:rPr>
          <w:rFonts w:ascii="Source Sans Pro" w:hAnsi="Source Sans Pro" w:cs="Source Sans Pro"/>
          <w:color w:val="auto"/>
          <w:sz w:val="22"/>
          <w:szCs w:val="22"/>
        </w:rPr>
        <w:t>.</w:t>
      </w:r>
      <w:r w:rsidR="00C857CF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AA0703">
        <w:rPr>
          <w:rFonts w:ascii="Source Sans Pro" w:hAnsi="Source Sans Pro" w:cs="Source Sans Pro"/>
          <w:color w:val="auto"/>
          <w:sz w:val="22"/>
          <w:szCs w:val="22"/>
        </w:rPr>
        <w:t xml:space="preserve">Betrachtet man nur das 3. Quartal, so wurde </w:t>
      </w:r>
      <w:r w:rsidR="00C857CF">
        <w:rPr>
          <w:rFonts w:ascii="Source Sans Pro" w:hAnsi="Source Sans Pro" w:cs="Source Sans Pro"/>
          <w:sz w:val="22"/>
          <w:szCs w:val="22"/>
        </w:rPr>
        <w:t>in der baden-</w:t>
      </w:r>
      <w:r w:rsidR="00C857CF">
        <w:rPr>
          <w:rFonts w:ascii="Source Sans Pro" w:hAnsi="Source Sans Pro" w:cs="Source Sans Pro"/>
          <w:sz w:val="22"/>
          <w:szCs w:val="22"/>
        </w:rPr>
        <w:lastRenderedPageBreak/>
        <w:t xml:space="preserve">württembergischen Landeshauptstadt </w:t>
      </w:r>
      <w:r w:rsidR="001A26C5">
        <w:rPr>
          <w:rFonts w:ascii="Source Sans Pro" w:hAnsi="Source Sans Pro" w:cs="Source Sans Pro"/>
          <w:sz w:val="22"/>
          <w:szCs w:val="22"/>
        </w:rPr>
        <w:t xml:space="preserve">mit 199 Mio. € </w:t>
      </w:r>
      <w:r w:rsidR="00C857CF">
        <w:rPr>
          <w:rFonts w:ascii="Source Sans Pro" w:hAnsi="Source Sans Pro" w:cs="Source Sans Pro"/>
          <w:sz w:val="22"/>
          <w:szCs w:val="22"/>
        </w:rPr>
        <w:t>deutlich weniger umgesetzt als im Vorjahr</w:t>
      </w:r>
      <w:r w:rsidR="00AA0703">
        <w:rPr>
          <w:rFonts w:ascii="Source Sans Pro" w:hAnsi="Source Sans Pro" w:cs="Source Sans Pro"/>
          <w:sz w:val="22"/>
          <w:szCs w:val="22"/>
        </w:rPr>
        <w:t xml:space="preserve"> (-41 %)</w:t>
      </w:r>
      <w:r w:rsidR="00C857CF">
        <w:rPr>
          <w:rFonts w:ascii="Source Sans Pro" w:hAnsi="Source Sans Pro" w:cs="Source Sans Pro"/>
          <w:sz w:val="22"/>
          <w:szCs w:val="22"/>
        </w:rPr>
        <w:t>.</w:t>
      </w:r>
    </w:p>
    <w:p w14:paraId="49D779C0" w14:textId="332561A8" w:rsidR="00AA0703" w:rsidRDefault="00AA0703" w:rsidP="00821281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</w:p>
    <w:p w14:paraId="0A553386" w14:textId="73FF90BC" w:rsidR="001C44E5" w:rsidRDefault="00AA0703" w:rsidP="00821281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 w:rsidRPr="00AA0703">
        <w:rPr>
          <w:rFonts w:ascii="Source Sans Pro" w:hAnsi="Source Sans Pro" w:cs="Source Sans Pro"/>
          <w:color w:val="auto"/>
          <w:sz w:val="22"/>
          <w:szCs w:val="22"/>
        </w:rPr>
        <w:t xml:space="preserve">An den übrigen Top-7-Standorten 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ist die Wartestimmung </w:t>
      </w:r>
      <w:r w:rsidR="007446A7">
        <w:rPr>
          <w:rFonts w:ascii="Source Sans Pro" w:hAnsi="Source Sans Pro" w:cs="Source Sans Pro"/>
          <w:color w:val="auto"/>
          <w:sz w:val="22"/>
          <w:szCs w:val="22"/>
        </w:rPr>
        <w:t xml:space="preserve">der Investoren 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bereits deutlicher </w:t>
      </w:r>
      <w:r w:rsidR="00184AA3">
        <w:rPr>
          <w:rFonts w:ascii="Source Sans Pro" w:hAnsi="Source Sans Pro" w:cs="Source Sans Pro"/>
          <w:color w:val="auto"/>
          <w:sz w:val="22"/>
          <w:szCs w:val="22"/>
        </w:rPr>
        <w:t>aus</w:t>
      </w:r>
      <w:r w:rsidR="007446A7">
        <w:rPr>
          <w:rFonts w:ascii="Source Sans Pro" w:hAnsi="Source Sans Pro" w:cs="Source Sans Pro"/>
          <w:color w:val="auto"/>
          <w:sz w:val="22"/>
          <w:szCs w:val="22"/>
        </w:rPr>
        <w:t xml:space="preserve"> den Quartalsergebnis</w:t>
      </w:r>
      <w:r w:rsidR="007D36B5">
        <w:rPr>
          <w:rFonts w:ascii="Source Sans Pro" w:hAnsi="Source Sans Pro" w:cs="Source Sans Pro"/>
          <w:color w:val="auto"/>
          <w:sz w:val="22"/>
          <w:szCs w:val="22"/>
        </w:rPr>
        <w:t>sen abzulesen. Am stärkst</w:t>
      </w:r>
      <w:r w:rsidR="007446A7">
        <w:rPr>
          <w:rFonts w:ascii="Source Sans Pro" w:hAnsi="Source Sans Pro" w:cs="Source Sans Pro"/>
          <w:color w:val="auto"/>
          <w:sz w:val="22"/>
          <w:szCs w:val="22"/>
        </w:rPr>
        <w:t xml:space="preserve">en fiel der TAV-Rückgang in München aus </w:t>
      </w:r>
      <w:r>
        <w:rPr>
          <w:rFonts w:ascii="Source Sans Pro" w:hAnsi="Source Sans Pro" w:cs="Source Sans Pro"/>
          <w:color w:val="auto"/>
          <w:sz w:val="22"/>
          <w:szCs w:val="22"/>
        </w:rPr>
        <w:t>(-33 % auf 2,5 Mrd. €)</w:t>
      </w:r>
      <w:r w:rsidR="007D36B5">
        <w:rPr>
          <w:rFonts w:ascii="Source Sans Pro" w:hAnsi="Source Sans Pro" w:cs="Source Sans Pro"/>
          <w:color w:val="auto"/>
          <w:sz w:val="22"/>
          <w:szCs w:val="22"/>
        </w:rPr>
        <w:t>, was insbesondere auf das starke Vorjahr zurückzuführen ist</w:t>
      </w:r>
      <w:r w:rsidR="007446A7">
        <w:rPr>
          <w:rFonts w:ascii="Source Sans Pro" w:hAnsi="Source Sans Pro" w:cs="Source Sans Pro"/>
          <w:color w:val="auto"/>
          <w:sz w:val="22"/>
          <w:szCs w:val="22"/>
        </w:rPr>
        <w:t>. Die bayerische Metropole profitiert</w:t>
      </w:r>
      <w:r w:rsidR="00B745A1">
        <w:rPr>
          <w:rFonts w:ascii="Source Sans Pro" w:hAnsi="Source Sans Pro" w:cs="Source Sans Pro"/>
          <w:color w:val="auto"/>
          <w:sz w:val="22"/>
          <w:szCs w:val="22"/>
        </w:rPr>
        <w:t>e</w:t>
      </w:r>
      <w:r w:rsidR="007446A7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8053AB">
        <w:rPr>
          <w:rFonts w:ascii="Source Sans Pro" w:hAnsi="Source Sans Pro" w:cs="Source Sans Pro"/>
          <w:color w:val="auto"/>
          <w:sz w:val="22"/>
          <w:szCs w:val="22"/>
        </w:rPr>
        <w:t xml:space="preserve">zudem </w:t>
      </w:r>
      <w:r w:rsidR="007446A7">
        <w:rPr>
          <w:rFonts w:ascii="Source Sans Pro" w:hAnsi="Source Sans Pro" w:cs="Source Sans Pro"/>
          <w:color w:val="auto"/>
          <w:sz w:val="22"/>
          <w:szCs w:val="22"/>
        </w:rPr>
        <w:t xml:space="preserve">als einziger Top-7-Standort nicht vom </w:t>
      </w:r>
      <w:proofErr w:type="spellStart"/>
      <w:r w:rsidR="007446A7">
        <w:rPr>
          <w:rFonts w:ascii="Source Sans Pro" w:hAnsi="Source Sans Pro" w:cs="Source Sans Pro"/>
          <w:color w:val="auto"/>
          <w:sz w:val="22"/>
          <w:szCs w:val="22"/>
        </w:rPr>
        <w:t>alstria</w:t>
      </w:r>
      <w:proofErr w:type="spellEnd"/>
      <w:r w:rsidR="007446A7">
        <w:rPr>
          <w:rFonts w:ascii="Source Sans Pro" w:hAnsi="Source Sans Pro" w:cs="Source Sans Pro"/>
          <w:color w:val="auto"/>
          <w:sz w:val="22"/>
          <w:szCs w:val="22"/>
        </w:rPr>
        <w:t xml:space="preserve">-Sondereffekt. </w:t>
      </w:r>
      <w:r w:rsidR="00505180">
        <w:rPr>
          <w:rFonts w:ascii="Source Sans Pro" w:hAnsi="Source Sans Pro" w:cs="Source Sans Pro"/>
          <w:color w:val="auto"/>
          <w:sz w:val="22"/>
          <w:szCs w:val="22"/>
        </w:rPr>
        <w:t xml:space="preserve">Ähnlich stark </w:t>
      </w:r>
      <w:r w:rsidR="00B745A1">
        <w:rPr>
          <w:rFonts w:ascii="Source Sans Pro" w:hAnsi="Source Sans Pro" w:cs="Source Sans Pro"/>
          <w:color w:val="auto"/>
          <w:sz w:val="22"/>
          <w:szCs w:val="22"/>
        </w:rPr>
        <w:t>war</w:t>
      </w:r>
      <w:r w:rsidR="00505180">
        <w:rPr>
          <w:rFonts w:ascii="Source Sans Pro" w:hAnsi="Source Sans Pro" w:cs="Source Sans Pro"/>
          <w:color w:val="auto"/>
          <w:sz w:val="22"/>
          <w:szCs w:val="22"/>
        </w:rPr>
        <w:t xml:space="preserve"> der Rückgang in </w:t>
      </w:r>
      <w:r>
        <w:rPr>
          <w:rFonts w:ascii="Source Sans Pro" w:hAnsi="Source Sans Pro" w:cs="Source Sans Pro"/>
          <w:color w:val="auto"/>
          <w:sz w:val="22"/>
          <w:szCs w:val="22"/>
        </w:rPr>
        <w:t>Köln (-29</w:t>
      </w:r>
      <w:r w:rsidR="007446A7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>
        <w:rPr>
          <w:rFonts w:ascii="Source Sans Pro" w:hAnsi="Source Sans Pro" w:cs="Source Sans Pro"/>
          <w:color w:val="auto"/>
          <w:sz w:val="22"/>
          <w:szCs w:val="22"/>
        </w:rPr>
        <w:t>% auf 850 Mio. €).</w:t>
      </w:r>
      <w:r w:rsidR="00505180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1C44E5">
        <w:rPr>
          <w:rFonts w:ascii="Source Sans Pro" w:hAnsi="Source Sans Pro" w:cs="Source Sans Pro"/>
          <w:color w:val="auto"/>
          <w:sz w:val="22"/>
          <w:szCs w:val="22"/>
        </w:rPr>
        <w:t xml:space="preserve">Konnte Frankfurt das Vorjahresergebnis zum Halbjahr aufgrund des </w:t>
      </w:r>
      <w:proofErr w:type="spellStart"/>
      <w:r w:rsidR="001C44E5">
        <w:rPr>
          <w:rFonts w:ascii="Source Sans Pro" w:hAnsi="Source Sans Pro" w:cs="Source Sans Pro"/>
          <w:color w:val="auto"/>
          <w:sz w:val="22"/>
          <w:szCs w:val="22"/>
        </w:rPr>
        <w:t>alstria</w:t>
      </w:r>
      <w:proofErr w:type="spellEnd"/>
      <w:r w:rsidR="001C44E5">
        <w:rPr>
          <w:rFonts w:ascii="Source Sans Pro" w:hAnsi="Source Sans Pro" w:cs="Source Sans Pro"/>
          <w:color w:val="auto"/>
          <w:sz w:val="22"/>
          <w:szCs w:val="22"/>
        </w:rPr>
        <w:t xml:space="preserve">-Sondereffekts und des Marienturm-Deals </w:t>
      </w:r>
      <w:r w:rsidR="009D0ED9">
        <w:rPr>
          <w:rFonts w:ascii="Source Sans Pro" w:hAnsi="Source Sans Pro" w:cs="Source Sans Pro"/>
          <w:color w:val="auto"/>
          <w:sz w:val="22"/>
          <w:szCs w:val="22"/>
        </w:rPr>
        <w:t xml:space="preserve">(Q1) </w:t>
      </w:r>
      <w:r w:rsidR="001C44E5">
        <w:rPr>
          <w:rFonts w:ascii="Source Sans Pro" w:hAnsi="Source Sans Pro" w:cs="Source Sans Pro"/>
          <w:color w:val="auto"/>
          <w:sz w:val="22"/>
          <w:szCs w:val="22"/>
        </w:rPr>
        <w:t xml:space="preserve">noch um 75 % überbieten, so lag das TAV zum Ende des 3. Quartals leicht unter dem Vorjahresniveau (-4 % auf 4,2 Mrd. €). </w:t>
      </w:r>
      <w:r w:rsidR="005512C5">
        <w:rPr>
          <w:rFonts w:ascii="Source Sans Pro" w:hAnsi="Source Sans Pro" w:cs="Source Sans Pro"/>
          <w:color w:val="auto"/>
          <w:sz w:val="22"/>
          <w:szCs w:val="22"/>
        </w:rPr>
        <w:t xml:space="preserve">Von Juli bis September wurden in der Mainmetropole Immobilieninvestments für lediglich rund 625 Mio. € abgeschlossen – ein Rückgang von 74 % gegenüber dem Vorjahr. </w:t>
      </w:r>
      <w:r w:rsidR="007D36B5">
        <w:rPr>
          <w:rFonts w:ascii="Source Sans Pro" w:hAnsi="Source Sans Pro" w:cs="Source Sans Pro"/>
          <w:color w:val="auto"/>
          <w:sz w:val="22"/>
          <w:szCs w:val="22"/>
        </w:rPr>
        <w:t>Das Verkaufsvolumen in Berlin (-2 % auf 6,3 Mrd. €) lag dank einiger größerer Transaktionen nur geringfügig unter dem Vorjahreswert.</w:t>
      </w:r>
    </w:p>
    <w:p w14:paraId="7DCA8A5E" w14:textId="77777777" w:rsidR="001C44E5" w:rsidRDefault="001C44E5" w:rsidP="00821281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</w:p>
    <w:p w14:paraId="3996DA89" w14:textId="0A678D78" w:rsidR="00BF5E1D" w:rsidRPr="00895E64" w:rsidRDefault="00F53EDB" w:rsidP="00BF5E1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STEIGENDE RENDITEN AN ALLEN TOP-7-STANDORTEN </w:t>
      </w:r>
    </w:p>
    <w:p w14:paraId="70304EA2" w14:textId="19E59A21" w:rsidR="00000F50" w:rsidRDefault="001A145B" w:rsidP="00BF5E1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Die über viele Jahre anhaltende Renditekompression scheint vorerst gestoppt. </w:t>
      </w:r>
      <w:r w:rsidRPr="001A145B">
        <w:rPr>
          <w:rFonts w:ascii="Source Sans Pro" w:hAnsi="Source Sans Pro" w:cs="Source Sans Pro"/>
          <w:b/>
          <w:sz w:val="22"/>
          <w:szCs w:val="22"/>
        </w:rPr>
        <w:t>Rehberg</w:t>
      </w:r>
      <w:r w:rsidRPr="001A145B">
        <w:rPr>
          <w:rFonts w:ascii="Source Sans Pro" w:hAnsi="Source Sans Pro" w:cs="Source Sans Pro"/>
          <w:sz w:val="22"/>
          <w:szCs w:val="22"/>
        </w:rPr>
        <w:t>:</w:t>
      </w:r>
      <w:r>
        <w:rPr>
          <w:rFonts w:ascii="Source Sans Pro" w:hAnsi="Source Sans Pro" w:cs="Source Sans Pro"/>
          <w:sz w:val="22"/>
          <w:szCs w:val="22"/>
        </w:rPr>
        <w:t xml:space="preserve"> </w:t>
      </w:r>
      <w:r w:rsidRPr="001A145B">
        <w:rPr>
          <w:rFonts w:ascii="Source Sans Pro" w:hAnsi="Source Sans Pro" w:cs="Source Sans Pro"/>
          <w:i/>
          <w:sz w:val="22"/>
          <w:szCs w:val="22"/>
        </w:rPr>
        <w:t>„</w:t>
      </w:r>
      <w:r w:rsidR="001A26C5">
        <w:rPr>
          <w:rFonts w:ascii="Source Sans Pro" w:hAnsi="Source Sans Pro" w:cs="Source Sans Pro"/>
          <w:i/>
          <w:sz w:val="22"/>
          <w:szCs w:val="22"/>
        </w:rPr>
        <w:t>Die Spitzenrenditen für Büro- und Logistikobjekte bewegen sich nach Jahren des Rückgangs wieder nach oben.</w:t>
      </w:r>
      <w:r w:rsidRPr="001A145B">
        <w:rPr>
          <w:rFonts w:ascii="Source Sans Pro" w:hAnsi="Source Sans Pro" w:cs="Source Sans Pro"/>
          <w:i/>
          <w:sz w:val="22"/>
          <w:szCs w:val="22"/>
        </w:rPr>
        <w:t>“</w:t>
      </w:r>
      <w:r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FB0D96">
        <w:rPr>
          <w:rFonts w:ascii="Source Sans Pro" w:hAnsi="Source Sans Pro" w:cs="Source Sans Pro"/>
          <w:sz w:val="22"/>
          <w:szCs w:val="22"/>
        </w:rPr>
        <w:t xml:space="preserve">Im Vorjahresvergleich stieg die durchschnittliche </w:t>
      </w:r>
      <w:r w:rsidR="00927A31">
        <w:rPr>
          <w:rFonts w:ascii="Source Sans Pro" w:hAnsi="Source Sans Pro" w:cs="Source Sans Pro"/>
          <w:sz w:val="22"/>
          <w:szCs w:val="22"/>
        </w:rPr>
        <w:t>Top-7-</w:t>
      </w:r>
      <w:r w:rsidR="00FB0D96">
        <w:rPr>
          <w:rFonts w:ascii="Source Sans Pro" w:hAnsi="Source Sans Pro" w:cs="Source Sans Pro"/>
          <w:sz w:val="22"/>
          <w:szCs w:val="22"/>
        </w:rPr>
        <w:t xml:space="preserve">Spitzenrendite für Büro-Immobilien um 0,31 %-Punkte auf 3,11 % an. </w:t>
      </w:r>
      <w:r w:rsidR="005512C5">
        <w:rPr>
          <w:rFonts w:ascii="Source Sans Pro" w:hAnsi="Source Sans Pro" w:cs="Source Sans Pro"/>
          <w:sz w:val="22"/>
          <w:szCs w:val="22"/>
        </w:rPr>
        <w:t>Am deutlichsten fiel der Anstieg in Stuttgart aus, wo die Spitzenrendite für Büros 3,5</w:t>
      </w:r>
      <w:r w:rsidR="00B740CF">
        <w:rPr>
          <w:rFonts w:ascii="Source Sans Pro" w:hAnsi="Source Sans Pro" w:cs="Source Sans Pro"/>
          <w:sz w:val="22"/>
          <w:szCs w:val="22"/>
        </w:rPr>
        <w:t>0</w:t>
      </w:r>
      <w:r w:rsidR="005512C5">
        <w:rPr>
          <w:rFonts w:ascii="Source Sans Pro" w:hAnsi="Source Sans Pro" w:cs="Source Sans Pro"/>
          <w:sz w:val="22"/>
          <w:szCs w:val="22"/>
        </w:rPr>
        <w:t xml:space="preserve"> % </w:t>
      </w:r>
      <w:r w:rsidR="00E16F06">
        <w:rPr>
          <w:rFonts w:ascii="Source Sans Pro" w:hAnsi="Source Sans Pro" w:cs="Source Sans Pro"/>
          <w:sz w:val="22"/>
          <w:szCs w:val="22"/>
        </w:rPr>
        <w:t>(+0,7 %-Punkte) erreichte</w:t>
      </w:r>
      <w:r w:rsidR="00496CB5">
        <w:rPr>
          <w:rFonts w:ascii="Source Sans Pro" w:hAnsi="Source Sans Pro" w:cs="Source Sans Pro"/>
          <w:sz w:val="22"/>
          <w:szCs w:val="22"/>
        </w:rPr>
        <w:t xml:space="preserve">. </w:t>
      </w:r>
      <w:r w:rsidR="00FB0D96">
        <w:rPr>
          <w:rFonts w:ascii="Source Sans Pro" w:hAnsi="Source Sans Pro" w:cs="Source Sans Pro"/>
          <w:sz w:val="22"/>
          <w:szCs w:val="22"/>
        </w:rPr>
        <w:t xml:space="preserve">Der Anstieg der </w:t>
      </w:r>
      <w:r w:rsidR="00927A31">
        <w:rPr>
          <w:rFonts w:ascii="Source Sans Pro" w:hAnsi="Source Sans Pro" w:cs="Source Sans Pro"/>
          <w:sz w:val="22"/>
          <w:szCs w:val="22"/>
        </w:rPr>
        <w:t>Top-7-</w:t>
      </w:r>
      <w:r w:rsidR="00FB0D96">
        <w:rPr>
          <w:rFonts w:ascii="Source Sans Pro" w:hAnsi="Source Sans Pro" w:cs="Source Sans Pro"/>
          <w:sz w:val="22"/>
          <w:szCs w:val="22"/>
        </w:rPr>
        <w:t xml:space="preserve">Spitzenrendite für Industrie- und Logistikimmobilien wird im Vergleich mit dem Vorquartal deutlich: Lag sie zum Halbjahr </w:t>
      </w:r>
      <w:r w:rsidR="00E16F06">
        <w:rPr>
          <w:rFonts w:ascii="Source Sans Pro" w:hAnsi="Source Sans Pro" w:cs="Source Sans Pro"/>
          <w:sz w:val="22"/>
          <w:szCs w:val="22"/>
        </w:rPr>
        <w:t xml:space="preserve">2022 </w:t>
      </w:r>
      <w:r w:rsidR="00FB0D96">
        <w:rPr>
          <w:rFonts w:ascii="Source Sans Pro" w:hAnsi="Source Sans Pro" w:cs="Source Sans Pro"/>
          <w:sz w:val="22"/>
          <w:szCs w:val="22"/>
        </w:rPr>
        <w:t>noch bei 3,36 %, stieg sie zum Ende des 3. Quartals auf 3,56 %</w:t>
      </w:r>
      <w:r w:rsidR="00792F6B">
        <w:rPr>
          <w:rFonts w:ascii="Source Sans Pro" w:hAnsi="Source Sans Pro" w:cs="Source Sans Pro"/>
          <w:sz w:val="22"/>
          <w:szCs w:val="22"/>
        </w:rPr>
        <w:t xml:space="preserve"> und damit um 0,2 %-Punkte innerhalb eines Quartals</w:t>
      </w:r>
      <w:r w:rsidR="00FB0D96">
        <w:rPr>
          <w:rFonts w:ascii="Source Sans Pro" w:hAnsi="Source Sans Pro" w:cs="Source Sans Pro"/>
          <w:sz w:val="22"/>
          <w:szCs w:val="22"/>
        </w:rPr>
        <w:t xml:space="preserve">. </w:t>
      </w:r>
      <w:r w:rsidR="00792F6B">
        <w:rPr>
          <w:rFonts w:ascii="Source Sans Pro" w:hAnsi="Source Sans Pro" w:cs="Source Sans Pro"/>
          <w:sz w:val="22"/>
          <w:szCs w:val="22"/>
        </w:rPr>
        <w:t>Den deutlichsten Anstieg um 0,3 %-Punkte im Vergleich zum Vorjahreswert wiesen Frankfurt (3,9</w:t>
      </w:r>
      <w:r w:rsidR="00B740CF">
        <w:rPr>
          <w:rFonts w:ascii="Source Sans Pro" w:hAnsi="Source Sans Pro" w:cs="Source Sans Pro"/>
          <w:sz w:val="22"/>
          <w:szCs w:val="22"/>
        </w:rPr>
        <w:t>0</w:t>
      </w:r>
      <w:r w:rsidR="00792F6B">
        <w:rPr>
          <w:rFonts w:ascii="Source Sans Pro" w:hAnsi="Source Sans Pro" w:cs="Source Sans Pro"/>
          <w:sz w:val="22"/>
          <w:szCs w:val="22"/>
        </w:rPr>
        <w:t xml:space="preserve"> %) und Stuttgart (4,0</w:t>
      </w:r>
      <w:r w:rsidR="00B740CF">
        <w:rPr>
          <w:rFonts w:ascii="Source Sans Pro" w:hAnsi="Source Sans Pro" w:cs="Source Sans Pro"/>
          <w:sz w:val="22"/>
          <w:szCs w:val="22"/>
        </w:rPr>
        <w:t>0</w:t>
      </w:r>
      <w:r w:rsidR="00792F6B">
        <w:rPr>
          <w:rFonts w:ascii="Source Sans Pro" w:hAnsi="Source Sans Pro" w:cs="Source Sans Pro"/>
          <w:sz w:val="22"/>
          <w:szCs w:val="22"/>
        </w:rPr>
        <w:t xml:space="preserve"> %) auf. </w:t>
      </w:r>
    </w:p>
    <w:p w14:paraId="43B8E48C" w14:textId="77777777" w:rsidR="00000F50" w:rsidRDefault="00000F50" w:rsidP="00BF5E1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007179A7" w14:textId="5255230F" w:rsidR="00D32309" w:rsidRPr="00792F6B" w:rsidRDefault="00E16F06" w:rsidP="00BF5E1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D</w:t>
      </w:r>
      <w:r w:rsidR="00705671">
        <w:rPr>
          <w:rFonts w:ascii="Source Sans Pro" w:hAnsi="Source Sans Pro" w:cs="Source Sans Pro"/>
          <w:sz w:val="22"/>
          <w:szCs w:val="22"/>
        </w:rPr>
        <w:t xml:space="preserve">ie übrigen Marktparameter sind weiterhin </w:t>
      </w:r>
      <w:r>
        <w:rPr>
          <w:rFonts w:ascii="Source Sans Pro" w:hAnsi="Source Sans Pro" w:cs="Source Sans Pro"/>
          <w:sz w:val="22"/>
          <w:szCs w:val="22"/>
        </w:rPr>
        <w:t>vor dem Hintergrund</w:t>
      </w:r>
      <w:r w:rsidR="00705671">
        <w:rPr>
          <w:rFonts w:ascii="Source Sans Pro" w:hAnsi="Source Sans Pro" w:cs="Source Sans Pro"/>
          <w:sz w:val="22"/>
          <w:szCs w:val="22"/>
        </w:rPr>
        <w:t xml:space="preserve"> des </w:t>
      </w:r>
      <w:proofErr w:type="spellStart"/>
      <w:r w:rsidR="00705671">
        <w:rPr>
          <w:rFonts w:ascii="Source Sans Pro" w:hAnsi="Source Sans Pro" w:cs="Source Sans Pro"/>
          <w:sz w:val="22"/>
          <w:szCs w:val="22"/>
        </w:rPr>
        <w:t>alstria</w:t>
      </w:r>
      <w:proofErr w:type="spellEnd"/>
      <w:r w:rsidR="00705671">
        <w:rPr>
          <w:rFonts w:ascii="Source Sans Pro" w:hAnsi="Source Sans Pro" w:cs="Source Sans Pro"/>
          <w:sz w:val="22"/>
          <w:szCs w:val="22"/>
        </w:rPr>
        <w:t>-Sondereffekts zu interpretieren. So entfiel m</w:t>
      </w:r>
      <w:r w:rsidR="001A145B" w:rsidRPr="001A145B">
        <w:rPr>
          <w:rFonts w:ascii="Source Sans Pro" w:hAnsi="Source Sans Pro" w:cs="Source Sans Pro"/>
          <w:sz w:val="22"/>
          <w:szCs w:val="22"/>
        </w:rPr>
        <w:t xml:space="preserve">it einem Anteil von </w:t>
      </w:r>
      <w:r w:rsidR="001A145B">
        <w:rPr>
          <w:rFonts w:ascii="Source Sans Pro" w:hAnsi="Source Sans Pro" w:cs="Source Sans Pro"/>
          <w:sz w:val="22"/>
          <w:szCs w:val="22"/>
        </w:rPr>
        <w:t>73</w:t>
      </w:r>
      <w:r w:rsidR="001A145B" w:rsidRPr="001A145B">
        <w:rPr>
          <w:rFonts w:ascii="Source Sans Pro" w:hAnsi="Source Sans Pro" w:cs="Source Sans Pro"/>
          <w:sz w:val="22"/>
          <w:szCs w:val="22"/>
        </w:rPr>
        <w:t xml:space="preserve"> % am Verkaufsvolumen </w:t>
      </w:r>
      <w:r w:rsidR="001A145B">
        <w:rPr>
          <w:rFonts w:ascii="Source Sans Pro" w:hAnsi="Source Sans Pro" w:cs="Source Sans Pro"/>
          <w:sz w:val="22"/>
          <w:szCs w:val="22"/>
        </w:rPr>
        <w:t>(Q</w:t>
      </w:r>
      <w:r w:rsidR="000E716C">
        <w:rPr>
          <w:rFonts w:ascii="Source Sans Pro" w:hAnsi="Source Sans Pro" w:cs="Source Sans Pro"/>
          <w:sz w:val="22"/>
          <w:szCs w:val="22"/>
        </w:rPr>
        <w:t>3</w:t>
      </w:r>
      <w:r w:rsidR="001A145B">
        <w:rPr>
          <w:rFonts w:ascii="Source Sans Pro" w:hAnsi="Source Sans Pro" w:cs="Source Sans Pro"/>
          <w:sz w:val="22"/>
          <w:szCs w:val="22"/>
        </w:rPr>
        <w:t xml:space="preserve"> 2021: 60 %) </w:t>
      </w:r>
      <w:r w:rsidR="001A145B" w:rsidRPr="001A145B">
        <w:rPr>
          <w:rFonts w:ascii="Source Sans Pro" w:hAnsi="Source Sans Pro" w:cs="Source Sans Pro"/>
          <w:sz w:val="22"/>
          <w:szCs w:val="22"/>
        </w:rPr>
        <w:t>der Großteil der Top-7-Abschlüsse auf Büro-Objekte</w:t>
      </w:r>
      <w:r w:rsidR="001A145B">
        <w:rPr>
          <w:rFonts w:ascii="Source Sans Pro" w:hAnsi="Source Sans Pro" w:cs="Source Sans Pro"/>
          <w:sz w:val="22"/>
          <w:szCs w:val="22"/>
        </w:rPr>
        <w:t>.</w:t>
      </w:r>
      <w:r w:rsidR="00705671">
        <w:rPr>
          <w:rFonts w:ascii="Source Sans Pro" w:hAnsi="Source Sans Pro" w:cs="Source Sans Pro"/>
          <w:sz w:val="22"/>
          <w:szCs w:val="22"/>
        </w:rPr>
        <w:t xml:space="preserve"> </w:t>
      </w:r>
      <w:r w:rsidR="00B745A1">
        <w:rPr>
          <w:rFonts w:ascii="Source Sans Pro" w:hAnsi="Source Sans Pro" w:cs="Source Sans Pro"/>
          <w:sz w:val="22"/>
          <w:szCs w:val="22"/>
        </w:rPr>
        <w:t>Weit abgeschlagen folgten Grundstücke und Mixed-</w:t>
      </w:r>
      <w:proofErr w:type="spellStart"/>
      <w:r w:rsidR="00B745A1">
        <w:rPr>
          <w:rFonts w:ascii="Source Sans Pro" w:hAnsi="Source Sans Pro" w:cs="Source Sans Pro"/>
          <w:sz w:val="22"/>
          <w:szCs w:val="22"/>
        </w:rPr>
        <w:t>Use</w:t>
      </w:r>
      <w:proofErr w:type="spellEnd"/>
      <w:r w:rsidR="00B745A1">
        <w:rPr>
          <w:rFonts w:ascii="Source Sans Pro" w:hAnsi="Source Sans Pro" w:cs="Source Sans Pro"/>
          <w:sz w:val="22"/>
          <w:szCs w:val="22"/>
        </w:rPr>
        <w:t xml:space="preserve">-Immobilien mit je 7 %. </w:t>
      </w:r>
      <w:r w:rsidR="00705671">
        <w:rPr>
          <w:rFonts w:ascii="Source Sans Pro" w:hAnsi="Source Sans Pro" w:cs="Source Sans Pro"/>
          <w:sz w:val="22"/>
          <w:szCs w:val="22"/>
        </w:rPr>
        <w:t xml:space="preserve">Auch der Anteil an Portfolio-Deals </w:t>
      </w:r>
      <w:r w:rsidR="00B745A1">
        <w:rPr>
          <w:rFonts w:ascii="Source Sans Pro" w:hAnsi="Source Sans Pro" w:cs="Source Sans Pro"/>
          <w:sz w:val="22"/>
          <w:szCs w:val="22"/>
        </w:rPr>
        <w:t xml:space="preserve">war </w:t>
      </w:r>
      <w:r w:rsidR="00705671">
        <w:rPr>
          <w:rFonts w:ascii="Source Sans Pro" w:hAnsi="Source Sans Pro" w:cs="Source Sans Pro"/>
          <w:sz w:val="22"/>
          <w:szCs w:val="22"/>
        </w:rPr>
        <w:t>mit 3</w:t>
      </w:r>
      <w:r w:rsidR="00472FB1">
        <w:rPr>
          <w:rFonts w:ascii="Source Sans Pro" w:hAnsi="Source Sans Pro" w:cs="Source Sans Pro"/>
          <w:sz w:val="22"/>
          <w:szCs w:val="22"/>
        </w:rPr>
        <w:t>3</w:t>
      </w:r>
      <w:r w:rsidR="00705671">
        <w:rPr>
          <w:rFonts w:ascii="Source Sans Pro" w:hAnsi="Source Sans Pro" w:cs="Source Sans Pro"/>
          <w:sz w:val="22"/>
          <w:szCs w:val="22"/>
        </w:rPr>
        <w:t xml:space="preserve"> % recht hoch (Q3 2021: 16 %). </w:t>
      </w:r>
      <w:r w:rsidR="00F53EDB">
        <w:rPr>
          <w:rFonts w:ascii="Source Sans Pro" w:hAnsi="Source Sans Pro" w:cs="Source Sans Pro"/>
          <w:sz w:val="22"/>
          <w:szCs w:val="22"/>
        </w:rPr>
        <w:t>I</w:t>
      </w:r>
      <w:r w:rsidR="00705671">
        <w:rPr>
          <w:rFonts w:ascii="Source Sans Pro" w:hAnsi="Source Sans Pro" w:cs="Source Sans Pro"/>
          <w:sz w:val="22"/>
          <w:szCs w:val="22"/>
        </w:rPr>
        <w:t>nternationale</w:t>
      </w:r>
      <w:r w:rsidR="00705671" w:rsidRPr="00705671">
        <w:rPr>
          <w:rFonts w:ascii="Source Sans Pro" w:hAnsi="Source Sans Pro" w:cs="Source Sans Pro"/>
          <w:sz w:val="22"/>
          <w:szCs w:val="22"/>
        </w:rPr>
        <w:t xml:space="preserve"> Investoren </w:t>
      </w:r>
      <w:r w:rsidR="001A26C5">
        <w:rPr>
          <w:rFonts w:ascii="Source Sans Pro" w:hAnsi="Source Sans Pro" w:cs="Source Sans Pro"/>
          <w:sz w:val="22"/>
          <w:szCs w:val="22"/>
        </w:rPr>
        <w:t>zeigten sich</w:t>
      </w:r>
      <w:r w:rsidR="00F53EDB">
        <w:rPr>
          <w:rFonts w:ascii="Source Sans Pro" w:hAnsi="Source Sans Pro" w:cs="Source Sans Pro"/>
          <w:sz w:val="22"/>
          <w:szCs w:val="22"/>
        </w:rPr>
        <w:t xml:space="preserve"> mit einem Volumenanteil von </w:t>
      </w:r>
      <w:r w:rsidR="00705671">
        <w:rPr>
          <w:rFonts w:ascii="Source Sans Pro" w:hAnsi="Source Sans Pro" w:cs="Source Sans Pro"/>
          <w:sz w:val="22"/>
          <w:szCs w:val="22"/>
        </w:rPr>
        <w:t xml:space="preserve">rund </w:t>
      </w:r>
      <w:r w:rsidR="00F53EDB">
        <w:rPr>
          <w:rFonts w:ascii="Source Sans Pro" w:hAnsi="Source Sans Pro" w:cs="Source Sans Pro"/>
          <w:sz w:val="22"/>
          <w:szCs w:val="22"/>
        </w:rPr>
        <w:t>48 % (Q3 2021: 35 %) entsprechend präsent</w:t>
      </w:r>
      <w:r w:rsidR="001A26C5">
        <w:rPr>
          <w:rFonts w:ascii="Source Sans Pro" w:hAnsi="Source Sans Pro" w:cs="Source Sans Pro"/>
          <w:sz w:val="22"/>
          <w:szCs w:val="22"/>
        </w:rPr>
        <w:t xml:space="preserve"> an den Top-7-Investmentmärkten</w:t>
      </w:r>
      <w:r w:rsidR="00705671">
        <w:rPr>
          <w:rFonts w:ascii="Source Sans Pro" w:hAnsi="Source Sans Pro" w:cs="Source Sans Pro"/>
          <w:sz w:val="22"/>
          <w:szCs w:val="22"/>
        </w:rPr>
        <w:t>.</w:t>
      </w:r>
      <w:r w:rsidR="001A145B">
        <w:rPr>
          <w:rFonts w:ascii="Source Sans Pro" w:hAnsi="Source Sans Pro" w:cs="Source Sans Pro"/>
          <w:sz w:val="22"/>
          <w:szCs w:val="22"/>
        </w:rPr>
        <w:t xml:space="preserve"> </w:t>
      </w:r>
      <w:r w:rsidR="000B48CF">
        <w:rPr>
          <w:rFonts w:ascii="Source Sans Pro" w:hAnsi="Source Sans Pro" w:cs="Source Sans Pro"/>
          <w:sz w:val="22"/>
          <w:szCs w:val="22"/>
        </w:rPr>
        <w:t xml:space="preserve">Am höchsten war ihr TAV-Anteil in Berlin mit rund </w:t>
      </w:r>
      <w:r w:rsidR="00E745BC">
        <w:rPr>
          <w:rFonts w:ascii="Source Sans Pro" w:hAnsi="Source Sans Pro" w:cs="Source Sans Pro"/>
          <w:sz w:val="22"/>
          <w:szCs w:val="22"/>
        </w:rPr>
        <w:t>7</w:t>
      </w:r>
      <w:r w:rsidR="00F25E4C">
        <w:rPr>
          <w:rFonts w:ascii="Source Sans Pro" w:hAnsi="Source Sans Pro" w:cs="Source Sans Pro"/>
          <w:sz w:val="22"/>
          <w:szCs w:val="22"/>
        </w:rPr>
        <w:t>0</w:t>
      </w:r>
      <w:r w:rsidR="001A26C5">
        <w:rPr>
          <w:rFonts w:ascii="Source Sans Pro" w:hAnsi="Source Sans Pro" w:cs="Source Sans Pro"/>
          <w:sz w:val="22"/>
          <w:szCs w:val="22"/>
        </w:rPr>
        <w:t xml:space="preserve"> %, am niedrigsten in München mit </w:t>
      </w:r>
      <w:r w:rsidR="000B48CF">
        <w:rPr>
          <w:rFonts w:ascii="Source Sans Pro" w:hAnsi="Source Sans Pro" w:cs="Source Sans Pro"/>
          <w:sz w:val="22"/>
          <w:szCs w:val="22"/>
        </w:rPr>
        <w:t xml:space="preserve">16 %. </w:t>
      </w:r>
      <w:r w:rsidR="001A145B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471331C2" w14:textId="4D31ECF8" w:rsidR="00A23994" w:rsidRDefault="00E01C7D" w:rsidP="00BF5E1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   </w:t>
      </w:r>
      <w:r w:rsidR="00443C1C">
        <w:rPr>
          <w:rFonts w:ascii="Source Sans Pro" w:hAnsi="Source Sans Pro" w:cs="Source Sans Pro"/>
          <w:sz w:val="22"/>
          <w:szCs w:val="22"/>
        </w:rPr>
        <w:t xml:space="preserve">      </w:t>
      </w:r>
      <w:r w:rsidR="00476554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576031CF" w14:textId="4B601FB7" w:rsidR="00A23994" w:rsidRDefault="00A23994" w:rsidP="00BF5E1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PrOGNOSE: </w:t>
      </w:r>
      <w:r w:rsidR="000B48CF">
        <w:rPr>
          <w:rFonts w:ascii="Source Sans Pro" w:hAnsi="Source Sans Pro" w:cs="Source Sans Pro"/>
          <w:caps/>
          <w:color w:val="0086A8"/>
          <w:sz w:val="22"/>
          <w:szCs w:val="22"/>
        </w:rPr>
        <w:t>Verhaltener Jahresabschluss</w:t>
      </w:r>
    </w:p>
    <w:p w14:paraId="692559E3" w14:textId="52985C65" w:rsidR="00594FAC" w:rsidRDefault="00594FAC" w:rsidP="00BF5E1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 w:rsidRPr="00594FAC">
        <w:rPr>
          <w:rFonts w:ascii="Source Sans Pro" w:hAnsi="Source Sans Pro" w:cs="Source Sans Pro"/>
          <w:sz w:val="22"/>
          <w:szCs w:val="22"/>
        </w:rPr>
        <w:t xml:space="preserve">Für das Jahresende prognostiziert </w:t>
      </w:r>
      <w:r w:rsidRPr="00594FAC">
        <w:rPr>
          <w:rFonts w:ascii="Source Sans Pro" w:hAnsi="Source Sans Pro" w:cs="Source Sans Pro"/>
          <w:b/>
          <w:sz w:val="22"/>
          <w:szCs w:val="22"/>
        </w:rPr>
        <w:t>Rehberg</w:t>
      </w:r>
      <w:r w:rsidRPr="00594FAC">
        <w:rPr>
          <w:rFonts w:ascii="Source Sans Pro" w:hAnsi="Source Sans Pro" w:cs="Source Sans Pro"/>
          <w:sz w:val="22"/>
          <w:szCs w:val="22"/>
        </w:rPr>
        <w:t>:</w:t>
      </w:r>
      <w:r>
        <w:rPr>
          <w:rFonts w:ascii="Source Sans Pro" w:hAnsi="Source Sans Pro" w:cs="Source Sans Pro"/>
          <w:i/>
          <w:sz w:val="22"/>
          <w:szCs w:val="22"/>
        </w:rPr>
        <w:t xml:space="preserve"> „</w:t>
      </w:r>
      <w:r w:rsidR="008053AB">
        <w:rPr>
          <w:rFonts w:ascii="Source Sans Pro" w:hAnsi="Source Sans Pro" w:cs="Source Sans Pro"/>
          <w:i/>
          <w:sz w:val="22"/>
          <w:szCs w:val="22"/>
        </w:rPr>
        <w:t xml:space="preserve">Das Investoreninteresse wird sich </w:t>
      </w:r>
      <w:r w:rsidR="001A26C5">
        <w:rPr>
          <w:rFonts w:ascii="Source Sans Pro" w:hAnsi="Source Sans Pro" w:cs="Source Sans Pro"/>
          <w:i/>
          <w:sz w:val="22"/>
          <w:szCs w:val="22"/>
        </w:rPr>
        <w:t>verstärkt</w:t>
      </w:r>
      <w:r w:rsidR="008053AB">
        <w:rPr>
          <w:rFonts w:ascii="Source Sans Pro" w:hAnsi="Source Sans Pro" w:cs="Source Sans Pro"/>
          <w:i/>
          <w:sz w:val="22"/>
          <w:szCs w:val="22"/>
        </w:rPr>
        <w:t xml:space="preserve"> auf Objekte in Core-Lagen und </w:t>
      </w:r>
      <w:r w:rsidR="001A26C5">
        <w:rPr>
          <w:rFonts w:ascii="Source Sans Pro" w:hAnsi="Source Sans Pro" w:cs="Source Sans Pro"/>
          <w:i/>
          <w:sz w:val="22"/>
          <w:szCs w:val="22"/>
        </w:rPr>
        <w:t xml:space="preserve">insbesondere </w:t>
      </w:r>
      <w:r w:rsidR="008053AB">
        <w:rPr>
          <w:rFonts w:ascii="Source Sans Pro" w:hAnsi="Source Sans Pro" w:cs="Source Sans Pro"/>
          <w:i/>
          <w:sz w:val="22"/>
          <w:szCs w:val="22"/>
        </w:rPr>
        <w:t xml:space="preserve">die Assetklassen Büro und Logistik fokussieren, die </w:t>
      </w:r>
      <w:r w:rsidR="0035171C" w:rsidRPr="0035171C">
        <w:rPr>
          <w:rFonts w:ascii="Source Sans Pro" w:hAnsi="Source Sans Pro" w:cs="Source Sans Pro"/>
          <w:i/>
          <w:sz w:val="22"/>
          <w:szCs w:val="22"/>
        </w:rPr>
        <w:t>ein stabiles bis steigendes Mietniveau bei geringe</w:t>
      </w:r>
      <w:r w:rsidR="001A26C5">
        <w:rPr>
          <w:rFonts w:ascii="Source Sans Pro" w:hAnsi="Source Sans Pro" w:cs="Source Sans Pro"/>
          <w:i/>
          <w:sz w:val="22"/>
          <w:szCs w:val="22"/>
        </w:rPr>
        <w:t>m</w:t>
      </w:r>
      <w:r w:rsidR="0035171C" w:rsidRPr="0035171C">
        <w:rPr>
          <w:rFonts w:ascii="Source Sans Pro" w:hAnsi="Source Sans Pro" w:cs="Source Sans Pro"/>
          <w:i/>
          <w:sz w:val="22"/>
          <w:szCs w:val="22"/>
        </w:rPr>
        <w:t xml:space="preserve"> Leerstand</w:t>
      </w:r>
      <w:r w:rsidR="008053AB">
        <w:rPr>
          <w:rFonts w:ascii="Source Sans Pro" w:hAnsi="Source Sans Pro" w:cs="Source Sans Pro"/>
          <w:i/>
          <w:sz w:val="22"/>
          <w:szCs w:val="22"/>
        </w:rPr>
        <w:t xml:space="preserve"> in Aussicht stellen.</w:t>
      </w:r>
      <w:r>
        <w:rPr>
          <w:rFonts w:ascii="Source Sans Pro" w:hAnsi="Source Sans Pro" w:cs="Source Sans Pro"/>
          <w:i/>
          <w:sz w:val="22"/>
          <w:szCs w:val="22"/>
        </w:rPr>
        <w:t xml:space="preserve">“ </w:t>
      </w:r>
      <w:r w:rsidRPr="00594FAC">
        <w:rPr>
          <w:rFonts w:ascii="Source Sans Pro" w:hAnsi="Source Sans Pro" w:cs="Source Sans Pro"/>
          <w:sz w:val="22"/>
          <w:szCs w:val="22"/>
        </w:rPr>
        <w:t>Einschränkend fügt er jedoch hinzu:</w:t>
      </w:r>
      <w:r w:rsidR="008053AB">
        <w:rPr>
          <w:rFonts w:ascii="Source Sans Pro" w:hAnsi="Source Sans Pro" w:cs="Source Sans Pro"/>
          <w:i/>
          <w:sz w:val="22"/>
          <w:szCs w:val="22"/>
        </w:rPr>
        <w:t xml:space="preserve"> </w:t>
      </w:r>
      <w:r>
        <w:rPr>
          <w:rFonts w:ascii="Source Sans Pro" w:hAnsi="Source Sans Pro" w:cs="Source Sans Pro"/>
          <w:i/>
          <w:sz w:val="22"/>
          <w:szCs w:val="22"/>
        </w:rPr>
        <w:t>„</w:t>
      </w:r>
      <w:r w:rsidR="00F53EDB" w:rsidRPr="00184AA3">
        <w:rPr>
          <w:rFonts w:ascii="Source Sans Pro" w:hAnsi="Source Sans Pro" w:cs="Source Sans Pro"/>
          <w:i/>
          <w:sz w:val="22"/>
          <w:szCs w:val="22"/>
        </w:rPr>
        <w:t>Weitere Zinsansti</w:t>
      </w:r>
      <w:r w:rsidR="004C60B1" w:rsidRPr="00184AA3">
        <w:rPr>
          <w:rFonts w:ascii="Source Sans Pro" w:hAnsi="Source Sans Pro" w:cs="Source Sans Pro"/>
          <w:i/>
          <w:sz w:val="22"/>
          <w:szCs w:val="22"/>
        </w:rPr>
        <w:t xml:space="preserve">ege, </w:t>
      </w:r>
      <w:r w:rsidR="00F53EDB" w:rsidRPr="00184AA3">
        <w:rPr>
          <w:rFonts w:ascii="Source Sans Pro" w:hAnsi="Source Sans Pro" w:cs="Source Sans Pro"/>
          <w:i/>
          <w:sz w:val="22"/>
          <w:szCs w:val="22"/>
        </w:rPr>
        <w:t xml:space="preserve">mögliche Preiskorrekturen </w:t>
      </w:r>
      <w:r w:rsidR="004C60B1" w:rsidRPr="00184AA3">
        <w:rPr>
          <w:rFonts w:ascii="Source Sans Pro" w:hAnsi="Source Sans Pro" w:cs="Source Sans Pro"/>
          <w:i/>
          <w:sz w:val="22"/>
          <w:szCs w:val="22"/>
        </w:rPr>
        <w:t xml:space="preserve">und nur wenige Transaktionsreferenzen erschweren </w:t>
      </w:r>
      <w:r w:rsidR="0035171C">
        <w:rPr>
          <w:rFonts w:ascii="Source Sans Pro" w:hAnsi="Source Sans Pro" w:cs="Source Sans Pro"/>
          <w:i/>
          <w:sz w:val="22"/>
          <w:szCs w:val="22"/>
        </w:rPr>
        <w:t xml:space="preserve">jedoch auch perspektivisch </w:t>
      </w:r>
      <w:r w:rsidR="004C60B1" w:rsidRPr="00184AA3">
        <w:rPr>
          <w:rFonts w:ascii="Source Sans Pro" w:hAnsi="Source Sans Pro" w:cs="Source Sans Pro"/>
          <w:i/>
          <w:sz w:val="22"/>
          <w:szCs w:val="22"/>
        </w:rPr>
        <w:t>die Entscheidungsfindung, insbesondere für Investoren mit Bedarf an Fremdkapital</w:t>
      </w:r>
      <w:r w:rsidR="004C60B1">
        <w:rPr>
          <w:rFonts w:ascii="Source Sans Pro" w:hAnsi="Source Sans Pro" w:cs="Source Sans Pro"/>
          <w:sz w:val="22"/>
          <w:szCs w:val="22"/>
        </w:rPr>
        <w:t>.</w:t>
      </w:r>
      <w:r>
        <w:rPr>
          <w:rFonts w:ascii="Source Sans Pro" w:hAnsi="Source Sans Pro" w:cs="Source Sans Pro"/>
          <w:sz w:val="22"/>
          <w:szCs w:val="22"/>
        </w:rPr>
        <w:t xml:space="preserve"> </w:t>
      </w:r>
      <w:r w:rsidRPr="00184AA3">
        <w:rPr>
          <w:rFonts w:ascii="Source Sans Pro" w:hAnsi="Source Sans Pro" w:cs="Source Sans Pro"/>
          <w:i/>
          <w:sz w:val="22"/>
          <w:szCs w:val="22"/>
        </w:rPr>
        <w:t xml:space="preserve">Eine rasante Jahresendrallye </w:t>
      </w:r>
      <w:r w:rsidR="00DD753D">
        <w:rPr>
          <w:rFonts w:ascii="Source Sans Pro" w:hAnsi="Source Sans Pro" w:cs="Source Sans Pro"/>
          <w:i/>
          <w:sz w:val="22"/>
          <w:szCs w:val="22"/>
        </w:rPr>
        <w:t>ist daher eher unwahrscheinlich</w:t>
      </w:r>
      <w:r>
        <w:rPr>
          <w:rFonts w:ascii="Source Sans Pro" w:hAnsi="Source Sans Pro" w:cs="Source Sans Pro"/>
          <w:i/>
          <w:sz w:val="22"/>
          <w:szCs w:val="22"/>
        </w:rPr>
        <w:t>.“</w:t>
      </w:r>
      <w:r w:rsidR="00D7447A">
        <w:rPr>
          <w:rFonts w:ascii="Source Sans Pro" w:hAnsi="Source Sans Pro" w:cs="Source Sans Pro"/>
          <w:sz w:val="22"/>
          <w:szCs w:val="22"/>
        </w:rPr>
        <w:br/>
      </w:r>
    </w:p>
    <w:p w14:paraId="568BE1E4" w14:textId="515F5B9C" w:rsidR="00184AA3" w:rsidRPr="00000F50" w:rsidRDefault="00184AA3" w:rsidP="00BF5E1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Einige größere Core-Deals dürften in diesem Jahr</w:t>
      </w:r>
      <w:r w:rsidR="00E16F06">
        <w:rPr>
          <w:rFonts w:ascii="Source Sans Pro" w:hAnsi="Source Sans Pro" w:cs="Source Sans Pro"/>
          <w:sz w:val="22"/>
          <w:szCs w:val="22"/>
        </w:rPr>
        <w:t>,</w:t>
      </w:r>
      <w:r>
        <w:rPr>
          <w:rFonts w:ascii="Source Sans Pro" w:hAnsi="Source Sans Pro" w:cs="Source Sans Pro"/>
          <w:sz w:val="22"/>
          <w:szCs w:val="22"/>
        </w:rPr>
        <w:t xml:space="preserve"> insbesondere in Köln, </w:t>
      </w:r>
      <w:r w:rsidR="0035171C">
        <w:rPr>
          <w:rFonts w:ascii="Source Sans Pro" w:hAnsi="Source Sans Pro" w:cs="Source Sans Pro"/>
          <w:sz w:val="22"/>
          <w:szCs w:val="22"/>
        </w:rPr>
        <w:t xml:space="preserve">Frankfurt, </w:t>
      </w:r>
      <w:r>
        <w:rPr>
          <w:rFonts w:ascii="Source Sans Pro" w:hAnsi="Source Sans Pro" w:cs="Source Sans Pro"/>
          <w:sz w:val="22"/>
          <w:szCs w:val="22"/>
        </w:rPr>
        <w:t>Stuttgart und München</w:t>
      </w:r>
      <w:r w:rsidR="00E16F06">
        <w:rPr>
          <w:rFonts w:ascii="Source Sans Pro" w:hAnsi="Source Sans Pro" w:cs="Source Sans Pro"/>
          <w:sz w:val="22"/>
          <w:szCs w:val="22"/>
        </w:rPr>
        <w:t>,</w:t>
      </w:r>
      <w:r>
        <w:rPr>
          <w:rFonts w:ascii="Source Sans Pro" w:hAnsi="Source Sans Pro" w:cs="Source Sans Pro"/>
          <w:sz w:val="22"/>
          <w:szCs w:val="22"/>
        </w:rPr>
        <w:t xml:space="preserve"> noch </w:t>
      </w:r>
      <w:r w:rsidR="00E16F06">
        <w:rPr>
          <w:rFonts w:ascii="Source Sans Pro" w:hAnsi="Source Sans Pro" w:cs="Source Sans Pro"/>
          <w:sz w:val="22"/>
          <w:szCs w:val="22"/>
        </w:rPr>
        <w:t>zum Abschluss kommen</w:t>
      </w:r>
      <w:r w:rsidR="00594FAC">
        <w:rPr>
          <w:rFonts w:ascii="Source Sans Pro" w:hAnsi="Source Sans Pro" w:cs="Source Sans Pro"/>
          <w:sz w:val="22"/>
          <w:szCs w:val="22"/>
        </w:rPr>
        <w:t xml:space="preserve">. </w:t>
      </w:r>
      <w:r w:rsidRPr="00184AA3">
        <w:rPr>
          <w:rFonts w:ascii="Source Sans Pro" w:hAnsi="Source Sans Pro" w:cs="Source Sans Pro"/>
          <w:sz w:val="22"/>
          <w:szCs w:val="22"/>
        </w:rPr>
        <w:t xml:space="preserve">Laut GPP-Prognose </w:t>
      </w:r>
      <w:r>
        <w:rPr>
          <w:rFonts w:ascii="Source Sans Pro" w:hAnsi="Source Sans Pro" w:cs="Source Sans Pro"/>
          <w:sz w:val="22"/>
          <w:szCs w:val="22"/>
        </w:rPr>
        <w:t xml:space="preserve">dürfte </w:t>
      </w:r>
      <w:r w:rsidRPr="00184AA3">
        <w:rPr>
          <w:rFonts w:ascii="Source Sans Pro" w:hAnsi="Source Sans Pro" w:cs="Source Sans Pro"/>
          <w:sz w:val="22"/>
          <w:szCs w:val="22"/>
        </w:rPr>
        <w:t xml:space="preserve">das Transaktionsvolumen zum </w:t>
      </w:r>
      <w:r w:rsidRPr="00184AA3">
        <w:rPr>
          <w:rFonts w:ascii="Source Sans Pro" w:hAnsi="Source Sans Pro" w:cs="Source Sans Pro"/>
          <w:sz w:val="22"/>
          <w:szCs w:val="22"/>
        </w:rPr>
        <w:lastRenderedPageBreak/>
        <w:t>Ende des 4. Quartals bei rund 27</w:t>
      </w:r>
      <w:r>
        <w:rPr>
          <w:rFonts w:ascii="Source Sans Pro" w:hAnsi="Source Sans Pro" w:cs="Source Sans Pro"/>
          <w:sz w:val="22"/>
          <w:szCs w:val="22"/>
        </w:rPr>
        <w:t xml:space="preserve"> </w:t>
      </w:r>
      <w:r w:rsidRPr="00184AA3">
        <w:rPr>
          <w:rFonts w:ascii="Source Sans Pro" w:hAnsi="Source Sans Pro" w:cs="Source Sans Pro"/>
          <w:sz w:val="22"/>
          <w:szCs w:val="22"/>
        </w:rPr>
        <w:t xml:space="preserve">Mrd. € liegen – deutlich unter dem Fünf-Jahres-Mittel von </w:t>
      </w:r>
      <w:r>
        <w:rPr>
          <w:rFonts w:ascii="Source Sans Pro" w:hAnsi="Source Sans Pro" w:cs="Source Sans Pro"/>
          <w:sz w:val="22"/>
          <w:szCs w:val="22"/>
        </w:rPr>
        <w:t>34</w:t>
      </w:r>
      <w:r w:rsidRPr="00184AA3">
        <w:rPr>
          <w:rFonts w:ascii="Source Sans Pro" w:hAnsi="Source Sans Pro" w:cs="Source Sans Pro"/>
          <w:sz w:val="22"/>
          <w:szCs w:val="22"/>
        </w:rPr>
        <w:t>,2 Mrd. €</w:t>
      </w:r>
      <w:r w:rsidR="00000F50">
        <w:rPr>
          <w:rFonts w:ascii="Source Sans Pro" w:hAnsi="Source Sans Pro" w:cs="Source Sans Pro"/>
          <w:sz w:val="22"/>
          <w:szCs w:val="22"/>
        </w:rPr>
        <w:t>.</w:t>
      </w:r>
      <w:r w:rsidR="009E7D1D">
        <w:rPr>
          <w:rFonts w:ascii="Source Sans Pro" w:hAnsi="Source Sans Pro" w:cs="Source Sans Pro"/>
          <w:sz w:val="22"/>
          <w:szCs w:val="22"/>
        </w:rPr>
        <w:br/>
      </w:r>
    </w:p>
    <w:p w14:paraId="5CED34B8" w14:textId="682C3782" w:rsidR="00161817" w:rsidRPr="00161817" w:rsidRDefault="001C0C8F" w:rsidP="00EF0944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  <w:r>
        <w:rPr>
          <w:rFonts w:ascii="Source Sans Pro" w:hAnsi="Source Sans Pro" w:cs="Arial"/>
          <w:b/>
          <w:sz w:val="20"/>
        </w:rPr>
        <w:t>Top</w:t>
      </w:r>
      <w:r w:rsidR="00B03DB5">
        <w:rPr>
          <w:rFonts w:ascii="Source Sans Pro" w:hAnsi="Source Sans Pro" w:cs="Arial"/>
          <w:b/>
          <w:sz w:val="20"/>
        </w:rPr>
        <w:t xml:space="preserve"> 10</w:t>
      </w:r>
      <w:r w:rsidR="00B66F52">
        <w:rPr>
          <w:rFonts w:ascii="Source Sans Pro" w:hAnsi="Source Sans Pro" w:cs="Arial"/>
          <w:b/>
          <w:sz w:val="20"/>
        </w:rPr>
        <w:t xml:space="preserve"> </w:t>
      </w:r>
      <w:r w:rsidR="00161817" w:rsidRPr="00161817">
        <w:rPr>
          <w:rFonts w:ascii="Source Sans Pro" w:hAnsi="Source Sans Pro" w:cs="Arial"/>
          <w:b/>
          <w:sz w:val="20"/>
        </w:rPr>
        <w:t xml:space="preserve">bekannte Abschlüsse | Top-7-Standorte | </w:t>
      </w:r>
      <w:r w:rsidR="00BF5E1D">
        <w:rPr>
          <w:rFonts w:ascii="Source Sans Pro" w:hAnsi="Source Sans Pro" w:cs="Arial"/>
          <w:b/>
          <w:sz w:val="20"/>
        </w:rPr>
        <w:t>1.-</w:t>
      </w:r>
      <w:r w:rsidR="00147232">
        <w:rPr>
          <w:rFonts w:ascii="Source Sans Pro" w:hAnsi="Source Sans Pro" w:cs="Arial"/>
          <w:b/>
          <w:sz w:val="20"/>
        </w:rPr>
        <w:t>3</w:t>
      </w:r>
      <w:r w:rsidR="00161817" w:rsidRPr="00161817">
        <w:rPr>
          <w:rFonts w:ascii="Source Sans Pro" w:hAnsi="Source Sans Pro" w:cs="Arial"/>
          <w:b/>
          <w:sz w:val="20"/>
        </w:rPr>
        <w:t>. Quartal 202</w:t>
      </w:r>
      <w:r w:rsidR="00F40B12">
        <w:rPr>
          <w:rFonts w:ascii="Source Sans Pro" w:hAnsi="Source Sans Pro" w:cs="Arial"/>
          <w:b/>
          <w:sz w:val="20"/>
        </w:rPr>
        <w:t>2</w:t>
      </w:r>
    </w:p>
    <w:tbl>
      <w:tblPr>
        <w:tblStyle w:val="TableGrid1"/>
        <w:tblW w:w="9231" w:type="dxa"/>
        <w:tblLayout w:type="fixed"/>
        <w:tblLook w:val="04A0" w:firstRow="1" w:lastRow="0" w:firstColumn="1" w:lastColumn="0" w:noHBand="0" w:noVBand="1"/>
      </w:tblPr>
      <w:tblGrid>
        <w:gridCol w:w="687"/>
        <w:gridCol w:w="2682"/>
        <w:gridCol w:w="2658"/>
        <w:gridCol w:w="2190"/>
        <w:gridCol w:w="1014"/>
      </w:tblGrid>
      <w:tr w:rsidR="00161817" w:rsidRPr="00161817" w14:paraId="113FCC50" w14:textId="77777777" w:rsidTr="009E6C40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130C696A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Stadt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E34B091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Projekt/Objekt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6669932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Käufer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90FE9EE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Verkäufer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28E3657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KP*</w:t>
            </w:r>
          </w:p>
          <w:p w14:paraId="24C76A25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(ca. Mio. €)</w:t>
            </w:r>
          </w:p>
        </w:tc>
      </w:tr>
      <w:tr w:rsidR="008E0A69" w:rsidRPr="00161817" w14:paraId="27C03D98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70E96E9C" w14:textId="3E586529" w:rsidR="008E0A69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FFM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64553CD" w14:textId="0D42BA5C" w:rsidR="008E0A69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 xml:space="preserve">Marienturm, </w:t>
            </w:r>
            <w:r w:rsidR="00E233EB">
              <w:rPr>
                <w:rFonts w:ascii="Source Sans Pro" w:hAnsi="Source Sans Pro" w:cs="Arial"/>
                <w:sz w:val="16"/>
                <w:szCs w:val="16"/>
              </w:rPr>
              <w:br/>
            </w:r>
            <w:r w:rsidRPr="00462200">
              <w:rPr>
                <w:rFonts w:ascii="Source Sans Pro" w:hAnsi="Source Sans Pro" w:cs="Arial"/>
                <w:sz w:val="16"/>
                <w:szCs w:val="16"/>
              </w:rPr>
              <w:t>Taunusanlage 9+10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CACC67F" w14:textId="530CD1E5" w:rsidR="008E0A69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DWS für den National Pension Service </w:t>
            </w: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of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Korea (NPS)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B47ECF9" w14:textId="585902FF" w:rsidR="008E0A69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Aermont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Capital / zu </w:t>
            </w: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Perella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Weinberg gehörenden Fonds PWREF II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15AE998" w14:textId="2C408512" w:rsidR="008E0A69" w:rsidRDefault="00462200" w:rsidP="0046220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&gt; 800</w:t>
            </w:r>
          </w:p>
        </w:tc>
      </w:tr>
      <w:tr w:rsidR="00FD0B89" w:rsidRPr="00161817" w14:paraId="62157268" w14:textId="77777777" w:rsidTr="00E10C5C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5341C31F" w14:textId="7C6596D4" w:rsidR="00FD0B89" w:rsidRDefault="00FD0B8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CE76131" w14:textId="7EEE1730" w:rsidR="00FD0B89" w:rsidRPr="00462200" w:rsidRDefault="00A15A2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 xml:space="preserve">Sony Center, </w:t>
            </w:r>
            <w:r w:rsidR="00E233EB">
              <w:rPr>
                <w:rFonts w:ascii="Source Sans Pro" w:hAnsi="Source Sans Pro" w:cs="Arial"/>
                <w:sz w:val="16"/>
                <w:szCs w:val="16"/>
              </w:rPr>
              <w:br/>
            </w:r>
            <w:r w:rsidR="00FD0B89">
              <w:rPr>
                <w:rFonts w:ascii="Source Sans Pro" w:hAnsi="Source Sans Pro" w:cs="Arial"/>
                <w:sz w:val="16"/>
                <w:szCs w:val="16"/>
              </w:rPr>
              <w:t>Potsdamer Platz 2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38861F9" w14:textId="0225D86C" w:rsidR="00FD0B89" w:rsidRPr="00462200" w:rsidRDefault="00FD0B8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FD0B89">
              <w:rPr>
                <w:rFonts w:ascii="Source Sans Pro" w:hAnsi="Source Sans Pro" w:cs="Arial"/>
                <w:sz w:val="16"/>
                <w:szCs w:val="16"/>
              </w:rPr>
              <w:t>Norwegian</w:t>
            </w:r>
            <w:proofErr w:type="spellEnd"/>
            <w:r w:rsidRPr="00FD0B89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proofErr w:type="spellStart"/>
            <w:r w:rsidRPr="00FD0B89">
              <w:rPr>
                <w:rFonts w:ascii="Source Sans Pro" w:hAnsi="Source Sans Pro" w:cs="Arial"/>
                <w:sz w:val="16"/>
                <w:szCs w:val="16"/>
              </w:rPr>
              <w:t>Government</w:t>
            </w:r>
            <w:proofErr w:type="spellEnd"/>
            <w:r w:rsidRPr="00FD0B89">
              <w:rPr>
                <w:rFonts w:ascii="Source Sans Pro" w:hAnsi="Source Sans Pro" w:cs="Arial"/>
                <w:sz w:val="16"/>
                <w:szCs w:val="16"/>
              </w:rPr>
              <w:t xml:space="preserve"> Pension Fund Global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223911B" w14:textId="5D3FC6D2" w:rsidR="00FD0B89" w:rsidRPr="00462200" w:rsidRDefault="00FD0B8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FD0B89">
              <w:rPr>
                <w:rFonts w:ascii="Source Sans Pro" w:hAnsi="Source Sans Pro" w:cs="Arial"/>
                <w:sz w:val="16"/>
                <w:szCs w:val="16"/>
              </w:rPr>
              <w:t xml:space="preserve">Oxford Properties/Madison International </w:t>
            </w:r>
            <w:proofErr w:type="spellStart"/>
            <w:r w:rsidRPr="00FD0B89">
              <w:rPr>
                <w:rFonts w:ascii="Source Sans Pro" w:hAnsi="Source Sans Pro" w:cs="Arial"/>
                <w:sz w:val="16"/>
                <w:szCs w:val="16"/>
              </w:rPr>
              <w:t>Realty</w:t>
            </w:r>
            <w:proofErr w:type="spellEnd"/>
            <w:r w:rsidRPr="00FD0B89">
              <w:rPr>
                <w:rFonts w:ascii="Source Sans Pro" w:hAnsi="Source Sans Pro" w:cs="Arial"/>
                <w:sz w:val="16"/>
                <w:szCs w:val="16"/>
              </w:rPr>
              <w:t xml:space="preserve"> für institutionellen Investor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9829831" w14:textId="54D4D5D2" w:rsidR="00FD0B89" w:rsidRDefault="00FD0B8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677</w:t>
            </w:r>
          </w:p>
        </w:tc>
      </w:tr>
      <w:tr w:rsidR="00E10C5C" w:rsidRPr="00161817" w14:paraId="55D8309A" w14:textId="77777777" w:rsidTr="00E10C5C">
        <w:trPr>
          <w:trHeight w:val="552"/>
        </w:trPr>
        <w:tc>
          <w:tcPr>
            <w:tcW w:w="687" w:type="dxa"/>
            <w:shd w:val="clear" w:color="auto" w:fill="BFBFBF" w:themeFill="background1" w:themeFillShade="BF"/>
            <w:vAlign w:val="center"/>
          </w:tcPr>
          <w:p w14:paraId="1D787A5E" w14:textId="515F4A9A" w:rsidR="00E10C5C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31FB249E" w14:textId="2DB57783" w:rsidR="00E10C5C" w:rsidRPr="00462200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>
              <w:rPr>
                <w:rFonts w:ascii="Source Sans Pro" w:hAnsi="Source Sans Pro" w:cs="Arial"/>
                <w:sz w:val="16"/>
                <w:szCs w:val="16"/>
              </w:rPr>
              <w:t>Voltair</w:t>
            </w:r>
            <w:proofErr w:type="spellEnd"/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14:paraId="0AB88B48" w14:textId="47B6ED05" w:rsidR="00E10C5C" w:rsidRPr="00462200" w:rsidRDefault="00E10C5C" w:rsidP="00164FE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E10C5C">
              <w:rPr>
                <w:rFonts w:ascii="Source Sans Pro" w:hAnsi="Source Sans Pro" w:cs="Arial"/>
                <w:sz w:val="16"/>
                <w:szCs w:val="16"/>
              </w:rPr>
              <w:t>Nor</w:t>
            </w:r>
            <w:r w:rsidR="00164FEC">
              <w:rPr>
                <w:rFonts w:ascii="Source Sans Pro" w:hAnsi="Source Sans Pro" w:cs="Arial"/>
                <w:sz w:val="16"/>
                <w:szCs w:val="16"/>
              </w:rPr>
              <w:t>wegian</w:t>
            </w:r>
            <w:proofErr w:type="spellEnd"/>
            <w:r w:rsidRPr="00E10C5C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proofErr w:type="spellStart"/>
            <w:r w:rsidRPr="00E10C5C">
              <w:rPr>
                <w:rFonts w:ascii="Source Sans Pro" w:hAnsi="Source Sans Pro" w:cs="Arial"/>
                <w:sz w:val="16"/>
                <w:szCs w:val="16"/>
              </w:rPr>
              <w:t>Government</w:t>
            </w:r>
            <w:proofErr w:type="spellEnd"/>
            <w:r w:rsidRPr="00E10C5C">
              <w:rPr>
                <w:rFonts w:ascii="Source Sans Pro" w:hAnsi="Source Sans Pro" w:cs="Arial"/>
                <w:sz w:val="16"/>
                <w:szCs w:val="16"/>
              </w:rPr>
              <w:t xml:space="preserve"> Pension Fund Global / Swiss Life</w:t>
            </w:r>
          </w:p>
        </w:tc>
        <w:tc>
          <w:tcPr>
            <w:tcW w:w="2190" w:type="dxa"/>
            <w:shd w:val="clear" w:color="auto" w:fill="BFBFBF" w:themeFill="background1" w:themeFillShade="BF"/>
            <w:vAlign w:val="center"/>
          </w:tcPr>
          <w:p w14:paraId="64C40060" w14:textId="2B5D54A8" w:rsidR="00E10C5C" w:rsidRPr="00462200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E10C5C">
              <w:rPr>
                <w:rFonts w:ascii="Source Sans Pro" w:hAnsi="Source Sans Pro" w:cs="Arial"/>
                <w:sz w:val="16"/>
                <w:szCs w:val="16"/>
              </w:rPr>
              <w:t>Gädeke</w:t>
            </w:r>
            <w:proofErr w:type="spellEnd"/>
            <w:r w:rsidRPr="00E10C5C">
              <w:rPr>
                <w:rFonts w:ascii="Source Sans Pro" w:hAnsi="Source Sans Pro" w:cs="Arial"/>
                <w:sz w:val="16"/>
                <w:szCs w:val="16"/>
              </w:rPr>
              <w:t xml:space="preserve"> &amp; </w:t>
            </w:r>
            <w:proofErr w:type="spellStart"/>
            <w:r w:rsidRPr="00E10C5C">
              <w:rPr>
                <w:rFonts w:ascii="Source Sans Pro" w:hAnsi="Source Sans Pro" w:cs="Arial"/>
                <w:sz w:val="16"/>
                <w:szCs w:val="16"/>
              </w:rPr>
              <w:t>Sons</w:t>
            </w:r>
            <w:proofErr w:type="spellEnd"/>
            <w:r w:rsidRPr="00E10C5C">
              <w:rPr>
                <w:rFonts w:ascii="Source Sans Pro" w:hAnsi="Source Sans Pro" w:cs="Arial"/>
                <w:sz w:val="16"/>
                <w:szCs w:val="16"/>
              </w:rPr>
              <w:t xml:space="preserve"> / ABG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center"/>
          </w:tcPr>
          <w:p w14:paraId="4E4F5E0E" w14:textId="526EBBD3" w:rsidR="00E10C5C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457</w:t>
            </w:r>
          </w:p>
        </w:tc>
      </w:tr>
      <w:tr w:rsidR="00E10C5C" w:rsidRPr="00161817" w14:paraId="63B677D5" w14:textId="77777777" w:rsidTr="00E10C5C">
        <w:trPr>
          <w:trHeight w:val="552"/>
        </w:trPr>
        <w:tc>
          <w:tcPr>
            <w:tcW w:w="687" w:type="dxa"/>
            <w:shd w:val="clear" w:color="auto" w:fill="BFBFBF" w:themeFill="background1" w:themeFillShade="BF"/>
            <w:vAlign w:val="center"/>
          </w:tcPr>
          <w:p w14:paraId="1A2659AD" w14:textId="1A2C72F0" w:rsidR="00E10C5C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4C4B116C" w14:textId="06D9B9FD" w:rsidR="00E10C5C" w:rsidRPr="00462200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E10C5C">
              <w:rPr>
                <w:rFonts w:ascii="Source Sans Pro" w:hAnsi="Source Sans Pro" w:cs="Arial"/>
                <w:sz w:val="16"/>
                <w:szCs w:val="16"/>
              </w:rPr>
              <w:t>QH Spring / QH Track</w:t>
            </w: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14:paraId="76E83253" w14:textId="214EFDAD" w:rsidR="00E10C5C" w:rsidRPr="00462200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E10C5C">
              <w:rPr>
                <w:rFonts w:ascii="Source Sans Pro" w:hAnsi="Source Sans Pro" w:cs="Arial"/>
                <w:sz w:val="16"/>
                <w:szCs w:val="16"/>
              </w:rPr>
              <w:t>Vivion</w:t>
            </w:r>
            <w:proofErr w:type="spellEnd"/>
            <w:r w:rsidRPr="00E10C5C">
              <w:rPr>
                <w:rFonts w:ascii="Source Sans Pro" w:hAnsi="Source Sans Pro" w:cs="Arial"/>
                <w:sz w:val="16"/>
                <w:szCs w:val="16"/>
              </w:rPr>
              <w:t xml:space="preserve"> Group</w:t>
            </w:r>
          </w:p>
        </w:tc>
        <w:tc>
          <w:tcPr>
            <w:tcW w:w="2190" w:type="dxa"/>
            <w:shd w:val="clear" w:color="auto" w:fill="BFBFBF" w:themeFill="background1" w:themeFillShade="BF"/>
            <w:vAlign w:val="center"/>
          </w:tcPr>
          <w:p w14:paraId="44DF8F0A" w14:textId="60C0D72A" w:rsidR="00E10C5C" w:rsidRPr="00462200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E10C5C">
              <w:rPr>
                <w:rFonts w:ascii="Source Sans Pro" w:hAnsi="Source Sans Pro" w:cs="Arial"/>
                <w:sz w:val="16"/>
                <w:szCs w:val="16"/>
              </w:rPr>
              <w:t>Aggregate Holdings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center"/>
          </w:tcPr>
          <w:p w14:paraId="4F7F5A42" w14:textId="40F84E7E" w:rsidR="00E10C5C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456</w:t>
            </w:r>
          </w:p>
        </w:tc>
      </w:tr>
      <w:tr w:rsidR="00E10C5C" w:rsidRPr="00161817" w14:paraId="16D7A264" w14:textId="77777777" w:rsidTr="00E10C5C">
        <w:trPr>
          <w:trHeight w:val="552"/>
        </w:trPr>
        <w:tc>
          <w:tcPr>
            <w:tcW w:w="687" w:type="dxa"/>
            <w:shd w:val="clear" w:color="auto" w:fill="BFBFBF" w:themeFill="background1" w:themeFillShade="BF"/>
            <w:vAlign w:val="center"/>
          </w:tcPr>
          <w:p w14:paraId="79A76E7B" w14:textId="260BEE8C" w:rsidR="00E10C5C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HAM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27464CFC" w14:textId="6D82A892" w:rsidR="00E10C5C" w:rsidRPr="00462200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 xml:space="preserve">Altes Fernmeldeamt, </w:t>
            </w:r>
            <w:r>
              <w:rPr>
                <w:rFonts w:ascii="Source Sans Pro" w:hAnsi="Source Sans Pro" w:cs="Arial"/>
                <w:sz w:val="16"/>
                <w:szCs w:val="16"/>
              </w:rPr>
              <w:br/>
              <w:t>Schlüterstraße 51-55</w:t>
            </w: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14:paraId="4F043364" w14:textId="6D89F2B2" w:rsidR="00E10C5C" w:rsidRPr="00462200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E10C5C">
              <w:rPr>
                <w:rFonts w:ascii="Source Sans Pro" w:hAnsi="Source Sans Pro" w:cs="Arial"/>
                <w:sz w:val="16"/>
                <w:szCs w:val="16"/>
              </w:rPr>
              <w:t>Values Real Estate</w:t>
            </w:r>
          </w:p>
        </w:tc>
        <w:tc>
          <w:tcPr>
            <w:tcW w:w="2190" w:type="dxa"/>
            <w:shd w:val="clear" w:color="auto" w:fill="BFBFBF" w:themeFill="background1" w:themeFillShade="BF"/>
            <w:vAlign w:val="center"/>
          </w:tcPr>
          <w:p w14:paraId="6F3466FB" w14:textId="11D92E4C" w:rsidR="00E10C5C" w:rsidRPr="00462200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E10C5C">
              <w:rPr>
                <w:rFonts w:ascii="Source Sans Pro" w:hAnsi="Source Sans Pro" w:cs="Arial"/>
                <w:sz w:val="16"/>
                <w:szCs w:val="16"/>
              </w:rPr>
              <w:t>Peakside</w:t>
            </w:r>
            <w:proofErr w:type="spellEnd"/>
            <w:r w:rsidRPr="00E10C5C">
              <w:rPr>
                <w:rFonts w:ascii="Source Sans Pro" w:hAnsi="Source Sans Pro" w:cs="Arial"/>
                <w:sz w:val="16"/>
                <w:szCs w:val="16"/>
              </w:rPr>
              <w:t xml:space="preserve"> Capital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center"/>
          </w:tcPr>
          <w:p w14:paraId="485F9B5A" w14:textId="428B352E" w:rsidR="00E10C5C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400</w:t>
            </w:r>
          </w:p>
        </w:tc>
      </w:tr>
      <w:tr w:rsidR="00E10C5C" w:rsidRPr="00161817" w14:paraId="2C38F723" w14:textId="77777777" w:rsidTr="00B03DB5">
        <w:trPr>
          <w:trHeight w:val="552"/>
        </w:trPr>
        <w:tc>
          <w:tcPr>
            <w:tcW w:w="687" w:type="dxa"/>
            <w:shd w:val="clear" w:color="auto" w:fill="BFBFBF" w:themeFill="background1" w:themeFillShade="BF"/>
            <w:vAlign w:val="center"/>
          </w:tcPr>
          <w:p w14:paraId="1F345E13" w14:textId="6DAEB893" w:rsidR="00E10C5C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3709B719" w14:textId="4C6299F9" w:rsidR="00E10C5C" w:rsidRPr="00462200" w:rsidRDefault="00E10C5C" w:rsidP="00B03DB5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E10C5C">
              <w:rPr>
                <w:rFonts w:ascii="Source Sans Pro" w:hAnsi="Source Sans Pro" w:cs="Arial"/>
                <w:sz w:val="16"/>
                <w:szCs w:val="16"/>
              </w:rPr>
              <w:t>Brienner</w:t>
            </w:r>
            <w:proofErr w:type="spellEnd"/>
            <w:r w:rsidRPr="00E10C5C">
              <w:rPr>
                <w:rFonts w:ascii="Source Sans Pro" w:hAnsi="Source Sans Pro" w:cs="Arial"/>
                <w:sz w:val="16"/>
                <w:szCs w:val="16"/>
              </w:rPr>
              <w:t xml:space="preserve"> Str</w:t>
            </w:r>
            <w:r w:rsidR="00B03DB5">
              <w:rPr>
                <w:rFonts w:ascii="Source Sans Pro" w:hAnsi="Source Sans Pro" w:cs="Arial"/>
                <w:sz w:val="16"/>
                <w:szCs w:val="16"/>
              </w:rPr>
              <w:t>aße</w:t>
            </w:r>
            <w:r w:rsidRPr="00E10C5C">
              <w:rPr>
                <w:rFonts w:ascii="Source Sans Pro" w:hAnsi="Source Sans Pro" w:cs="Arial"/>
                <w:sz w:val="16"/>
                <w:szCs w:val="16"/>
              </w:rPr>
              <w:t xml:space="preserve"> 22-28</w:t>
            </w: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14:paraId="0AC21CC4" w14:textId="0075674A" w:rsidR="00E10C5C" w:rsidRPr="00462200" w:rsidRDefault="00B03DB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B03DB5">
              <w:rPr>
                <w:rFonts w:ascii="Source Sans Pro" w:hAnsi="Source Sans Pro" w:cs="Arial"/>
                <w:sz w:val="16"/>
                <w:szCs w:val="16"/>
              </w:rPr>
              <w:t>Doblinger</w:t>
            </w:r>
            <w:proofErr w:type="spellEnd"/>
            <w:r w:rsidRPr="00B03DB5">
              <w:rPr>
                <w:rFonts w:ascii="Source Sans Pro" w:hAnsi="Source Sans Pro" w:cs="Arial"/>
                <w:sz w:val="16"/>
                <w:szCs w:val="16"/>
              </w:rPr>
              <w:t xml:space="preserve"> Unternehmensgruppe</w:t>
            </w:r>
          </w:p>
        </w:tc>
        <w:tc>
          <w:tcPr>
            <w:tcW w:w="2190" w:type="dxa"/>
            <w:shd w:val="clear" w:color="auto" w:fill="BFBFBF" w:themeFill="background1" w:themeFillShade="BF"/>
            <w:vAlign w:val="center"/>
          </w:tcPr>
          <w:p w14:paraId="53D64725" w14:textId="535A0DE4" w:rsidR="00E10C5C" w:rsidRPr="00462200" w:rsidRDefault="00B03DB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03DB5">
              <w:rPr>
                <w:rFonts w:ascii="Source Sans Pro" w:hAnsi="Source Sans Pro" w:cs="Arial"/>
                <w:sz w:val="16"/>
                <w:szCs w:val="16"/>
              </w:rPr>
              <w:t>Bayerische Landesbank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center"/>
          </w:tcPr>
          <w:p w14:paraId="5E743C44" w14:textId="4973EE26" w:rsidR="00E10C5C" w:rsidRDefault="00B03DB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360</w:t>
            </w:r>
          </w:p>
        </w:tc>
      </w:tr>
      <w:tr w:rsidR="00462200" w:rsidRPr="00161817" w14:paraId="3B1D8DB4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4D10972E" w14:textId="536DCCF2" w:rsidR="00462200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0848B51" w14:textId="25FCF876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Olympia Business Center (OBC), Georg-</w:t>
            </w: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Brauchle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>-Ring 23-25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7E16077" w14:textId="2548F1F1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Athos Family Office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C3E9E5B" w14:textId="60C6C2BF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Europa Capital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62200">
              <w:rPr>
                <w:rFonts w:ascii="Source Sans Pro" w:hAnsi="Source Sans Pro" w:cs="Arial"/>
                <w:sz w:val="16"/>
                <w:szCs w:val="16"/>
              </w:rPr>
              <w:t>/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62200">
              <w:rPr>
                <w:rFonts w:ascii="Source Sans Pro" w:hAnsi="Source Sans Pro" w:cs="Arial"/>
                <w:sz w:val="16"/>
                <w:szCs w:val="16"/>
              </w:rPr>
              <w:t>Bayern Projekt (Joint-Venture)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4DDCD3" w14:textId="0D7A6C7A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300</w:t>
            </w:r>
          </w:p>
        </w:tc>
      </w:tr>
      <w:tr w:rsidR="00E10C5C" w:rsidRPr="00161817" w14:paraId="0A144D4B" w14:textId="77777777" w:rsidTr="00B03DB5">
        <w:trPr>
          <w:trHeight w:val="552"/>
        </w:trPr>
        <w:tc>
          <w:tcPr>
            <w:tcW w:w="687" w:type="dxa"/>
            <w:shd w:val="clear" w:color="auto" w:fill="BFBFBF" w:themeFill="background1" w:themeFillShade="BF"/>
            <w:vAlign w:val="center"/>
          </w:tcPr>
          <w:p w14:paraId="02CDCE15" w14:textId="46A1803D" w:rsidR="00E10C5C" w:rsidRDefault="00B03DB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2C67A2BE" w14:textId="3AA7C971" w:rsidR="00E10C5C" w:rsidRPr="00462200" w:rsidRDefault="00B03DB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03DB5">
              <w:rPr>
                <w:rFonts w:ascii="Source Sans Pro" w:hAnsi="Source Sans Pro" w:cs="Arial"/>
                <w:sz w:val="16"/>
                <w:szCs w:val="16"/>
              </w:rPr>
              <w:t>Neue Wacker Chemie Zentrale, Gisela-Stein-Straße</w:t>
            </w: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14:paraId="1EDB25D3" w14:textId="53112E21" w:rsidR="00E10C5C" w:rsidRPr="00462200" w:rsidRDefault="00B03DB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03DB5">
              <w:rPr>
                <w:rFonts w:ascii="Source Sans Pro" w:hAnsi="Source Sans Pro" w:cs="Arial"/>
                <w:sz w:val="16"/>
                <w:szCs w:val="16"/>
              </w:rPr>
              <w:t>Pensionskasse der Wacker Chemie</w:t>
            </w:r>
          </w:p>
        </w:tc>
        <w:tc>
          <w:tcPr>
            <w:tcW w:w="2190" w:type="dxa"/>
            <w:shd w:val="clear" w:color="auto" w:fill="BFBFBF" w:themeFill="background1" w:themeFillShade="BF"/>
            <w:vAlign w:val="center"/>
          </w:tcPr>
          <w:p w14:paraId="5846CF1E" w14:textId="768EFBBB" w:rsidR="00E10C5C" w:rsidRPr="00462200" w:rsidRDefault="00B03DB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03DB5">
              <w:rPr>
                <w:rFonts w:ascii="Source Sans Pro" w:hAnsi="Source Sans Pro" w:cs="Arial"/>
                <w:sz w:val="16"/>
                <w:szCs w:val="16"/>
              </w:rPr>
              <w:t>Patrizia AG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center"/>
          </w:tcPr>
          <w:p w14:paraId="2F8485F8" w14:textId="1564F193" w:rsidR="00E10C5C" w:rsidRDefault="00B03DB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250</w:t>
            </w:r>
          </w:p>
        </w:tc>
      </w:tr>
      <w:tr w:rsidR="00B03DB5" w:rsidRPr="00161817" w14:paraId="33B536AA" w14:textId="77777777" w:rsidTr="00B03DB5">
        <w:trPr>
          <w:trHeight w:val="552"/>
        </w:trPr>
        <w:tc>
          <w:tcPr>
            <w:tcW w:w="687" w:type="dxa"/>
            <w:shd w:val="clear" w:color="auto" w:fill="BFBFBF" w:themeFill="background1" w:themeFillShade="BF"/>
            <w:vAlign w:val="center"/>
          </w:tcPr>
          <w:p w14:paraId="7C00AC54" w14:textId="3A54777E" w:rsidR="00B03DB5" w:rsidRDefault="00B03DB5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DUS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40DFFA11" w14:textId="5D7AFBAB" w:rsidR="00B03DB5" w:rsidRDefault="00B03DB5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B03DB5">
              <w:rPr>
                <w:rFonts w:ascii="Source Sans Pro" w:hAnsi="Source Sans Pro" w:cs="Arial"/>
                <w:sz w:val="16"/>
                <w:szCs w:val="16"/>
              </w:rPr>
              <w:t>Eclipse</w:t>
            </w:r>
            <w:proofErr w:type="spellEnd"/>
            <w:r w:rsidRPr="00B03DB5">
              <w:rPr>
                <w:rFonts w:ascii="Source Sans Pro" w:hAnsi="Source Sans Pro" w:cs="Arial"/>
                <w:sz w:val="16"/>
                <w:szCs w:val="16"/>
              </w:rPr>
              <w:t xml:space="preserve">, </w:t>
            </w:r>
            <w:r>
              <w:rPr>
                <w:rFonts w:ascii="Source Sans Pro" w:hAnsi="Source Sans Pro" w:cs="Arial"/>
                <w:sz w:val="16"/>
                <w:szCs w:val="16"/>
              </w:rPr>
              <w:br/>
            </w:r>
            <w:r w:rsidRPr="00B03DB5">
              <w:rPr>
                <w:rFonts w:ascii="Source Sans Pro" w:hAnsi="Source Sans Pro" w:cs="Arial"/>
                <w:sz w:val="16"/>
                <w:szCs w:val="16"/>
              </w:rPr>
              <w:t>Georg-Glock-Straße 22</w:t>
            </w: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14:paraId="6B893936" w14:textId="0D9848CA" w:rsidR="00B03DB5" w:rsidRPr="00FD0B89" w:rsidRDefault="00B03DB5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03DB5">
              <w:rPr>
                <w:rFonts w:ascii="Source Sans Pro" w:hAnsi="Source Sans Pro" w:cs="Arial"/>
                <w:sz w:val="16"/>
                <w:szCs w:val="16"/>
              </w:rPr>
              <w:t>Union Investment für "</w:t>
            </w:r>
            <w:proofErr w:type="spellStart"/>
            <w:r w:rsidRPr="00B03DB5">
              <w:rPr>
                <w:rFonts w:ascii="Source Sans Pro" w:hAnsi="Source Sans Pro" w:cs="Arial"/>
                <w:sz w:val="16"/>
                <w:szCs w:val="16"/>
              </w:rPr>
              <w:t>UniImmo</w:t>
            </w:r>
            <w:proofErr w:type="spellEnd"/>
            <w:r w:rsidRPr="00B03DB5">
              <w:rPr>
                <w:rFonts w:ascii="Source Sans Pro" w:hAnsi="Source Sans Pro" w:cs="Arial"/>
                <w:sz w:val="16"/>
                <w:szCs w:val="16"/>
              </w:rPr>
              <w:t>: Deutschland"</w:t>
            </w:r>
          </w:p>
        </w:tc>
        <w:tc>
          <w:tcPr>
            <w:tcW w:w="2190" w:type="dxa"/>
            <w:shd w:val="clear" w:color="auto" w:fill="BFBFBF" w:themeFill="background1" w:themeFillShade="BF"/>
            <w:vAlign w:val="center"/>
          </w:tcPr>
          <w:p w14:paraId="0A64C10F" w14:textId="7127991A" w:rsidR="00B03DB5" w:rsidRPr="00FD0B89" w:rsidRDefault="00B03DB5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03DB5">
              <w:rPr>
                <w:rFonts w:ascii="Source Sans Pro" w:hAnsi="Source Sans Pro" w:cs="Arial"/>
                <w:sz w:val="16"/>
                <w:szCs w:val="16"/>
              </w:rPr>
              <w:t xml:space="preserve">die </w:t>
            </w:r>
            <w:proofErr w:type="spellStart"/>
            <w:r w:rsidRPr="00B03DB5">
              <w:rPr>
                <w:rFonts w:ascii="Source Sans Pro" w:hAnsi="Source Sans Pro" w:cs="Arial"/>
                <w:sz w:val="16"/>
                <w:szCs w:val="16"/>
              </w:rPr>
              <w:t>developer</w:t>
            </w:r>
            <w:proofErr w:type="spellEnd"/>
          </w:p>
        </w:tc>
        <w:tc>
          <w:tcPr>
            <w:tcW w:w="1014" w:type="dxa"/>
            <w:shd w:val="clear" w:color="auto" w:fill="BFBFBF" w:themeFill="background1" w:themeFillShade="BF"/>
            <w:vAlign w:val="center"/>
          </w:tcPr>
          <w:p w14:paraId="564F1A6A" w14:textId="6573C3BE" w:rsidR="00B03DB5" w:rsidRDefault="00B03DB5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250</w:t>
            </w:r>
          </w:p>
        </w:tc>
      </w:tr>
      <w:tr w:rsidR="00164FEC" w:rsidRPr="00161817" w14:paraId="5A521CA0" w14:textId="77777777" w:rsidTr="00164FEC">
        <w:trPr>
          <w:trHeight w:val="56"/>
        </w:trPr>
        <w:tc>
          <w:tcPr>
            <w:tcW w:w="687" w:type="dxa"/>
            <w:shd w:val="clear" w:color="auto" w:fill="auto"/>
            <w:vAlign w:val="center"/>
          </w:tcPr>
          <w:p w14:paraId="7D26CEC7" w14:textId="77777777" w:rsidR="00164FEC" w:rsidRDefault="00164FEC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54D79E4E" w14:textId="77777777" w:rsidR="00164FEC" w:rsidRPr="00B03DB5" w:rsidRDefault="00164FEC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6EE0FF02" w14:textId="77777777" w:rsidR="00164FEC" w:rsidRPr="00B03DB5" w:rsidRDefault="00164FEC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48A3E66A" w14:textId="77777777" w:rsidR="00164FEC" w:rsidRPr="00B03DB5" w:rsidRDefault="00164FEC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52CB3F8E" w14:textId="77777777" w:rsidR="00164FEC" w:rsidRDefault="00164FEC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164FEC" w:rsidRPr="00161817" w14:paraId="0A1D279A" w14:textId="77777777" w:rsidTr="00B03DB5">
        <w:trPr>
          <w:trHeight w:val="552"/>
        </w:trPr>
        <w:tc>
          <w:tcPr>
            <w:tcW w:w="687" w:type="dxa"/>
            <w:shd w:val="clear" w:color="auto" w:fill="BFBFBF" w:themeFill="background1" w:themeFillShade="BF"/>
            <w:vAlign w:val="center"/>
          </w:tcPr>
          <w:p w14:paraId="6D796694" w14:textId="18849F2A" w:rsidR="00164FEC" w:rsidRDefault="00164FEC" w:rsidP="00164FE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6561288F" w14:textId="32DABE5D" w:rsidR="00164FEC" w:rsidRPr="00B03DB5" w:rsidRDefault="00164FEC" w:rsidP="00164FE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Techno Campus</w:t>
            </w: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14:paraId="5B5DEC42" w14:textId="0CC5C0CB" w:rsidR="00164FEC" w:rsidRPr="00B03DB5" w:rsidRDefault="00164FEC" w:rsidP="00164FE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1F602C">
              <w:rPr>
                <w:rFonts w:ascii="Source Sans Pro" w:hAnsi="Source Sans Pro" w:cs="Arial"/>
                <w:sz w:val="16"/>
                <w:szCs w:val="16"/>
              </w:rPr>
              <w:t>Caleus</w:t>
            </w:r>
            <w:proofErr w:type="spellEnd"/>
            <w:r w:rsidRPr="001F602C">
              <w:rPr>
                <w:rFonts w:ascii="Source Sans Pro" w:hAnsi="Source Sans Pro" w:cs="Arial"/>
                <w:sz w:val="16"/>
                <w:szCs w:val="16"/>
              </w:rPr>
              <w:t xml:space="preserve">  Capital Partners für den singapurischen Staatsfonds</w:t>
            </w:r>
          </w:p>
        </w:tc>
        <w:tc>
          <w:tcPr>
            <w:tcW w:w="2190" w:type="dxa"/>
            <w:shd w:val="clear" w:color="auto" w:fill="BFBFBF" w:themeFill="background1" w:themeFillShade="BF"/>
            <w:vAlign w:val="center"/>
          </w:tcPr>
          <w:p w14:paraId="3D3D98E9" w14:textId="1981D868" w:rsidR="00164FEC" w:rsidRPr="00B03DB5" w:rsidRDefault="00164FEC" w:rsidP="00164FE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F602C">
              <w:rPr>
                <w:rFonts w:ascii="Source Sans Pro" w:hAnsi="Source Sans Pro" w:cs="Arial"/>
                <w:sz w:val="16"/>
                <w:szCs w:val="16"/>
              </w:rPr>
              <w:t>AXA IM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center"/>
          </w:tcPr>
          <w:p w14:paraId="7F2002ED" w14:textId="2557CB26" w:rsidR="00164FEC" w:rsidRDefault="00164FEC" w:rsidP="00164FE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</w:tbl>
    <w:p w14:paraId="42561C64" w14:textId="7751DD71" w:rsidR="00966A04" w:rsidRDefault="00BF5E1D" w:rsidP="00EF094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 w:rsidRPr="00BF5E1D">
        <w:rPr>
          <w:rFonts w:ascii="Source Sans Pro" w:hAnsi="Source Sans Pro" w:cs="Arial"/>
          <w:sz w:val="16"/>
          <w:szCs w:val="16"/>
        </w:rPr>
        <w:t xml:space="preserve">Deals aus diesem Berichtsquartal sind grau hinterlegt. </w:t>
      </w:r>
      <w:r w:rsidR="00161817" w:rsidRPr="00161817">
        <w:rPr>
          <w:rFonts w:ascii="Source Sans Pro" w:hAnsi="Source Sans Pro" w:cs="Arial"/>
          <w:sz w:val="16"/>
          <w:szCs w:val="16"/>
        </w:rPr>
        <w:t>Quelle:</w:t>
      </w:r>
      <w:r w:rsidR="00161817" w:rsidRPr="00161817">
        <w:rPr>
          <w:rFonts w:ascii="Source Sans Pro" w:hAnsi="Source Sans Pro" w:cs="Arial"/>
          <w:sz w:val="16"/>
          <w:szCs w:val="16"/>
          <w:lang w:val="en-GB"/>
        </w:rPr>
        <w:t xml:space="preserve"> German Property Partners (GPP)</w:t>
      </w:r>
    </w:p>
    <w:p w14:paraId="42791304" w14:textId="13C87EB3" w:rsidR="00161817" w:rsidRPr="00EF0944" w:rsidRDefault="00073A63" w:rsidP="00EF094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>
        <w:rPr>
          <w:rFonts w:ascii="Source Sans Pro" w:hAnsi="Source Sans Pro" w:cs="Arial"/>
          <w:b/>
          <w:sz w:val="20"/>
          <w:lang w:val="en-GB"/>
        </w:rPr>
        <w:br/>
      </w:r>
      <w:r w:rsidR="00BF5E1D">
        <w:rPr>
          <w:rFonts w:ascii="Source Sans Pro" w:hAnsi="Source Sans Pro" w:cs="Arial"/>
          <w:b/>
          <w:sz w:val="20"/>
          <w:lang w:val="en-GB"/>
        </w:rPr>
        <w:t>Top-7-Standorte | 1.-</w:t>
      </w:r>
      <w:r w:rsidR="00147232">
        <w:rPr>
          <w:rFonts w:ascii="Source Sans Pro" w:hAnsi="Source Sans Pro" w:cs="Arial"/>
          <w:b/>
          <w:sz w:val="20"/>
          <w:lang w:val="en-GB"/>
        </w:rPr>
        <w:t>3</w:t>
      </w:r>
      <w:r w:rsidR="00B46BC1">
        <w:rPr>
          <w:rFonts w:ascii="Source Sans Pro" w:hAnsi="Source Sans Pro" w:cs="Arial"/>
          <w:b/>
          <w:sz w:val="20"/>
          <w:lang w:val="en-GB"/>
        </w:rPr>
        <w:t>.</w:t>
      </w:r>
      <w:r w:rsidR="00161817" w:rsidRPr="00161817">
        <w:rPr>
          <w:rFonts w:ascii="Source Sans Pro" w:hAnsi="Source Sans Pro" w:cs="Arial"/>
          <w:b/>
          <w:sz w:val="20"/>
          <w:lang w:val="en-GB"/>
        </w:rPr>
        <w:t xml:space="preserve"> </w:t>
      </w:r>
      <w:r w:rsidR="00161817" w:rsidRPr="00161817">
        <w:rPr>
          <w:rFonts w:ascii="Source Sans Pro" w:hAnsi="Source Sans Pro" w:cs="Arial"/>
          <w:b/>
          <w:sz w:val="20"/>
        </w:rPr>
        <w:t>Quartal 202</w:t>
      </w:r>
      <w:r w:rsidR="00F40B12">
        <w:rPr>
          <w:rFonts w:ascii="Source Sans Pro" w:hAnsi="Source Sans Pro" w:cs="Arial"/>
          <w:b/>
          <w:sz w:val="20"/>
        </w:rPr>
        <w:t>2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39"/>
        <w:gridCol w:w="817"/>
        <w:gridCol w:w="816"/>
        <w:gridCol w:w="933"/>
        <w:gridCol w:w="937"/>
        <w:gridCol w:w="937"/>
        <w:gridCol w:w="932"/>
        <w:gridCol w:w="936"/>
        <w:gridCol w:w="800"/>
      </w:tblGrid>
      <w:tr w:rsidR="00161817" w:rsidRPr="00161817" w14:paraId="22958352" w14:textId="77777777" w:rsidTr="009E6C40">
        <w:tc>
          <w:tcPr>
            <w:tcW w:w="1939" w:type="dxa"/>
          </w:tcPr>
          <w:p w14:paraId="39DB6921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817" w:type="dxa"/>
          </w:tcPr>
          <w:p w14:paraId="315CE750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HAM</w:t>
            </w:r>
          </w:p>
        </w:tc>
        <w:tc>
          <w:tcPr>
            <w:tcW w:w="816" w:type="dxa"/>
          </w:tcPr>
          <w:p w14:paraId="5422B71C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BER</w:t>
            </w:r>
          </w:p>
        </w:tc>
        <w:tc>
          <w:tcPr>
            <w:tcW w:w="933" w:type="dxa"/>
          </w:tcPr>
          <w:p w14:paraId="52D79F36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DUS</w:t>
            </w:r>
          </w:p>
        </w:tc>
        <w:tc>
          <w:tcPr>
            <w:tcW w:w="937" w:type="dxa"/>
          </w:tcPr>
          <w:p w14:paraId="3503C5FE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CGN</w:t>
            </w:r>
          </w:p>
        </w:tc>
        <w:tc>
          <w:tcPr>
            <w:tcW w:w="937" w:type="dxa"/>
          </w:tcPr>
          <w:p w14:paraId="6CCF5FE9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FFM</w:t>
            </w:r>
          </w:p>
        </w:tc>
        <w:tc>
          <w:tcPr>
            <w:tcW w:w="932" w:type="dxa"/>
          </w:tcPr>
          <w:p w14:paraId="6A9F6826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STU</w:t>
            </w:r>
          </w:p>
        </w:tc>
        <w:tc>
          <w:tcPr>
            <w:tcW w:w="936" w:type="dxa"/>
          </w:tcPr>
          <w:p w14:paraId="006B7969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MUC</w:t>
            </w:r>
          </w:p>
        </w:tc>
        <w:tc>
          <w:tcPr>
            <w:tcW w:w="800" w:type="dxa"/>
          </w:tcPr>
          <w:p w14:paraId="361D716F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TOP-7</w:t>
            </w:r>
          </w:p>
        </w:tc>
      </w:tr>
      <w:tr w:rsidR="00161817" w:rsidRPr="00161817" w14:paraId="5211E41C" w14:textId="77777777" w:rsidTr="009E6C40">
        <w:tc>
          <w:tcPr>
            <w:tcW w:w="1939" w:type="dxa"/>
          </w:tcPr>
          <w:p w14:paraId="5CDBB77B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TAV</w:t>
            </w:r>
          </w:p>
          <w:p w14:paraId="741AC997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in Mio. €</w:t>
            </w:r>
          </w:p>
        </w:tc>
        <w:tc>
          <w:tcPr>
            <w:tcW w:w="817" w:type="dxa"/>
            <w:vAlign w:val="center"/>
          </w:tcPr>
          <w:p w14:paraId="42B492E0" w14:textId="65981FA8" w:rsidR="00161817" w:rsidRPr="00161817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3.900</w:t>
            </w:r>
          </w:p>
        </w:tc>
        <w:tc>
          <w:tcPr>
            <w:tcW w:w="816" w:type="dxa"/>
            <w:vAlign w:val="center"/>
          </w:tcPr>
          <w:p w14:paraId="2473804E" w14:textId="724DA5B9" w:rsidR="00161817" w:rsidRPr="000610DA" w:rsidRDefault="00594FA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6.300</w:t>
            </w:r>
          </w:p>
        </w:tc>
        <w:tc>
          <w:tcPr>
            <w:tcW w:w="933" w:type="dxa"/>
            <w:vAlign w:val="center"/>
          </w:tcPr>
          <w:p w14:paraId="7E0DFD82" w14:textId="716D0ABC" w:rsidR="00161817" w:rsidRPr="00EC4845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2.400</w:t>
            </w:r>
          </w:p>
        </w:tc>
        <w:tc>
          <w:tcPr>
            <w:tcW w:w="937" w:type="dxa"/>
            <w:vAlign w:val="center"/>
          </w:tcPr>
          <w:p w14:paraId="79C367DF" w14:textId="3C3DB855" w:rsidR="00161817" w:rsidRPr="00161817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850</w:t>
            </w:r>
          </w:p>
        </w:tc>
        <w:tc>
          <w:tcPr>
            <w:tcW w:w="937" w:type="dxa"/>
            <w:vAlign w:val="center"/>
          </w:tcPr>
          <w:p w14:paraId="5874DBC2" w14:textId="7D7438C6" w:rsidR="00161817" w:rsidRPr="00161817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4.162</w:t>
            </w:r>
          </w:p>
        </w:tc>
        <w:tc>
          <w:tcPr>
            <w:tcW w:w="932" w:type="dxa"/>
            <w:vAlign w:val="center"/>
          </w:tcPr>
          <w:p w14:paraId="161F8429" w14:textId="3A5F4288" w:rsidR="00161817" w:rsidRPr="00E06757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841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21DD4D6" w14:textId="1DA436F5" w:rsidR="00161817" w:rsidRPr="00E06757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2.449</w:t>
            </w:r>
          </w:p>
        </w:tc>
        <w:tc>
          <w:tcPr>
            <w:tcW w:w="800" w:type="dxa"/>
            <w:vAlign w:val="center"/>
          </w:tcPr>
          <w:p w14:paraId="5D7AFB91" w14:textId="5FD466D7" w:rsidR="00161817" w:rsidRPr="00E06757" w:rsidRDefault="008B03FB" w:rsidP="00594FAC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20.</w:t>
            </w:r>
            <w:r w:rsidR="00594FAC">
              <w:rPr>
                <w:rFonts w:ascii="Source Sans Pro" w:hAnsi="Source Sans Pro" w:cs="Arial"/>
                <w:b/>
                <w:sz w:val="16"/>
                <w:szCs w:val="16"/>
              </w:rPr>
              <w:t>902</w:t>
            </w:r>
          </w:p>
        </w:tc>
      </w:tr>
      <w:tr w:rsidR="00161817" w:rsidRPr="00161817" w14:paraId="6B0F06BC" w14:textId="77777777" w:rsidTr="009E6C40">
        <w:tc>
          <w:tcPr>
            <w:tcW w:w="1939" w:type="dxa"/>
          </w:tcPr>
          <w:p w14:paraId="1368D85F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Veränderung</w:t>
            </w:r>
          </w:p>
          <w:p w14:paraId="384171F4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161817">
              <w:rPr>
                <w:rFonts w:ascii="Source Sans Pro" w:hAnsi="Source Sans Pro" w:cs="Arial"/>
                <w:sz w:val="16"/>
                <w:szCs w:val="16"/>
              </w:rPr>
              <w:t>ggü</w:t>
            </w:r>
            <w:proofErr w:type="spellEnd"/>
            <w:r w:rsidRPr="00161817">
              <w:rPr>
                <w:rFonts w:ascii="Source Sans Pro" w:hAnsi="Source Sans Pro" w:cs="Arial"/>
                <w:sz w:val="16"/>
                <w:szCs w:val="16"/>
              </w:rPr>
              <w:t>. Vorjahr</w:t>
            </w: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41BD7562" w14:textId="0AAC43BA" w:rsidR="00161817" w:rsidRPr="00B46BC1" w:rsidRDefault="00FB563F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</w:t>
            </w:r>
            <w:r w:rsidR="00E22C71">
              <w:rPr>
                <w:rFonts w:ascii="Source Sans Pro" w:hAnsi="Source Sans Pro" w:cs="Arial"/>
                <w:sz w:val="16"/>
                <w:szCs w:val="16"/>
              </w:rPr>
              <w:t>86</w:t>
            </w:r>
          </w:p>
        </w:tc>
        <w:tc>
          <w:tcPr>
            <w:tcW w:w="816" w:type="dxa"/>
            <w:vAlign w:val="center"/>
          </w:tcPr>
          <w:p w14:paraId="1C4CFEFB" w14:textId="746C04EC" w:rsidR="00161817" w:rsidRPr="000610DA" w:rsidRDefault="00E22C71" w:rsidP="00594FA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="00594FAC">
              <w:rPr>
                <w:rFonts w:ascii="Source Sans Pro" w:hAnsi="Source Sans Pro" w:cs="Arial"/>
                <w:sz w:val="16"/>
                <w:szCs w:val="16"/>
              </w:rPr>
              <w:t>2</w:t>
            </w:r>
          </w:p>
        </w:tc>
        <w:tc>
          <w:tcPr>
            <w:tcW w:w="933" w:type="dxa"/>
            <w:vAlign w:val="center"/>
          </w:tcPr>
          <w:p w14:paraId="50DE9682" w14:textId="1FB438F0" w:rsidR="00161817" w:rsidRPr="00EC4845" w:rsidRDefault="00FB563F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</w:t>
            </w:r>
            <w:r w:rsidR="00E22C71">
              <w:rPr>
                <w:rFonts w:ascii="Source Sans Pro" w:hAnsi="Source Sans Pro" w:cs="Arial"/>
                <w:sz w:val="16"/>
                <w:szCs w:val="16"/>
              </w:rPr>
              <w:t>79</w:t>
            </w:r>
          </w:p>
        </w:tc>
        <w:tc>
          <w:tcPr>
            <w:tcW w:w="937" w:type="dxa"/>
            <w:vAlign w:val="center"/>
          </w:tcPr>
          <w:p w14:paraId="0640E354" w14:textId="5581B826" w:rsidR="00161817" w:rsidRPr="00073A63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-29</w:t>
            </w:r>
          </w:p>
        </w:tc>
        <w:tc>
          <w:tcPr>
            <w:tcW w:w="937" w:type="dxa"/>
            <w:vAlign w:val="center"/>
          </w:tcPr>
          <w:p w14:paraId="025DC8CA" w14:textId="4D6371F4" w:rsidR="00161817" w:rsidRPr="00073A63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-4</w:t>
            </w:r>
          </w:p>
        </w:tc>
        <w:tc>
          <w:tcPr>
            <w:tcW w:w="932" w:type="dxa"/>
            <w:vAlign w:val="center"/>
          </w:tcPr>
          <w:p w14:paraId="62EC947E" w14:textId="323460ED" w:rsidR="00161817" w:rsidRPr="00E06757" w:rsidRDefault="00FB563F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</w:t>
            </w:r>
            <w:r w:rsidR="00E22C71">
              <w:rPr>
                <w:rFonts w:ascii="Source Sans Pro" w:hAnsi="Source Sans Pro"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9099EF0" w14:textId="6E04582C" w:rsidR="00161817" w:rsidRPr="00E06757" w:rsidRDefault="00FB563F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="00E22C71">
              <w:rPr>
                <w:rFonts w:ascii="Source Sans Pro" w:hAnsi="Source Sans Pro" w:cs="Arial"/>
                <w:sz w:val="16"/>
                <w:szCs w:val="16"/>
              </w:rPr>
              <w:t>33</w:t>
            </w:r>
          </w:p>
        </w:tc>
        <w:tc>
          <w:tcPr>
            <w:tcW w:w="800" w:type="dxa"/>
            <w:vAlign w:val="center"/>
          </w:tcPr>
          <w:p w14:paraId="71231CA6" w14:textId="5A51924B" w:rsidR="00161817" w:rsidRPr="00E06757" w:rsidRDefault="008B03FB" w:rsidP="009F488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+</w:t>
            </w:r>
            <w:r w:rsidR="009F488A">
              <w:rPr>
                <w:rFonts w:ascii="Source Sans Pro" w:hAnsi="Source Sans Pro" w:cs="Arial"/>
                <w:b/>
                <w:sz w:val="16"/>
                <w:szCs w:val="16"/>
              </w:rPr>
              <w:t>5</w:t>
            </w:r>
          </w:p>
        </w:tc>
      </w:tr>
      <w:tr w:rsidR="00161817" w:rsidRPr="00161817" w14:paraId="7F708548" w14:textId="77777777" w:rsidTr="009E6C40">
        <w:tc>
          <w:tcPr>
            <w:tcW w:w="1939" w:type="dxa"/>
          </w:tcPr>
          <w:p w14:paraId="3A82530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Spitzenrendite* Büro</w:t>
            </w:r>
          </w:p>
          <w:p w14:paraId="34B73F2E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74FF9E2D" w14:textId="7BC43298" w:rsidR="00161817" w:rsidRPr="000610DA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2,90</w:t>
            </w:r>
          </w:p>
        </w:tc>
        <w:tc>
          <w:tcPr>
            <w:tcW w:w="816" w:type="dxa"/>
            <w:vAlign w:val="center"/>
          </w:tcPr>
          <w:p w14:paraId="0D6415B8" w14:textId="285563A5" w:rsidR="00161817" w:rsidRPr="000610DA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2,90</w:t>
            </w:r>
          </w:p>
        </w:tc>
        <w:tc>
          <w:tcPr>
            <w:tcW w:w="933" w:type="dxa"/>
            <w:vAlign w:val="center"/>
          </w:tcPr>
          <w:p w14:paraId="53A1E093" w14:textId="36CF1E0D" w:rsidR="00161817" w:rsidRPr="00EC4845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3,20</w:t>
            </w:r>
          </w:p>
        </w:tc>
        <w:tc>
          <w:tcPr>
            <w:tcW w:w="937" w:type="dxa"/>
            <w:vAlign w:val="center"/>
          </w:tcPr>
          <w:p w14:paraId="0431521B" w14:textId="03BB3CF0" w:rsidR="00161817" w:rsidRPr="00073A63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3,00</w:t>
            </w:r>
          </w:p>
        </w:tc>
        <w:tc>
          <w:tcPr>
            <w:tcW w:w="937" w:type="dxa"/>
            <w:vAlign w:val="center"/>
          </w:tcPr>
          <w:p w14:paraId="73277C18" w14:textId="5F7EA777" w:rsidR="00161817" w:rsidRPr="00073A63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3,20</w:t>
            </w:r>
          </w:p>
        </w:tc>
        <w:tc>
          <w:tcPr>
            <w:tcW w:w="932" w:type="dxa"/>
            <w:vAlign w:val="center"/>
          </w:tcPr>
          <w:p w14:paraId="4CD09DF4" w14:textId="54C875FE" w:rsidR="00161817" w:rsidRPr="00E06757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3,50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486F95" w14:textId="4097B404" w:rsidR="00161817" w:rsidRPr="00E06757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3,10</w:t>
            </w:r>
          </w:p>
        </w:tc>
        <w:tc>
          <w:tcPr>
            <w:tcW w:w="800" w:type="dxa"/>
            <w:vAlign w:val="center"/>
          </w:tcPr>
          <w:p w14:paraId="47ED8E15" w14:textId="7267F278" w:rsidR="00161817" w:rsidRPr="00E06757" w:rsidRDefault="008B03FB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3,11</w:t>
            </w:r>
          </w:p>
        </w:tc>
      </w:tr>
      <w:tr w:rsidR="00161817" w:rsidRPr="00161817" w14:paraId="24583354" w14:textId="77777777" w:rsidTr="009E6C40">
        <w:tc>
          <w:tcPr>
            <w:tcW w:w="1939" w:type="dxa"/>
          </w:tcPr>
          <w:p w14:paraId="1AB60A34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ggü</w:t>
            </w:r>
            <w:proofErr w:type="spellEnd"/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. Vorjahr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%-Pkt.</w:t>
            </w:r>
          </w:p>
        </w:tc>
        <w:tc>
          <w:tcPr>
            <w:tcW w:w="817" w:type="dxa"/>
            <w:vAlign w:val="center"/>
          </w:tcPr>
          <w:p w14:paraId="54B227DC" w14:textId="75D3BFB4" w:rsidR="00161817" w:rsidRPr="00161817" w:rsidRDefault="00E22C71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</w:t>
            </w:r>
            <w:r w:rsidR="005C0436" w:rsidRPr="005C0436">
              <w:rPr>
                <w:rFonts w:ascii="Source Sans Pro" w:hAnsi="Source Sans Pro" w:cs="Arial"/>
                <w:sz w:val="16"/>
                <w:szCs w:val="16"/>
              </w:rPr>
              <w:t>0,</w:t>
            </w:r>
            <w:r>
              <w:rPr>
                <w:rFonts w:ascii="Source Sans Pro" w:hAnsi="Source Sans Pro" w:cs="Arial"/>
                <w:sz w:val="16"/>
                <w:szCs w:val="16"/>
              </w:rPr>
              <w:t>3</w:t>
            </w:r>
            <w:r w:rsidR="005C0436" w:rsidRPr="005C0436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center"/>
          </w:tcPr>
          <w:p w14:paraId="51AFFAE3" w14:textId="77779A8F" w:rsidR="00161817" w:rsidRPr="000610DA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+0,2</w:t>
            </w:r>
            <w:r w:rsidR="00E22C71">
              <w:rPr>
                <w:rFonts w:ascii="Source Sans Pro" w:hAnsi="Source Sans Pro" w:cs="Arial"/>
                <w:sz w:val="16"/>
                <w:szCs w:val="16"/>
              </w:rPr>
              <w:t>5</w:t>
            </w:r>
          </w:p>
        </w:tc>
        <w:tc>
          <w:tcPr>
            <w:tcW w:w="933" w:type="dxa"/>
            <w:vAlign w:val="center"/>
          </w:tcPr>
          <w:p w14:paraId="6738B9BE" w14:textId="65949348" w:rsidR="00161817" w:rsidRPr="00161817" w:rsidRDefault="00E22C71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+0,30</w:t>
            </w:r>
          </w:p>
        </w:tc>
        <w:tc>
          <w:tcPr>
            <w:tcW w:w="937" w:type="dxa"/>
            <w:vAlign w:val="center"/>
          </w:tcPr>
          <w:p w14:paraId="063AA1B7" w14:textId="33DE1367" w:rsidR="00161817" w:rsidRPr="00073A63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C0436">
              <w:rPr>
                <w:rFonts w:ascii="Source Sans Pro" w:hAnsi="Source Sans Pro" w:cs="Arial"/>
                <w:sz w:val="16"/>
                <w:szCs w:val="16"/>
              </w:rPr>
              <w:t>±0,00</w:t>
            </w:r>
          </w:p>
        </w:tc>
        <w:tc>
          <w:tcPr>
            <w:tcW w:w="937" w:type="dxa"/>
            <w:vAlign w:val="center"/>
          </w:tcPr>
          <w:p w14:paraId="125AAE58" w14:textId="5DF55FCB" w:rsidR="00161817" w:rsidRPr="00073A63" w:rsidRDefault="005C0436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+0,</w:t>
            </w:r>
            <w:r w:rsidR="00E22C71">
              <w:rPr>
                <w:rFonts w:ascii="Source Sans Pro" w:hAnsi="Source Sans Pro" w:cs="Arial"/>
                <w:sz w:val="16"/>
                <w:szCs w:val="16"/>
              </w:rPr>
              <w:t>3</w:t>
            </w:r>
            <w:r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32" w:type="dxa"/>
            <w:vAlign w:val="center"/>
          </w:tcPr>
          <w:p w14:paraId="3BDF16AC" w14:textId="4AE73CE7" w:rsidR="00161817" w:rsidRPr="00073A63" w:rsidRDefault="00E22C71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</w:t>
            </w:r>
            <w:r w:rsidR="005C0436">
              <w:rPr>
                <w:rFonts w:ascii="Source Sans Pro" w:hAnsi="Source Sans Pro" w:cs="Arial"/>
                <w:sz w:val="16"/>
                <w:szCs w:val="16"/>
              </w:rPr>
              <w:t>0,</w:t>
            </w:r>
            <w:r>
              <w:rPr>
                <w:rFonts w:ascii="Source Sans Pro" w:hAnsi="Source Sans Pro" w:cs="Arial"/>
                <w:sz w:val="16"/>
                <w:szCs w:val="16"/>
              </w:rPr>
              <w:t>7</w:t>
            </w:r>
            <w:r w:rsidR="005C0436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875A0DE" w14:textId="70C66836" w:rsidR="00161817" w:rsidRPr="00462200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+0,3</w:t>
            </w:r>
            <w:r w:rsidR="008B03FB">
              <w:rPr>
                <w:rFonts w:ascii="Source Sans Pro" w:hAnsi="Source Sans Pro" w:cs="Arial"/>
                <w:sz w:val="16"/>
                <w:szCs w:val="16"/>
              </w:rPr>
              <w:t>5</w:t>
            </w:r>
          </w:p>
        </w:tc>
        <w:tc>
          <w:tcPr>
            <w:tcW w:w="800" w:type="dxa"/>
            <w:vAlign w:val="center"/>
          </w:tcPr>
          <w:p w14:paraId="53A9636D" w14:textId="4456C5D6" w:rsidR="00161817" w:rsidRPr="00161817" w:rsidRDefault="008B03FB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+0,31</w:t>
            </w:r>
          </w:p>
        </w:tc>
      </w:tr>
      <w:tr w:rsidR="00161817" w:rsidRPr="00161817" w14:paraId="2D937C1C" w14:textId="77777777" w:rsidTr="009E6C40">
        <w:tc>
          <w:tcPr>
            <w:tcW w:w="1939" w:type="dxa"/>
          </w:tcPr>
          <w:p w14:paraId="66B5D21D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Spitzenrendite* Logistik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684A9001" w14:textId="18539634" w:rsidR="00161817" w:rsidRPr="00FB551B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3,5</w:t>
            </w:r>
            <w:r w:rsidR="005C0436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center"/>
          </w:tcPr>
          <w:p w14:paraId="0F835EAB" w14:textId="0E49BBD7" w:rsidR="00161817" w:rsidRPr="005C0436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C0436">
              <w:rPr>
                <w:rFonts w:ascii="Source Sans Pro" w:hAnsi="Source Sans Pro" w:cs="Arial"/>
                <w:sz w:val="16"/>
                <w:szCs w:val="16"/>
              </w:rPr>
              <w:t>3,2</w:t>
            </w:r>
            <w:r w:rsidR="00E22C71">
              <w:rPr>
                <w:rFonts w:ascii="Source Sans Pro" w:hAnsi="Source Sans Pro" w:cs="Arial"/>
                <w:sz w:val="16"/>
                <w:szCs w:val="16"/>
              </w:rPr>
              <w:t>5</w:t>
            </w:r>
          </w:p>
        </w:tc>
        <w:tc>
          <w:tcPr>
            <w:tcW w:w="933" w:type="dxa"/>
            <w:vAlign w:val="center"/>
          </w:tcPr>
          <w:p w14:paraId="3DD3739A" w14:textId="378FDC87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3,45</w:t>
            </w:r>
          </w:p>
        </w:tc>
        <w:tc>
          <w:tcPr>
            <w:tcW w:w="937" w:type="dxa"/>
            <w:vAlign w:val="center"/>
          </w:tcPr>
          <w:p w14:paraId="7406BE99" w14:textId="58ED7B5A" w:rsidR="00161817" w:rsidRPr="00073A63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3,3</w:t>
            </w:r>
            <w:r w:rsidR="005C0436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37" w:type="dxa"/>
            <w:vAlign w:val="center"/>
          </w:tcPr>
          <w:p w14:paraId="41CAE3C0" w14:textId="79CAC2B9" w:rsidR="00161817" w:rsidRPr="00073A63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3,9</w:t>
            </w:r>
            <w:r w:rsidR="005C0436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32" w:type="dxa"/>
            <w:vAlign w:val="center"/>
          </w:tcPr>
          <w:p w14:paraId="1F901372" w14:textId="7BCC69B0" w:rsidR="00161817" w:rsidRPr="00073A63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546B5F5" w14:textId="238132F1" w:rsidR="00161817" w:rsidRPr="00462200" w:rsidRDefault="008B03FB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3,50</w:t>
            </w:r>
          </w:p>
        </w:tc>
        <w:tc>
          <w:tcPr>
            <w:tcW w:w="800" w:type="dxa"/>
            <w:vAlign w:val="center"/>
          </w:tcPr>
          <w:p w14:paraId="34BF6507" w14:textId="070FF76F" w:rsidR="00161817" w:rsidRPr="00161817" w:rsidRDefault="008B03FB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3,56</w:t>
            </w:r>
          </w:p>
        </w:tc>
      </w:tr>
      <w:tr w:rsidR="00161817" w:rsidRPr="00161817" w14:paraId="5A0BD9F2" w14:textId="77777777" w:rsidTr="009E6C40">
        <w:tc>
          <w:tcPr>
            <w:tcW w:w="1939" w:type="dxa"/>
          </w:tcPr>
          <w:p w14:paraId="0E0D0B5A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ggü</w:t>
            </w:r>
            <w:proofErr w:type="spellEnd"/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. Vorjahr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%-Pkt.</w:t>
            </w:r>
          </w:p>
        </w:tc>
        <w:tc>
          <w:tcPr>
            <w:tcW w:w="817" w:type="dxa"/>
            <w:vAlign w:val="center"/>
          </w:tcPr>
          <w:p w14:paraId="2579329F" w14:textId="5691C216" w:rsidR="00161817" w:rsidRPr="00072A30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C0436">
              <w:rPr>
                <w:rFonts w:ascii="Source Sans Pro" w:hAnsi="Source Sans Pro" w:cs="Arial"/>
                <w:sz w:val="16"/>
                <w:szCs w:val="16"/>
              </w:rPr>
              <w:t>±0,00</w:t>
            </w:r>
          </w:p>
        </w:tc>
        <w:tc>
          <w:tcPr>
            <w:tcW w:w="816" w:type="dxa"/>
            <w:vAlign w:val="center"/>
          </w:tcPr>
          <w:p w14:paraId="3597B6B5" w14:textId="7672879B" w:rsidR="00161817" w:rsidRPr="00161817" w:rsidRDefault="005C0436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</w:t>
            </w:r>
            <w:r w:rsidR="00E22C71">
              <w:rPr>
                <w:rFonts w:ascii="Source Sans Pro" w:hAnsi="Source Sans Pro" w:cs="Arial"/>
                <w:sz w:val="16"/>
                <w:szCs w:val="16"/>
              </w:rPr>
              <w:t>25</w:t>
            </w:r>
          </w:p>
        </w:tc>
        <w:tc>
          <w:tcPr>
            <w:tcW w:w="933" w:type="dxa"/>
            <w:vAlign w:val="center"/>
          </w:tcPr>
          <w:p w14:paraId="18491965" w14:textId="40D9DB28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-0,30</w:t>
            </w:r>
          </w:p>
        </w:tc>
        <w:tc>
          <w:tcPr>
            <w:tcW w:w="937" w:type="dxa"/>
            <w:vAlign w:val="center"/>
          </w:tcPr>
          <w:p w14:paraId="475FF0C9" w14:textId="22E615BF" w:rsidR="00161817" w:rsidRPr="00073A63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-0,2</w:t>
            </w:r>
            <w:r w:rsidR="005C0436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37" w:type="dxa"/>
            <w:vAlign w:val="center"/>
          </w:tcPr>
          <w:p w14:paraId="46A53898" w14:textId="12901AE0" w:rsidR="00161817" w:rsidRPr="00073A63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+0,3</w:t>
            </w:r>
            <w:r w:rsidR="005C0436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32" w:type="dxa"/>
            <w:vAlign w:val="center"/>
          </w:tcPr>
          <w:p w14:paraId="4B78F66F" w14:textId="3CB2FDFE" w:rsidR="00161817" w:rsidRPr="00073A63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+0,30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92EAA5" w14:textId="70788F2A" w:rsidR="00161817" w:rsidRPr="00462200" w:rsidRDefault="008B03FB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C0436">
              <w:rPr>
                <w:rFonts w:ascii="Source Sans Pro" w:hAnsi="Source Sans Pro" w:cs="Arial"/>
                <w:sz w:val="16"/>
                <w:szCs w:val="16"/>
              </w:rPr>
              <w:t>±0,00</w:t>
            </w:r>
          </w:p>
        </w:tc>
        <w:tc>
          <w:tcPr>
            <w:tcW w:w="800" w:type="dxa"/>
            <w:vAlign w:val="center"/>
          </w:tcPr>
          <w:p w14:paraId="7140B27A" w14:textId="53A849D3" w:rsidR="00161817" w:rsidRPr="00161817" w:rsidRDefault="005C0436" w:rsidP="008B03FB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-0,</w:t>
            </w:r>
            <w:r w:rsidR="008B03FB">
              <w:rPr>
                <w:rFonts w:ascii="Source Sans Pro" w:hAnsi="Source Sans Pro" w:cs="Arial"/>
                <w:b/>
                <w:sz w:val="16"/>
                <w:szCs w:val="16"/>
              </w:rPr>
              <w:t>02</w:t>
            </w:r>
          </w:p>
        </w:tc>
      </w:tr>
      <w:tr w:rsidR="00161817" w:rsidRPr="00161817" w14:paraId="57899BA9" w14:textId="77777777" w:rsidTr="009E6C40">
        <w:tc>
          <w:tcPr>
            <w:tcW w:w="1939" w:type="dxa"/>
          </w:tcPr>
          <w:p w14:paraId="13B4FAD9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Stärkste</w:t>
            </w:r>
          </w:p>
          <w:p w14:paraId="210819D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Assetklasse</w:t>
            </w:r>
          </w:p>
        </w:tc>
        <w:tc>
          <w:tcPr>
            <w:tcW w:w="817" w:type="dxa"/>
            <w:vAlign w:val="center"/>
          </w:tcPr>
          <w:p w14:paraId="4ED34F9A" w14:textId="6A6BA43F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816" w:type="dxa"/>
            <w:vAlign w:val="center"/>
          </w:tcPr>
          <w:p w14:paraId="1BA19745" w14:textId="1B3A13FC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3" w:type="dxa"/>
            <w:vAlign w:val="center"/>
          </w:tcPr>
          <w:p w14:paraId="2135011E" w14:textId="41914708" w:rsidR="00161817" w:rsidRPr="00161817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7" w:type="dxa"/>
            <w:vAlign w:val="center"/>
          </w:tcPr>
          <w:p w14:paraId="0978A794" w14:textId="256C2373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7" w:type="dxa"/>
            <w:vAlign w:val="center"/>
          </w:tcPr>
          <w:p w14:paraId="74C19DC6" w14:textId="1E058844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2" w:type="dxa"/>
            <w:vAlign w:val="center"/>
          </w:tcPr>
          <w:p w14:paraId="42CE99EF" w14:textId="58A9F0D1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AF439F9" w14:textId="7FD167E6" w:rsidR="00161817" w:rsidRPr="00462200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800" w:type="dxa"/>
            <w:vAlign w:val="center"/>
          </w:tcPr>
          <w:p w14:paraId="5660B842" w14:textId="3884C365" w:rsidR="00161817" w:rsidRPr="005C0436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C0436">
              <w:rPr>
                <w:rFonts w:ascii="Source Sans Pro" w:hAnsi="Source Sans Pro" w:cs="Arial"/>
                <w:b/>
                <w:sz w:val="16"/>
                <w:szCs w:val="16"/>
              </w:rPr>
              <w:t>Büro</w:t>
            </w:r>
          </w:p>
        </w:tc>
      </w:tr>
      <w:tr w:rsidR="00161817" w:rsidRPr="00161817" w14:paraId="7FF3344D" w14:textId="77777777" w:rsidTr="009E6C40">
        <w:tc>
          <w:tcPr>
            <w:tcW w:w="1939" w:type="dxa"/>
          </w:tcPr>
          <w:p w14:paraId="55257A8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Stärkste</w:t>
            </w:r>
          </w:p>
          <w:p w14:paraId="19D9BE7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Assetklasse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516BE07F" w14:textId="7A5A3F38" w:rsidR="00161817" w:rsidRPr="00161817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80</w:t>
            </w:r>
          </w:p>
        </w:tc>
        <w:tc>
          <w:tcPr>
            <w:tcW w:w="816" w:type="dxa"/>
            <w:vAlign w:val="center"/>
          </w:tcPr>
          <w:p w14:paraId="3290541C" w14:textId="5EA6F13A" w:rsidR="00161817" w:rsidRPr="00161817" w:rsidRDefault="00E745B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71</w:t>
            </w:r>
          </w:p>
        </w:tc>
        <w:tc>
          <w:tcPr>
            <w:tcW w:w="933" w:type="dxa"/>
            <w:vAlign w:val="center"/>
          </w:tcPr>
          <w:p w14:paraId="65F78631" w14:textId="402F729E" w:rsidR="00161817" w:rsidRPr="00161817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70</w:t>
            </w:r>
          </w:p>
        </w:tc>
        <w:tc>
          <w:tcPr>
            <w:tcW w:w="937" w:type="dxa"/>
            <w:vAlign w:val="center"/>
          </w:tcPr>
          <w:p w14:paraId="63E405B4" w14:textId="6869143D" w:rsidR="00161817" w:rsidRPr="00073A63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66</w:t>
            </w:r>
          </w:p>
        </w:tc>
        <w:tc>
          <w:tcPr>
            <w:tcW w:w="937" w:type="dxa"/>
            <w:vAlign w:val="center"/>
          </w:tcPr>
          <w:p w14:paraId="3DBBA68E" w14:textId="4ADF8765" w:rsidR="00161817" w:rsidRPr="00073A63" w:rsidRDefault="00E22C7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79</w:t>
            </w:r>
          </w:p>
        </w:tc>
        <w:tc>
          <w:tcPr>
            <w:tcW w:w="932" w:type="dxa"/>
            <w:vAlign w:val="center"/>
          </w:tcPr>
          <w:p w14:paraId="62F15918" w14:textId="0F974FA0" w:rsidR="00161817" w:rsidRPr="00073A63" w:rsidRDefault="005C043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FF3E0CF" w14:textId="6CFB9EA5" w:rsidR="00161817" w:rsidRPr="00462200" w:rsidRDefault="008B03FB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70</w:t>
            </w:r>
          </w:p>
        </w:tc>
        <w:tc>
          <w:tcPr>
            <w:tcW w:w="800" w:type="dxa"/>
            <w:vAlign w:val="center"/>
          </w:tcPr>
          <w:p w14:paraId="2A043F0A" w14:textId="1E68FC09" w:rsidR="00161817" w:rsidRPr="00161817" w:rsidRDefault="005C0436" w:rsidP="008B03FB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7</w:t>
            </w:r>
            <w:r w:rsidR="008B03FB">
              <w:rPr>
                <w:rFonts w:ascii="Source Sans Pro" w:hAnsi="Source Sans Pro" w:cs="Arial"/>
                <w:b/>
                <w:sz w:val="16"/>
                <w:szCs w:val="16"/>
              </w:rPr>
              <w:t>3</w:t>
            </w:r>
          </w:p>
        </w:tc>
      </w:tr>
    </w:tbl>
    <w:p w14:paraId="24F7C797" w14:textId="5003AE93" w:rsidR="00DA733A" w:rsidRPr="00161817" w:rsidRDefault="00161817" w:rsidP="00DA733A">
      <w:pPr>
        <w:pStyle w:val="EinfAbs"/>
        <w:tabs>
          <w:tab w:val="left" w:pos="200"/>
        </w:tabs>
        <w:jc w:val="both"/>
        <w:rPr>
          <w:rFonts w:ascii="Source Sans Pro" w:hAnsi="Source Sans Pro" w:cs="Arial"/>
          <w:sz w:val="16"/>
          <w:szCs w:val="16"/>
        </w:rPr>
      </w:pPr>
      <w:r w:rsidRPr="00161817">
        <w:rPr>
          <w:rFonts w:ascii="Source Sans Pro" w:hAnsi="Source Sans Pro" w:cs="Arial"/>
          <w:sz w:val="16"/>
          <w:szCs w:val="16"/>
        </w:rPr>
        <w:t>* Nettoanfangsrendite; Quelle: German Property Partners (GPP)</w:t>
      </w:r>
    </w:p>
    <w:p w14:paraId="384D0EB4" w14:textId="77777777" w:rsidR="00161817" w:rsidRDefault="00161817" w:rsidP="00DA733A">
      <w:pPr>
        <w:pStyle w:val="EinfAbs"/>
        <w:tabs>
          <w:tab w:val="left" w:pos="200"/>
        </w:tabs>
        <w:jc w:val="both"/>
        <w:rPr>
          <w:rFonts w:ascii="Source Sans Pro" w:hAnsi="Source Sans Pro" w:cs="Source Sans Pro"/>
          <w:sz w:val="22"/>
          <w:szCs w:val="22"/>
        </w:rPr>
      </w:pPr>
      <w:bookmarkStart w:id="0" w:name="_GoBack"/>
      <w:bookmarkEnd w:id="0"/>
    </w:p>
    <w:p w14:paraId="50B0AF24" w14:textId="04CDDE4D" w:rsidR="00DA733A" w:rsidRPr="00966A04" w:rsidRDefault="002B63FD" w:rsidP="00966A04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>ÜBER GERMAN PROPERTY PARTNERS</w:t>
      </w:r>
      <w:r w:rsidR="00DA733A"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 </w:t>
      </w:r>
    </w:p>
    <w:p w14:paraId="47B60849" w14:textId="77777777" w:rsidR="00E1280F" w:rsidRPr="00E1280F" w:rsidRDefault="00F25E4C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8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</w:t>
      </w:r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lastRenderedPageBreak/>
        <w:t xml:space="preserve">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267071B" w14:textId="5194F420" w:rsidR="00D56A51" w:rsidRPr="00662564" w:rsidRDefault="00F40B12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640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00 m² Gewerbefläche und betreute ein Transaktionsvolumen in Höhe von rund 2,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Mrd. €.</w:t>
      </w:r>
      <w:r w:rsidR="00662564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br/>
      </w:r>
      <w:r w:rsidR="0049485B">
        <w:rPr>
          <w:rFonts w:ascii="Source Sans Pro" w:hAnsi="Source Sans Pro" w:cs="Source Sans Pro"/>
          <w:color w:val="0087A8"/>
          <w:sz w:val="18"/>
          <w:szCs w:val="18"/>
        </w:rPr>
        <w:br/>
      </w:r>
      <w:hyperlink r:id="rId9" w:history="1">
        <w:r w:rsidR="00D56A51" w:rsidRPr="00F505E8">
          <w:rPr>
            <w:rStyle w:val="Hyperlink"/>
            <w:rFonts w:ascii="Source Sans Pro SemiBold" w:hAnsi="Source Sans Pro SemiBold" w:cs="Source Sans Pro SemiBold"/>
            <w:b/>
            <w:bCs/>
            <w:sz w:val="18"/>
            <w:szCs w:val="18"/>
          </w:rPr>
          <w:t>www.germanpropertypartners.de</w:t>
        </w:r>
      </w:hyperlink>
    </w:p>
    <w:p w14:paraId="1EB42925" w14:textId="77777777" w:rsidR="0049485B" w:rsidRDefault="0049485B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sz w:val="14"/>
          <w:szCs w:val="14"/>
        </w:rPr>
      </w:pPr>
    </w:p>
    <w:p w14:paraId="468FAFF6" w14:textId="707A4BA0" w:rsidR="005C25D5" w:rsidRDefault="00290672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4"/>
          <w:szCs w:val="14"/>
        </w:rPr>
      </w:pPr>
      <w:r w:rsidRPr="00290672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</w:t>
      </w:r>
      <w:hyperlink r:id="rId10" w:history="1">
        <w:r w:rsidR="00DA733A" w:rsidRPr="00525C2E">
          <w:rPr>
            <w:rStyle w:val="Hyperlink"/>
            <w:rFonts w:ascii="Source Sans Pro" w:hAnsi="Source Sans Pro" w:cs="Source Sans Pro"/>
            <w:sz w:val="14"/>
            <w:szCs w:val="14"/>
          </w:rPr>
          <w:t>www.germanpropertypartners.de/datenschutz</w:t>
        </w:r>
      </w:hyperlink>
      <w:r w:rsidR="00DA733A" w:rsidRPr="00917410">
        <w:rPr>
          <w:rFonts w:ascii="Source Sans Pro" w:hAnsi="Source Sans Pro" w:cs="Source Sans Pro"/>
          <w:sz w:val="14"/>
          <w:szCs w:val="14"/>
        </w:rPr>
        <w:t xml:space="preserve">. Wenn Sie künftig keine Informationen der GPP-Pressestelle mehr erhalten möchten, senden Sie bitte eine E-Mail an presse@germanpropertypartners.de mit dem Betreff „Abmeldung aus Presseverteiler“. </w:t>
      </w:r>
    </w:p>
    <w:p w14:paraId="7BEB94CE" w14:textId="77777777" w:rsidR="0049485B" w:rsidRPr="00D56A51" w:rsidRDefault="0049485B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</w:p>
    <w:sectPr w:rsidR="0049485B" w:rsidRPr="00D56A51" w:rsidSect="001B786B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426CDFC0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F25E4C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F25E4C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64D43374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9B008F">
      <w:rPr>
        <w:rFonts w:ascii="Source Sans Pro" w:hAnsi="Source Sans Pro" w:cs="Source Sans Pro"/>
        <w:color w:val="0087A8"/>
        <w:sz w:val="18"/>
        <w:szCs w:val="18"/>
      </w:rPr>
      <w:t>T  +49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</w:t>
    </w:r>
    <w:r w:rsidR="00F40B12">
      <w:rPr>
        <w:rFonts w:ascii="Source Sans Pro" w:hAnsi="Source Sans Pro" w:cs="Source Sans Pro"/>
        <w:color w:val="0087A8"/>
        <w:sz w:val="18"/>
        <w:szCs w:val="18"/>
      </w:rPr>
      <w:t>588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1406C3DE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B12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00FD1E85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F25E4C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F25E4C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66F57D6E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F40B12">
      <w:rPr>
        <w:rFonts w:ascii="Source Sans Pro" w:hAnsi="Source Sans Pro" w:cs="Source Sans Pro"/>
        <w:color w:val="0087A8"/>
        <w:sz w:val="18"/>
        <w:szCs w:val="18"/>
      </w:rPr>
      <w:t>588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64DE11DF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B12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0F50"/>
    <w:rsid w:val="00001F24"/>
    <w:rsid w:val="000021F4"/>
    <w:rsid w:val="00004E93"/>
    <w:rsid w:val="000136D7"/>
    <w:rsid w:val="00013C9D"/>
    <w:rsid w:val="00013D73"/>
    <w:rsid w:val="00020AC9"/>
    <w:rsid w:val="00027EA3"/>
    <w:rsid w:val="00032028"/>
    <w:rsid w:val="000440EB"/>
    <w:rsid w:val="0005029E"/>
    <w:rsid w:val="000610DA"/>
    <w:rsid w:val="00064553"/>
    <w:rsid w:val="000663B5"/>
    <w:rsid w:val="00066A8A"/>
    <w:rsid w:val="0007265C"/>
    <w:rsid w:val="00072A30"/>
    <w:rsid w:val="00073A63"/>
    <w:rsid w:val="00075C3C"/>
    <w:rsid w:val="00077E8A"/>
    <w:rsid w:val="00082C59"/>
    <w:rsid w:val="000865B9"/>
    <w:rsid w:val="00091562"/>
    <w:rsid w:val="0009382E"/>
    <w:rsid w:val="000A12F9"/>
    <w:rsid w:val="000A4FBB"/>
    <w:rsid w:val="000A6A78"/>
    <w:rsid w:val="000B310B"/>
    <w:rsid w:val="000B48CF"/>
    <w:rsid w:val="000C3A22"/>
    <w:rsid w:val="000C765F"/>
    <w:rsid w:val="000D5A87"/>
    <w:rsid w:val="000D7B09"/>
    <w:rsid w:val="000D7FD3"/>
    <w:rsid w:val="000E194E"/>
    <w:rsid w:val="000E4F2C"/>
    <w:rsid w:val="000E6577"/>
    <w:rsid w:val="000E694E"/>
    <w:rsid w:val="000E716C"/>
    <w:rsid w:val="000F57F1"/>
    <w:rsid w:val="001104E2"/>
    <w:rsid w:val="00110E37"/>
    <w:rsid w:val="0011143B"/>
    <w:rsid w:val="00113D8C"/>
    <w:rsid w:val="00120624"/>
    <w:rsid w:val="001208CE"/>
    <w:rsid w:val="0012156C"/>
    <w:rsid w:val="00131DC5"/>
    <w:rsid w:val="001340F8"/>
    <w:rsid w:val="00143DF8"/>
    <w:rsid w:val="00143FCB"/>
    <w:rsid w:val="00146388"/>
    <w:rsid w:val="00147232"/>
    <w:rsid w:val="00150092"/>
    <w:rsid w:val="001550FE"/>
    <w:rsid w:val="00155828"/>
    <w:rsid w:val="00156AF6"/>
    <w:rsid w:val="00156B89"/>
    <w:rsid w:val="00161817"/>
    <w:rsid w:val="00162CC4"/>
    <w:rsid w:val="001647B3"/>
    <w:rsid w:val="00164FEC"/>
    <w:rsid w:val="00166ED2"/>
    <w:rsid w:val="00176433"/>
    <w:rsid w:val="0018092C"/>
    <w:rsid w:val="00184AA3"/>
    <w:rsid w:val="00184BB0"/>
    <w:rsid w:val="001963BB"/>
    <w:rsid w:val="001A145B"/>
    <w:rsid w:val="001A22F5"/>
    <w:rsid w:val="001A26C5"/>
    <w:rsid w:val="001B786B"/>
    <w:rsid w:val="001C0C8F"/>
    <w:rsid w:val="001C32DB"/>
    <w:rsid w:val="001C44E5"/>
    <w:rsid w:val="001C518B"/>
    <w:rsid w:val="001C6DDD"/>
    <w:rsid w:val="001D0F2C"/>
    <w:rsid w:val="001E1829"/>
    <w:rsid w:val="001E5503"/>
    <w:rsid w:val="001F218D"/>
    <w:rsid w:val="001F35E1"/>
    <w:rsid w:val="001F602C"/>
    <w:rsid w:val="00200C83"/>
    <w:rsid w:val="002014F7"/>
    <w:rsid w:val="00202DD3"/>
    <w:rsid w:val="00216C8D"/>
    <w:rsid w:val="00225428"/>
    <w:rsid w:val="0022694F"/>
    <w:rsid w:val="00235393"/>
    <w:rsid w:val="00236619"/>
    <w:rsid w:val="00264A0A"/>
    <w:rsid w:val="00265CA3"/>
    <w:rsid w:val="0028070D"/>
    <w:rsid w:val="00282ED8"/>
    <w:rsid w:val="00285C8D"/>
    <w:rsid w:val="00290672"/>
    <w:rsid w:val="002A09C2"/>
    <w:rsid w:val="002A1D57"/>
    <w:rsid w:val="002A480D"/>
    <w:rsid w:val="002A7D58"/>
    <w:rsid w:val="002B63FD"/>
    <w:rsid w:val="002B749A"/>
    <w:rsid w:val="002C52C5"/>
    <w:rsid w:val="002D6E58"/>
    <w:rsid w:val="002E1C45"/>
    <w:rsid w:val="002E2673"/>
    <w:rsid w:val="002E5673"/>
    <w:rsid w:val="002F461A"/>
    <w:rsid w:val="002F786B"/>
    <w:rsid w:val="00306932"/>
    <w:rsid w:val="003152C9"/>
    <w:rsid w:val="00315870"/>
    <w:rsid w:val="00316196"/>
    <w:rsid w:val="00322436"/>
    <w:rsid w:val="003250ED"/>
    <w:rsid w:val="0032698C"/>
    <w:rsid w:val="00341D84"/>
    <w:rsid w:val="003424EC"/>
    <w:rsid w:val="0034454C"/>
    <w:rsid w:val="0035171C"/>
    <w:rsid w:val="00355438"/>
    <w:rsid w:val="00355ED1"/>
    <w:rsid w:val="00361BB2"/>
    <w:rsid w:val="00363075"/>
    <w:rsid w:val="00366AF3"/>
    <w:rsid w:val="00371640"/>
    <w:rsid w:val="00374F87"/>
    <w:rsid w:val="00392E9E"/>
    <w:rsid w:val="003938C9"/>
    <w:rsid w:val="003948FA"/>
    <w:rsid w:val="003A463F"/>
    <w:rsid w:val="003B63A8"/>
    <w:rsid w:val="003D346B"/>
    <w:rsid w:val="003D36F0"/>
    <w:rsid w:val="003D5215"/>
    <w:rsid w:val="003D5D91"/>
    <w:rsid w:val="003E772C"/>
    <w:rsid w:val="003F293B"/>
    <w:rsid w:val="003F5E07"/>
    <w:rsid w:val="0040331F"/>
    <w:rsid w:val="00403C95"/>
    <w:rsid w:val="0041188F"/>
    <w:rsid w:val="0042270C"/>
    <w:rsid w:val="00423DAC"/>
    <w:rsid w:val="00425DBF"/>
    <w:rsid w:val="00430DA2"/>
    <w:rsid w:val="004329C6"/>
    <w:rsid w:val="004343B1"/>
    <w:rsid w:val="00434EB9"/>
    <w:rsid w:val="00436DD0"/>
    <w:rsid w:val="00443C1C"/>
    <w:rsid w:val="00453F14"/>
    <w:rsid w:val="00456442"/>
    <w:rsid w:val="00462200"/>
    <w:rsid w:val="00472FB1"/>
    <w:rsid w:val="00474099"/>
    <w:rsid w:val="00476554"/>
    <w:rsid w:val="0048369D"/>
    <w:rsid w:val="00491CBC"/>
    <w:rsid w:val="0049485B"/>
    <w:rsid w:val="00496CB5"/>
    <w:rsid w:val="004A2A30"/>
    <w:rsid w:val="004A2D54"/>
    <w:rsid w:val="004A60FB"/>
    <w:rsid w:val="004B5CB6"/>
    <w:rsid w:val="004C10E2"/>
    <w:rsid w:val="004C60B1"/>
    <w:rsid w:val="004C616B"/>
    <w:rsid w:val="004D2CD0"/>
    <w:rsid w:val="004D30FB"/>
    <w:rsid w:val="004F1EDD"/>
    <w:rsid w:val="004F77D4"/>
    <w:rsid w:val="00500981"/>
    <w:rsid w:val="00501428"/>
    <w:rsid w:val="005045E7"/>
    <w:rsid w:val="00505180"/>
    <w:rsid w:val="00510C33"/>
    <w:rsid w:val="005122A0"/>
    <w:rsid w:val="00525C2E"/>
    <w:rsid w:val="0054038E"/>
    <w:rsid w:val="0054593A"/>
    <w:rsid w:val="005512C5"/>
    <w:rsid w:val="00551363"/>
    <w:rsid w:val="00554C9F"/>
    <w:rsid w:val="00557B57"/>
    <w:rsid w:val="005644BE"/>
    <w:rsid w:val="0057524E"/>
    <w:rsid w:val="00575A55"/>
    <w:rsid w:val="005845EB"/>
    <w:rsid w:val="00594FAC"/>
    <w:rsid w:val="005A5999"/>
    <w:rsid w:val="005B572B"/>
    <w:rsid w:val="005B66EC"/>
    <w:rsid w:val="005C0436"/>
    <w:rsid w:val="005C25D5"/>
    <w:rsid w:val="005D0D0E"/>
    <w:rsid w:val="005D449F"/>
    <w:rsid w:val="005D73BE"/>
    <w:rsid w:val="005E1C97"/>
    <w:rsid w:val="005E6515"/>
    <w:rsid w:val="005F1F6B"/>
    <w:rsid w:val="005F3B7B"/>
    <w:rsid w:val="00601A24"/>
    <w:rsid w:val="0060257F"/>
    <w:rsid w:val="00604F63"/>
    <w:rsid w:val="00605989"/>
    <w:rsid w:val="00613713"/>
    <w:rsid w:val="006224FB"/>
    <w:rsid w:val="0063115F"/>
    <w:rsid w:val="00632159"/>
    <w:rsid w:val="006363DA"/>
    <w:rsid w:val="006432C0"/>
    <w:rsid w:val="006456EA"/>
    <w:rsid w:val="00653983"/>
    <w:rsid w:val="006609C2"/>
    <w:rsid w:val="00662564"/>
    <w:rsid w:val="0066478F"/>
    <w:rsid w:val="00672037"/>
    <w:rsid w:val="00673477"/>
    <w:rsid w:val="00675E89"/>
    <w:rsid w:val="00695F46"/>
    <w:rsid w:val="006A3C35"/>
    <w:rsid w:val="006A6D11"/>
    <w:rsid w:val="006B2259"/>
    <w:rsid w:val="006B3ECE"/>
    <w:rsid w:val="006C5754"/>
    <w:rsid w:val="006D6526"/>
    <w:rsid w:val="006E06BE"/>
    <w:rsid w:val="006E674D"/>
    <w:rsid w:val="006E6770"/>
    <w:rsid w:val="006F154A"/>
    <w:rsid w:val="006F3DDE"/>
    <w:rsid w:val="00701992"/>
    <w:rsid w:val="0070363C"/>
    <w:rsid w:val="00705671"/>
    <w:rsid w:val="00712023"/>
    <w:rsid w:val="007144E9"/>
    <w:rsid w:val="00714A1F"/>
    <w:rsid w:val="00717328"/>
    <w:rsid w:val="0072073D"/>
    <w:rsid w:val="00742C04"/>
    <w:rsid w:val="007446A7"/>
    <w:rsid w:val="0074571D"/>
    <w:rsid w:val="00750A05"/>
    <w:rsid w:val="00767018"/>
    <w:rsid w:val="00771C92"/>
    <w:rsid w:val="007733D1"/>
    <w:rsid w:val="00792F6B"/>
    <w:rsid w:val="00795586"/>
    <w:rsid w:val="00797DA3"/>
    <w:rsid w:val="007A4844"/>
    <w:rsid w:val="007B33CE"/>
    <w:rsid w:val="007B7B81"/>
    <w:rsid w:val="007C1429"/>
    <w:rsid w:val="007C1AEC"/>
    <w:rsid w:val="007C5441"/>
    <w:rsid w:val="007D1495"/>
    <w:rsid w:val="007D36B5"/>
    <w:rsid w:val="007D5A52"/>
    <w:rsid w:val="007D5CA1"/>
    <w:rsid w:val="007D75C8"/>
    <w:rsid w:val="007E2C66"/>
    <w:rsid w:val="007F1021"/>
    <w:rsid w:val="007F2DBB"/>
    <w:rsid w:val="007F7E7C"/>
    <w:rsid w:val="008053AB"/>
    <w:rsid w:val="00821281"/>
    <w:rsid w:val="00821A81"/>
    <w:rsid w:val="00825F63"/>
    <w:rsid w:val="008322D8"/>
    <w:rsid w:val="00837E5B"/>
    <w:rsid w:val="00851067"/>
    <w:rsid w:val="00856A7C"/>
    <w:rsid w:val="008739E7"/>
    <w:rsid w:val="00874645"/>
    <w:rsid w:val="00881685"/>
    <w:rsid w:val="008844D9"/>
    <w:rsid w:val="00891C3A"/>
    <w:rsid w:val="00895E64"/>
    <w:rsid w:val="008A3A3B"/>
    <w:rsid w:val="008A7188"/>
    <w:rsid w:val="008B03FB"/>
    <w:rsid w:val="008D1590"/>
    <w:rsid w:val="008E0A69"/>
    <w:rsid w:val="008F2058"/>
    <w:rsid w:val="00902138"/>
    <w:rsid w:val="00904B69"/>
    <w:rsid w:val="009064CE"/>
    <w:rsid w:val="00912233"/>
    <w:rsid w:val="00914021"/>
    <w:rsid w:val="00917410"/>
    <w:rsid w:val="009264D0"/>
    <w:rsid w:val="00927A31"/>
    <w:rsid w:val="00931F65"/>
    <w:rsid w:val="0093360A"/>
    <w:rsid w:val="009358D3"/>
    <w:rsid w:val="00955433"/>
    <w:rsid w:val="00955764"/>
    <w:rsid w:val="00957A6F"/>
    <w:rsid w:val="0096435C"/>
    <w:rsid w:val="009649C2"/>
    <w:rsid w:val="00965DEB"/>
    <w:rsid w:val="00966A04"/>
    <w:rsid w:val="009738DE"/>
    <w:rsid w:val="00980994"/>
    <w:rsid w:val="00980BEB"/>
    <w:rsid w:val="00980D94"/>
    <w:rsid w:val="00982F7B"/>
    <w:rsid w:val="009843D4"/>
    <w:rsid w:val="009867A7"/>
    <w:rsid w:val="0099076D"/>
    <w:rsid w:val="0099690F"/>
    <w:rsid w:val="00996D38"/>
    <w:rsid w:val="009A10C6"/>
    <w:rsid w:val="009A4503"/>
    <w:rsid w:val="009A461B"/>
    <w:rsid w:val="009B008F"/>
    <w:rsid w:val="009B19A3"/>
    <w:rsid w:val="009C2D11"/>
    <w:rsid w:val="009C3FDE"/>
    <w:rsid w:val="009C4CE9"/>
    <w:rsid w:val="009D0ED9"/>
    <w:rsid w:val="009E7D1D"/>
    <w:rsid w:val="009F28F5"/>
    <w:rsid w:val="009F488A"/>
    <w:rsid w:val="00A02C80"/>
    <w:rsid w:val="00A07846"/>
    <w:rsid w:val="00A15A25"/>
    <w:rsid w:val="00A174C8"/>
    <w:rsid w:val="00A17CA6"/>
    <w:rsid w:val="00A22C2C"/>
    <w:rsid w:val="00A22FBF"/>
    <w:rsid w:val="00A23994"/>
    <w:rsid w:val="00A346EF"/>
    <w:rsid w:val="00A432CB"/>
    <w:rsid w:val="00A54087"/>
    <w:rsid w:val="00A57024"/>
    <w:rsid w:val="00A61757"/>
    <w:rsid w:val="00A622E9"/>
    <w:rsid w:val="00A63939"/>
    <w:rsid w:val="00A65690"/>
    <w:rsid w:val="00A65FB0"/>
    <w:rsid w:val="00A66A23"/>
    <w:rsid w:val="00A71D20"/>
    <w:rsid w:val="00A743C6"/>
    <w:rsid w:val="00A8148C"/>
    <w:rsid w:val="00A831E7"/>
    <w:rsid w:val="00A85640"/>
    <w:rsid w:val="00A91DC1"/>
    <w:rsid w:val="00A9412B"/>
    <w:rsid w:val="00AA0703"/>
    <w:rsid w:val="00AB116B"/>
    <w:rsid w:val="00AB69AD"/>
    <w:rsid w:val="00AB6CD0"/>
    <w:rsid w:val="00AB7800"/>
    <w:rsid w:val="00AC6B15"/>
    <w:rsid w:val="00AC6CC1"/>
    <w:rsid w:val="00AD2569"/>
    <w:rsid w:val="00AD4124"/>
    <w:rsid w:val="00AE0761"/>
    <w:rsid w:val="00AE07A3"/>
    <w:rsid w:val="00AE0E7B"/>
    <w:rsid w:val="00AE2412"/>
    <w:rsid w:val="00AE318F"/>
    <w:rsid w:val="00AF0066"/>
    <w:rsid w:val="00AF1CCD"/>
    <w:rsid w:val="00AF237D"/>
    <w:rsid w:val="00AF27B7"/>
    <w:rsid w:val="00AF63B5"/>
    <w:rsid w:val="00AF7E7F"/>
    <w:rsid w:val="00B005BD"/>
    <w:rsid w:val="00B03444"/>
    <w:rsid w:val="00B03DB5"/>
    <w:rsid w:val="00B04F23"/>
    <w:rsid w:val="00B11724"/>
    <w:rsid w:val="00B14C16"/>
    <w:rsid w:val="00B14E68"/>
    <w:rsid w:val="00B23669"/>
    <w:rsid w:val="00B24860"/>
    <w:rsid w:val="00B33789"/>
    <w:rsid w:val="00B46BC1"/>
    <w:rsid w:val="00B53D59"/>
    <w:rsid w:val="00B56AFB"/>
    <w:rsid w:val="00B576A5"/>
    <w:rsid w:val="00B66F52"/>
    <w:rsid w:val="00B740CF"/>
    <w:rsid w:val="00B745A1"/>
    <w:rsid w:val="00B83E0A"/>
    <w:rsid w:val="00B862DB"/>
    <w:rsid w:val="00B922EE"/>
    <w:rsid w:val="00B9596E"/>
    <w:rsid w:val="00BA2FA0"/>
    <w:rsid w:val="00BA3D8E"/>
    <w:rsid w:val="00BA40B4"/>
    <w:rsid w:val="00BA49EB"/>
    <w:rsid w:val="00BB0BE0"/>
    <w:rsid w:val="00BB0F85"/>
    <w:rsid w:val="00BC0132"/>
    <w:rsid w:val="00BC0598"/>
    <w:rsid w:val="00BD0526"/>
    <w:rsid w:val="00BD2784"/>
    <w:rsid w:val="00BD46B2"/>
    <w:rsid w:val="00BF11C6"/>
    <w:rsid w:val="00BF5E1D"/>
    <w:rsid w:val="00C06DF4"/>
    <w:rsid w:val="00C11004"/>
    <w:rsid w:val="00C111FE"/>
    <w:rsid w:val="00C1497F"/>
    <w:rsid w:val="00C20B9C"/>
    <w:rsid w:val="00C2509E"/>
    <w:rsid w:val="00C2778C"/>
    <w:rsid w:val="00C27F6A"/>
    <w:rsid w:val="00C3159C"/>
    <w:rsid w:val="00C35841"/>
    <w:rsid w:val="00C41C74"/>
    <w:rsid w:val="00C43C76"/>
    <w:rsid w:val="00C47B63"/>
    <w:rsid w:val="00C47F8B"/>
    <w:rsid w:val="00C50567"/>
    <w:rsid w:val="00C53FE9"/>
    <w:rsid w:val="00C7165C"/>
    <w:rsid w:val="00C742DD"/>
    <w:rsid w:val="00C846F6"/>
    <w:rsid w:val="00C857CF"/>
    <w:rsid w:val="00C96048"/>
    <w:rsid w:val="00C96214"/>
    <w:rsid w:val="00C9797F"/>
    <w:rsid w:val="00CA1FB9"/>
    <w:rsid w:val="00CA73C1"/>
    <w:rsid w:val="00CA79D7"/>
    <w:rsid w:val="00CB7BE6"/>
    <w:rsid w:val="00CC0E23"/>
    <w:rsid w:val="00CC40B9"/>
    <w:rsid w:val="00CD1392"/>
    <w:rsid w:val="00CD7E39"/>
    <w:rsid w:val="00CE2EFB"/>
    <w:rsid w:val="00CE5A10"/>
    <w:rsid w:val="00D02FD8"/>
    <w:rsid w:val="00D10832"/>
    <w:rsid w:val="00D11A3A"/>
    <w:rsid w:val="00D3104C"/>
    <w:rsid w:val="00D32309"/>
    <w:rsid w:val="00D40FCC"/>
    <w:rsid w:val="00D42152"/>
    <w:rsid w:val="00D43D89"/>
    <w:rsid w:val="00D50FDD"/>
    <w:rsid w:val="00D513E4"/>
    <w:rsid w:val="00D53B8E"/>
    <w:rsid w:val="00D56A51"/>
    <w:rsid w:val="00D602AC"/>
    <w:rsid w:val="00D64CC4"/>
    <w:rsid w:val="00D70824"/>
    <w:rsid w:val="00D7447A"/>
    <w:rsid w:val="00D7556F"/>
    <w:rsid w:val="00D75E21"/>
    <w:rsid w:val="00D760A9"/>
    <w:rsid w:val="00D760CF"/>
    <w:rsid w:val="00D925B8"/>
    <w:rsid w:val="00D949D0"/>
    <w:rsid w:val="00DA3B66"/>
    <w:rsid w:val="00DA4453"/>
    <w:rsid w:val="00DA6836"/>
    <w:rsid w:val="00DA733A"/>
    <w:rsid w:val="00DB2417"/>
    <w:rsid w:val="00DC05A3"/>
    <w:rsid w:val="00DC6A0C"/>
    <w:rsid w:val="00DD753D"/>
    <w:rsid w:val="00E01C7D"/>
    <w:rsid w:val="00E03DB3"/>
    <w:rsid w:val="00E06757"/>
    <w:rsid w:val="00E10C5C"/>
    <w:rsid w:val="00E1280F"/>
    <w:rsid w:val="00E16F06"/>
    <w:rsid w:val="00E178A3"/>
    <w:rsid w:val="00E17B2C"/>
    <w:rsid w:val="00E22C71"/>
    <w:rsid w:val="00E233EB"/>
    <w:rsid w:val="00E26EA1"/>
    <w:rsid w:val="00E27DEF"/>
    <w:rsid w:val="00E30081"/>
    <w:rsid w:val="00E32743"/>
    <w:rsid w:val="00E342C7"/>
    <w:rsid w:val="00E354F6"/>
    <w:rsid w:val="00E4317C"/>
    <w:rsid w:val="00E527FB"/>
    <w:rsid w:val="00E53D4C"/>
    <w:rsid w:val="00E609ED"/>
    <w:rsid w:val="00E61E7D"/>
    <w:rsid w:val="00E63703"/>
    <w:rsid w:val="00E64DDC"/>
    <w:rsid w:val="00E704C6"/>
    <w:rsid w:val="00E745BC"/>
    <w:rsid w:val="00E775AC"/>
    <w:rsid w:val="00E77A47"/>
    <w:rsid w:val="00E77B98"/>
    <w:rsid w:val="00E8471E"/>
    <w:rsid w:val="00E91E8C"/>
    <w:rsid w:val="00E942DA"/>
    <w:rsid w:val="00E94EF3"/>
    <w:rsid w:val="00E959E9"/>
    <w:rsid w:val="00E95E00"/>
    <w:rsid w:val="00E97167"/>
    <w:rsid w:val="00EB1611"/>
    <w:rsid w:val="00EB468A"/>
    <w:rsid w:val="00EC01E6"/>
    <w:rsid w:val="00EC1434"/>
    <w:rsid w:val="00EC3DC1"/>
    <w:rsid w:val="00EC4845"/>
    <w:rsid w:val="00EC6CC2"/>
    <w:rsid w:val="00ED1C27"/>
    <w:rsid w:val="00ED5CDF"/>
    <w:rsid w:val="00ED6DCA"/>
    <w:rsid w:val="00EE60C7"/>
    <w:rsid w:val="00EF0944"/>
    <w:rsid w:val="00EF1AB1"/>
    <w:rsid w:val="00EF7BE7"/>
    <w:rsid w:val="00F05141"/>
    <w:rsid w:val="00F07267"/>
    <w:rsid w:val="00F167CB"/>
    <w:rsid w:val="00F16AA1"/>
    <w:rsid w:val="00F2164E"/>
    <w:rsid w:val="00F22F9A"/>
    <w:rsid w:val="00F240EB"/>
    <w:rsid w:val="00F25E4C"/>
    <w:rsid w:val="00F315FE"/>
    <w:rsid w:val="00F31FE6"/>
    <w:rsid w:val="00F40B12"/>
    <w:rsid w:val="00F45BB8"/>
    <w:rsid w:val="00F53EDB"/>
    <w:rsid w:val="00F53F80"/>
    <w:rsid w:val="00F5697E"/>
    <w:rsid w:val="00F673A2"/>
    <w:rsid w:val="00F71A10"/>
    <w:rsid w:val="00F72A3E"/>
    <w:rsid w:val="00F74B67"/>
    <w:rsid w:val="00F7577B"/>
    <w:rsid w:val="00F900AB"/>
    <w:rsid w:val="00F91726"/>
    <w:rsid w:val="00FB0D96"/>
    <w:rsid w:val="00FB3B53"/>
    <w:rsid w:val="00FB551B"/>
    <w:rsid w:val="00FB563F"/>
    <w:rsid w:val="00FC69D9"/>
    <w:rsid w:val="00FD0B89"/>
    <w:rsid w:val="00FD28C1"/>
    <w:rsid w:val="00FD7412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1817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1817"/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1402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52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52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52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d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ermanpropertypartners.de/datenschu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4621-9CB2-4CE7-812B-AF9F790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Corinna Fühner</cp:lastModifiedBy>
  <cp:revision>110</cp:revision>
  <cp:lastPrinted>2022-03-30T15:12:00Z</cp:lastPrinted>
  <dcterms:created xsi:type="dcterms:W3CDTF">2022-01-11T08:02:00Z</dcterms:created>
  <dcterms:modified xsi:type="dcterms:W3CDTF">2022-10-04T07:56:00Z</dcterms:modified>
</cp:coreProperties>
</file>