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4BD8415C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top-7-investment</w:t>
      </w:r>
      <w:r w:rsidR="000021F4">
        <w:rPr>
          <w:rFonts w:ascii="Source Sans Pro" w:hAnsi="Source Sans Pro" w:cs="Source Sans Pro"/>
          <w:caps/>
          <w:color w:val="0086A8"/>
          <w:sz w:val="22"/>
          <w:szCs w:val="22"/>
        </w:rPr>
        <w:t>märkte Q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>1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7F12A3">
        <w:rPr>
          <w:rFonts w:ascii="Source Sans Pro" w:hAnsi="Source Sans Pro" w:cs="Source Sans Pro"/>
          <w:caps/>
          <w:color w:val="0086A8"/>
          <w:sz w:val="22"/>
          <w:szCs w:val="22"/>
        </w:rPr>
        <w:t>3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23865660" w:rsidR="00CA79D7" w:rsidRDefault="001D00A5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Anhaltende Preisfindung</w:t>
      </w:r>
      <w:r w:rsidR="00816613">
        <w:rPr>
          <w:rFonts w:ascii="Source Sans Pro" w:hAnsi="Source Sans Pro" w:cs="Source Sans Pro"/>
          <w:sz w:val="36"/>
          <w:szCs w:val="36"/>
        </w:rPr>
        <w:t>sphase bringt schwachen</w:t>
      </w:r>
      <w:r>
        <w:rPr>
          <w:rFonts w:ascii="Source Sans Pro" w:hAnsi="Source Sans Pro" w:cs="Source Sans Pro"/>
          <w:sz w:val="36"/>
          <w:szCs w:val="36"/>
        </w:rPr>
        <w:t xml:space="preserve"> Jahresauftakt</w:t>
      </w:r>
    </w:p>
    <w:p w14:paraId="743073FD" w14:textId="75E3ABC5" w:rsidR="003152C9" w:rsidRDefault="004F09D7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 w:rsidRPr="00966A04"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0C1328" wp14:editId="6050730F">
            <wp:simplePos x="0" y="0"/>
            <wp:positionH relativeFrom="column">
              <wp:posOffset>22860</wp:posOffset>
            </wp:positionH>
            <wp:positionV relativeFrom="paragraph">
              <wp:posOffset>278765</wp:posOffset>
            </wp:positionV>
            <wp:extent cx="4573905" cy="25971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EADD5C" w14:textId="4786E4C1" w:rsidR="004F09D7" w:rsidRDefault="002E5673" w:rsidP="004F0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br w:type="textWrapping" w:clear="all"/>
      </w:r>
    </w:p>
    <w:p w14:paraId="71ADB9E8" w14:textId="43A815BD" w:rsidR="00610BB3" w:rsidRDefault="0092334A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04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F40B12">
        <w:rPr>
          <w:rFonts w:ascii="Source Sans Pro" w:hAnsi="Source Sans Pro" w:cs="Source Sans Pro"/>
          <w:color w:val="0087A8"/>
          <w:sz w:val="22"/>
          <w:szCs w:val="22"/>
        </w:rPr>
        <w:t>April</w:t>
      </w:r>
      <w:r w:rsidR="000021F4">
        <w:rPr>
          <w:rFonts w:ascii="Source Sans Pro" w:hAnsi="Source Sans Pro" w:cs="Source Sans Pro"/>
          <w:color w:val="0087A8"/>
          <w:sz w:val="22"/>
          <w:szCs w:val="22"/>
        </w:rPr>
        <w:t xml:space="preserve"> 202</w:t>
      </w:r>
      <w:r w:rsidR="007F12A3">
        <w:rPr>
          <w:rFonts w:ascii="Source Sans Pro" w:hAnsi="Source Sans Pro" w:cs="Source Sans Pro"/>
          <w:color w:val="0087A8"/>
          <w:sz w:val="22"/>
          <w:szCs w:val="22"/>
        </w:rPr>
        <w:t>3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B062A5">
        <w:rPr>
          <w:rFonts w:ascii="Source Sans Pro" w:hAnsi="Source Sans Pro" w:cs="Source Sans Pro"/>
          <w:color w:val="auto"/>
          <w:sz w:val="22"/>
          <w:szCs w:val="22"/>
        </w:rPr>
        <w:t xml:space="preserve">Zum Ende des </w:t>
      </w:r>
      <w:r w:rsidR="005C47F7">
        <w:rPr>
          <w:rFonts w:ascii="Source Sans Pro" w:hAnsi="Source Sans Pro" w:cs="Source Sans Pro"/>
          <w:color w:val="auto"/>
          <w:sz w:val="22"/>
          <w:szCs w:val="22"/>
        </w:rPr>
        <w:t>1.</w:t>
      </w:r>
      <w:r w:rsidR="00B062A5">
        <w:rPr>
          <w:rFonts w:ascii="Source Sans Pro" w:hAnsi="Source Sans Pro" w:cs="Source Sans Pro"/>
          <w:color w:val="auto"/>
          <w:sz w:val="22"/>
          <w:szCs w:val="22"/>
        </w:rPr>
        <w:t xml:space="preserve"> Quartals 2023 belief sich das Transaktionsvolumen (TAV) für gewerbliche Immobilieninvestments an den Top-7-Standorten auf rund </w:t>
      </w:r>
      <w:r w:rsidR="00DA4D95">
        <w:rPr>
          <w:rFonts w:ascii="Source Sans Pro" w:hAnsi="Source Sans Pro" w:cs="Source Sans Pro"/>
          <w:color w:val="auto"/>
          <w:sz w:val="22"/>
          <w:szCs w:val="22"/>
        </w:rPr>
        <w:t>2,6 Mrd.</w:t>
      </w:r>
      <w:r w:rsidR="00B062A5">
        <w:rPr>
          <w:rFonts w:ascii="Source Sans Pro" w:hAnsi="Source Sans Pro" w:cs="Source Sans Pro"/>
          <w:color w:val="auto"/>
          <w:sz w:val="22"/>
          <w:szCs w:val="22"/>
        </w:rPr>
        <w:t xml:space="preserve"> €</w:t>
      </w:r>
      <w:r w:rsidR="006D03D9">
        <w:rPr>
          <w:rFonts w:ascii="Source Sans Pro" w:hAnsi="Source Sans Pro" w:cs="Source Sans Pro"/>
          <w:color w:val="auto"/>
          <w:sz w:val="22"/>
          <w:szCs w:val="22"/>
        </w:rPr>
        <w:t xml:space="preserve">. Dies entspricht einem </w:t>
      </w:r>
      <w:r w:rsidR="00B062A5">
        <w:rPr>
          <w:rFonts w:ascii="Source Sans Pro" w:hAnsi="Source Sans Pro" w:cs="Source Sans Pro"/>
          <w:color w:val="auto"/>
          <w:sz w:val="22"/>
          <w:szCs w:val="22"/>
        </w:rPr>
        <w:t xml:space="preserve">Minus von rund </w:t>
      </w:r>
      <w:r w:rsidR="00DA4D95">
        <w:rPr>
          <w:rFonts w:ascii="Source Sans Pro" w:hAnsi="Source Sans Pro" w:cs="Source Sans Pro"/>
          <w:color w:val="auto"/>
          <w:sz w:val="22"/>
          <w:szCs w:val="22"/>
        </w:rPr>
        <w:t>72</w:t>
      </w:r>
      <w:r w:rsidR="00B062A5">
        <w:rPr>
          <w:rFonts w:ascii="Source Sans Pro" w:hAnsi="Source Sans Pro" w:cs="Source Sans Pro"/>
          <w:color w:val="auto"/>
          <w:sz w:val="22"/>
          <w:szCs w:val="22"/>
        </w:rPr>
        <w:t xml:space="preserve"> % im Vergleich zum Vorjahresquartal</w:t>
      </w:r>
      <w:r w:rsidR="004338CA">
        <w:rPr>
          <w:rFonts w:ascii="Source Sans Pro" w:hAnsi="Source Sans Pro" w:cs="Source Sans Pro"/>
          <w:color w:val="auto"/>
          <w:sz w:val="22"/>
          <w:szCs w:val="22"/>
        </w:rPr>
        <w:t xml:space="preserve">. </w:t>
      </w:r>
      <w:bookmarkStart w:id="0" w:name="_GoBack"/>
      <w:bookmarkEnd w:id="0"/>
      <w:r w:rsidR="00CF2D6E">
        <w:rPr>
          <w:rFonts w:ascii="Source Sans Pro" w:hAnsi="Source Sans Pro" w:cs="Source Sans Pro"/>
          <w:color w:val="auto"/>
          <w:sz w:val="22"/>
          <w:szCs w:val="22"/>
        </w:rPr>
        <w:t xml:space="preserve">Zum Jahresauftakt 2022 </w:t>
      </w:r>
      <w:r w:rsidR="004338CA">
        <w:rPr>
          <w:rFonts w:ascii="Source Sans Pro" w:hAnsi="Source Sans Pro" w:cs="Source Sans Pro"/>
          <w:color w:val="auto"/>
          <w:sz w:val="22"/>
          <w:szCs w:val="22"/>
        </w:rPr>
        <w:t xml:space="preserve">erreichte das </w:t>
      </w:r>
      <w:r w:rsidR="00C409C6">
        <w:rPr>
          <w:rFonts w:ascii="Source Sans Pro" w:hAnsi="Source Sans Pro" w:cs="Source Sans Pro"/>
          <w:color w:val="auto"/>
          <w:sz w:val="22"/>
          <w:szCs w:val="22"/>
        </w:rPr>
        <w:t xml:space="preserve">TAV </w:t>
      </w:r>
      <w:r w:rsidR="0077196D">
        <w:rPr>
          <w:rFonts w:ascii="Source Sans Pro" w:hAnsi="Source Sans Pro" w:cs="Source Sans Pro"/>
          <w:color w:val="auto"/>
          <w:sz w:val="22"/>
          <w:szCs w:val="22"/>
        </w:rPr>
        <w:t xml:space="preserve">allerdings </w:t>
      </w:r>
      <w:r w:rsidR="00C409C6">
        <w:rPr>
          <w:rFonts w:ascii="Source Sans Pro" w:hAnsi="Source Sans Pro" w:cs="Source Sans Pro"/>
          <w:color w:val="auto"/>
          <w:sz w:val="22"/>
          <w:szCs w:val="22"/>
        </w:rPr>
        <w:t xml:space="preserve">durch die Übernahme </w:t>
      </w:r>
      <w:r w:rsidR="00ED3D73">
        <w:rPr>
          <w:rFonts w:ascii="Source Sans Pro" w:hAnsi="Source Sans Pro" w:cs="Source Sans Pro"/>
          <w:color w:val="auto"/>
          <w:sz w:val="22"/>
          <w:szCs w:val="22"/>
        </w:rPr>
        <w:t xml:space="preserve">der </w:t>
      </w:r>
      <w:r w:rsidR="00E412D0">
        <w:rPr>
          <w:rFonts w:ascii="Source Sans Pro" w:hAnsi="Source Sans Pro" w:cs="Source Sans Pro"/>
          <w:color w:val="auto"/>
          <w:sz w:val="22"/>
          <w:szCs w:val="22"/>
        </w:rPr>
        <w:t xml:space="preserve">alstria </w:t>
      </w:r>
      <w:r w:rsidR="00C409C6">
        <w:rPr>
          <w:rFonts w:ascii="Source Sans Pro" w:hAnsi="Source Sans Pro" w:cs="Source Sans Pro"/>
          <w:color w:val="auto"/>
          <w:sz w:val="22"/>
          <w:szCs w:val="22"/>
        </w:rPr>
        <w:t xml:space="preserve">durch Brookfield Properties einen Höchstwert von </w:t>
      </w:r>
      <w:r w:rsidR="00610BB3">
        <w:rPr>
          <w:rFonts w:ascii="Source Sans Pro" w:hAnsi="Source Sans Pro" w:cs="Source Sans Pro"/>
          <w:color w:val="auto"/>
          <w:sz w:val="22"/>
          <w:szCs w:val="22"/>
        </w:rPr>
        <w:t xml:space="preserve">knapp </w:t>
      </w:r>
      <w:r w:rsidR="00C409C6">
        <w:rPr>
          <w:rFonts w:ascii="Source Sans Pro" w:hAnsi="Source Sans Pro" w:cs="Arial"/>
          <w:bCs/>
          <w:sz w:val="22"/>
          <w:szCs w:val="22"/>
        </w:rPr>
        <w:t xml:space="preserve">9,4 </w:t>
      </w:r>
      <w:r w:rsidR="00C409C6" w:rsidRPr="00BD46B2">
        <w:rPr>
          <w:rFonts w:ascii="Source Sans Pro" w:hAnsi="Source Sans Pro" w:cs="Arial"/>
          <w:bCs/>
          <w:sz w:val="22"/>
          <w:szCs w:val="22"/>
        </w:rPr>
        <w:t>Mrd. €</w:t>
      </w:r>
      <w:r w:rsidR="00B062A5">
        <w:rPr>
          <w:rFonts w:ascii="Source Sans Pro" w:hAnsi="Source Sans Pro" w:cs="Source Sans Pro"/>
          <w:color w:val="auto"/>
          <w:sz w:val="22"/>
          <w:szCs w:val="22"/>
        </w:rPr>
        <w:t xml:space="preserve">. </w:t>
      </w:r>
      <w:r w:rsidR="000D6F1F">
        <w:rPr>
          <w:rFonts w:ascii="Source Sans Pro" w:hAnsi="Source Sans Pro" w:cs="Source Sans Pro"/>
          <w:color w:val="auto"/>
          <w:sz w:val="22"/>
          <w:szCs w:val="22"/>
        </w:rPr>
        <w:t>Dies</w:t>
      </w:r>
      <w:r w:rsidR="00465A6E">
        <w:rPr>
          <w:rFonts w:ascii="Source Sans Pro" w:hAnsi="Source Sans Pro" w:cs="Source Sans Pro"/>
          <w:color w:val="auto"/>
          <w:sz w:val="22"/>
          <w:szCs w:val="22"/>
        </w:rPr>
        <w:t>e</w:t>
      </w:r>
      <w:r w:rsidR="00370785">
        <w:rPr>
          <w:rFonts w:ascii="Source Sans Pro" w:hAnsi="Source Sans Pro" w:cs="Source Sans Pro"/>
          <w:color w:val="auto"/>
          <w:sz w:val="22"/>
          <w:szCs w:val="22"/>
        </w:rPr>
        <w:t xml:space="preserve"> Ergebnis</w:t>
      </w:r>
      <w:r w:rsidR="00465A6E">
        <w:rPr>
          <w:rFonts w:ascii="Source Sans Pro" w:hAnsi="Source Sans Pro" w:cs="Source Sans Pro"/>
          <w:color w:val="auto"/>
          <w:sz w:val="22"/>
          <w:szCs w:val="22"/>
        </w:rPr>
        <w:t>se</w:t>
      </w:r>
      <w:r w:rsidR="000D6F1F">
        <w:rPr>
          <w:rFonts w:ascii="Source Sans Pro" w:hAnsi="Source Sans Pro" w:cs="Source Sans Pro"/>
          <w:color w:val="auto"/>
          <w:sz w:val="22"/>
          <w:szCs w:val="22"/>
        </w:rPr>
        <w:t xml:space="preserve"> geh</w:t>
      </w:r>
      <w:r w:rsidR="00465A6E">
        <w:rPr>
          <w:rFonts w:ascii="Source Sans Pro" w:hAnsi="Source Sans Pro" w:cs="Source Sans Pro"/>
          <w:color w:val="auto"/>
          <w:sz w:val="22"/>
          <w:szCs w:val="22"/>
        </w:rPr>
        <w:t>en</w:t>
      </w:r>
      <w:r w:rsidR="000D6F1F">
        <w:rPr>
          <w:rFonts w:ascii="Source Sans Pro" w:hAnsi="Source Sans Pro" w:cs="Source Sans Pro"/>
          <w:color w:val="auto"/>
          <w:sz w:val="22"/>
          <w:szCs w:val="22"/>
        </w:rPr>
        <w:t xml:space="preserve"> auf Analysen von German Property Partners (GPP) zurück. </w:t>
      </w:r>
      <w:r w:rsidR="000D6F1F" w:rsidRPr="003B63A8">
        <w:rPr>
          <w:rFonts w:ascii="Source Sans Pro" w:hAnsi="Source Sans Pro" w:cs="Source Sans Pro"/>
          <w:sz w:val="22"/>
          <w:szCs w:val="22"/>
        </w:rPr>
        <w:t>Zu</w:t>
      </w:r>
      <w:r w:rsidR="000D6F1F" w:rsidRPr="00EB1611">
        <w:rPr>
          <w:rFonts w:ascii="Source Sans Pro" w:hAnsi="Source Sans Pro" w:cs="Source Sans Pro"/>
          <w:sz w:val="22"/>
          <w:szCs w:val="22"/>
        </w:rPr>
        <w:t xml:space="preserve"> dem Gewerbeimmobiliennetzwerk gehören </w:t>
      </w:r>
      <w:r w:rsidR="000D6F1F" w:rsidRPr="00EB1611">
        <w:rPr>
          <w:rFonts w:ascii="Source Sans Pro" w:hAnsi="Source Sans Pro" w:cs="Arial"/>
          <w:bCs/>
          <w:sz w:val="22"/>
          <w:szCs w:val="22"/>
        </w:rPr>
        <w:t>Grossmann &amp; Berger, Anteon Immobilien, GREIF &amp; CONTZEN Immobilien, b</w:t>
      </w:r>
      <w:r w:rsidR="000D6F1F">
        <w:rPr>
          <w:rFonts w:ascii="Source Sans Pro" w:hAnsi="Source Sans Pro" w:cs="Arial"/>
          <w:bCs/>
          <w:sz w:val="22"/>
          <w:szCs w:val="22"/>
        </w:rPr>
        <w:t>lackolive und E &amp; G Real Estate.</w:t>
      </w:r>
    </w:p>
    <w:p w14:paraId="19D25B26" w14:textId="77777777" w:rsidR="00610BB3" w:rsidRDefault="00610BB3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61D50AD8" w14:textId="7DCDB9D8" w:rsidR="00895E64" w:rsidRDefault="00D949D0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iCs/>
          <w:sz w:val="22"/>
          <w:szCs w:val="22"/>
        </w:rPr>
      </w:pPr>
      <w:r w:rsidRPr="00895E64">
        <w:rPr>
          <w:rFonts w:ascii="Source Sans Pro" w:hAnsi="Source Sans Pro" w:cs="Arial"/>
          <w:bCs/>
          <w:i/>
          <w:sz w:val="22"/>
          <w:szCs w:val="22"/>
        </w:rPr>
        <w:t>„</w:t>
      </w:r>
      <w:r w:rsidR="00752C05">
        <w:rPr>
          <w:rFonts w:ascii="Source Sans Pro" w:hAnsi="Source Sans Pro" w:cs="Arial"/>
          <w:bCs/>
          <w:i/>
          <w:sz w:val="22"/>
          <w:szCs w:val="22"/>
        </w:rPr>
        <w:t>Der</w:t>
      </w:r>
      <w:r w:rsidR="00F57625">
        <w:rPr>
          <w:rFonts w:ascii="Source Sans Pro" w:hAnsi="Source Sans Pro" w:cs="Arial"/>
          <w:bCs/>
          <w:i/>
          <w:sz w:val="22"/>
          <w:szCs w:val="22"/>
        </w:rPr>
        <w:t xml:space="preserve"> Jahresauftakt auf dem Investmentmarkt verlief bundesweit </w:t>
      </w:r>
      <w:r w:rsidR="00E04EB8">
        <w:rPr>
          <w:rFonts w:ascii="Source Sans Pro" w:hAnsi="Source Sans Pro" w:cs="Arial"/>
          <w:bCs/>
          <w:i/>
          <w:sz w:val="22"/>
          <w:szCs w:val="22"/>
        </w:rPr>
        <w:t xml:space="preserve">sehr </w:t>
      </w:r>
      <w:r w:rsidR="00F57625">
        <w:rPr>
          <w:rFonts w:ascii="Source Sans Pro" w:hAnsi="Source Sans Pro" w:cs="Arial"/>
          <w:bCs/>
          <w:i/>
          <w:sz w:val="22"/>
          <w:szCs w:val="22"/>
        </w:rPr>
        <w:t>verhalten</w:t>
      </w:r>
      <w:r w:rsidR="00752C05">
        <w:rPr>
          <w:rFonts w:ascii="Source Sans Pro" w:hAnsi="Source Sans Pro" w:cs="Arial"/>
          <w:bCs/>
          <w:i/>
          <w:sz w:val="22"/>
          <w:szCs w:val="22"/>
        </w:rPr>
        <w:t xml:space="preserve">“, </w:t>
      </w:r>
      <w:r w:rsidR="003B63A8">
        <w:rPr>
          <w:rFonts w:ascii="Source Sans Pro" w:hAnsi="Source Sans Pro" w:cs="Arial"/>
          <w:bCs/>
          <w:sz w:val="22"/>
          <w:szCs w:val="22"/>
        </w:rPr>
        <w:t>ordne</w:t>
      </w:r>
      <w:r w:rsidR="00895E64">
        <w:rPr>
          <w:rFonts w:ascii="Source Sans Pro" w:hAnsi="Source Sans Pro" w:cs="Arial"/>
          <w:bCs/>
          <w:sz w:val="22"/>
          <w:szCs w:val="22"/>
        </w:rPr>
        <w:t>t</w:t>
      </w:r>
      <w:r w:rsidR="000D6F1F">
        <w:rPr>
          <w:rFonts w:ascii="Source Sans Pro" w:hAnsi="Source Sans Pro" w:cs="Arial"/>
          <w:bCs/>
          <w:sz w:val="22"/>
          <w:szCs w:val="22"/>
        </w:rPr>
        <w:t xml:space="preserve"> GPP-Sprecher</w:t>
      </w:r>
      <w:r w:rsidR="00895E64">
        <w:rPr>
          <w:rFonts w:ascii="Source Sans Pro" w:hAnsi="Source Sans Pro" w:cs="Arial"/>
          <w:bCs/>
          <w:sz w:val="22"/>
          <w:szCs w:val="22"/>
        </w:rPr>
        <w:t xml:space="preserve"> </w:t>
      </w:r>
      <w:r w:rsidR="00895E64" w:rsidRPr="0041188F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0D6F1F">
        <w:rPr>
          <w:rFonts w:ascii="Source Sans Pro" w:hAnsi="Source Sans Pro" w:cs="Source Sans Pro"/>
          <w:bCs/>
          <w:sz w:val="22"/>
          <w:szCs w:val="22"/>
        </w:rPr>
        <w:t xml:space="preserve"> </w:t>
      </w:r>
      <w:r w:rsidR="003B63A8" w:rsidRPr="003B63A8">
        <w:rPr>
          <w:rFonts w:ascii="Source Sans Pro" w:hAnsi="Source Sans Pro" w:cs="Source Sans Pro"/>
          <w:sz w:val="22"/>
          <w:szCs w:val="22"/>
        </w:rPr>
        <w:t>ein.</w:t>
      </w:r>
      <w:r w:rsidR="006D03D9">
        <w:rPr>
          <w:rFonts w:ascii="Source Sans Pro" w:hAnsi="Source Sans Pro" w:cs="Source Sans Pro"/>
          <w:sz w:val="22"/>
          <w:szCs w:val="22"/>
        </w:rPr>
        <w:t xml:space="preserve"> „</w:t>
      </w:r>
      <w:r w:rsidR="00C4260E">
        <w:rPr>
          <w:rFonts w:ascii="Source Sans Pro" w:hAnsi="Source Sans Pro" w:cs="Source Sans Pro"/>
          <w:i/>
          <w:iCs/>
          <w:sz w:val="22"/>
          <w:szCs w:val="22"/>
        </w:rPr>
        <w:t xml:space="preserve">Investoren </w:t>
      </w:r>
      <w:r w:rsidR="0077196D">
        <w:rPr>
          <w:rFonts w:ascii="Source Sans Pro" w:hAnsi="Source Sans Pro" w:cs="Source Sans Pro"/>
          <w:i/>
          <w:iCs/>
          <w:sz w:val="22"/>
          <w:szCs w:val="22"/>
        </w:rPr>
        <w:t>zeigten sich</w:t>
      </w:r>
      <w:r w:rsidR="00910AD1">
        <w:rPr>
          <w:rFonts w:ascii="Source Sans Pro" w:hAnsi="Source Sans Pro" w:cs="Source Sans Pro"/>
          <w:i/>
          <w:iCs/>
          <w:sz w:val="22"/>
          <w:szCs w:val="22"/>
        </w:rPr>
        <w:t xml:space="preserve"> aufgrund der unsicheren Rahmenbedingungen</w:t>
      </w:r>
      <w:r w:rsidR="0077196D">
        <w:rPr>
          <w:rFonts w:ascii="Source Sans Pro" w:hAnsi="Source Sans Pro" w:cs="Source Sans Pro"/>
          <w:i/>
          <w:iCs/>
          <w:sz w:val="22"/>
          <w:szCs w:val="22"/>
        </w:rPr>
        <w:t xml:space="preserve"> weiterhin zurückhaltend und schlossen deutlich</w:t>
      </w:r>
      <w:r w:rsidR="00C4260E">
        <w:rPr>
          <w:rFonts w:ascii="Source Sans Pro" w:hAnsi="Source Sans Pro" w:cs="Source Sans Pro"/>
          <w:i/>
          <w:iCs/>
          <w:sz w:val="22"/>
          <w:szCs w:val="22"/>
        </w:rPr>
        <w:t xml:space="preserve"> weniger Transaktionen</w:t>
      </w:r>
      <w:r w:rsidR="0077196D">
        <w:rPr>
          <w:rFonts w:ascii="Source Sans Pro" w:hAnsi="Source Sans Pro" w:cs="Source Sans Pro"/>
          <w:i/>
          <w:iCs/>
          <w:sz w:val="22"/>
          <w:szCs w:val="22"/>
        </w:rPr>
        <w:t xml:space="preserve"> ab als im Vorjahr</w:t>
      </w:r>
      <w:r w:rsidR="00C4260E">
        <w:rPr>
          <w:rFonts w:ascii="Source Sans Pro" w:hAnsi="Source Sans Pro" w:cs="Source Sans Pro"/>
          <w:i/>
          <w:iCs/>
          <w:sz w:val="22"/>
          <w:szCs w:val="22"/>
        </w:rPr>
        <w:t xml:space="preserve"> – vor allem großvolumige </w:t>
      </w:r>
      <w:r w:rsidR="0077196D">
        <w:rPr>
          <w:rFonts w:ascii="Source Sans Pro" w:hAnsi="Source Sans Pro" w:cs="Source Sans Pro"/>
          <w:i/>
          <w:iCs/>
          <w:sz w:val="22"/>
          <w:szCs w:val="22"/>
        </w:rPr>
        <w:t>Deals waren rar.</w:t>
      </w:r>
      <w:r w:rsidR="005C47F7">
        <w:rPr>
          <w:rFonts w:ascii="Source Sans Pro" w:hAnsi="Source Sans Pro" w:cs="Source Sans Pro"/>
          <w:sz w:val="22"/>
          <w:szCs w:val="22"/>
        </w:rPr>
        <w:t>“</w:t>
      </w:r>
    </w:p>
    <w:p w14:paraId="2DD169C2" w14:textId="77777777" w:rsidR="00370785" w:rsidRDefault="00370785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5F1749C8" w14:textId="0A2DF282" w:rsidR="00404BCC" w:rsidRPr="00404BCC" w:rsidRDefault="00404BCC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Transaktionsvolumina</w:t>
      </w:r>
      <w:r w:rsidR="003B4C22">
        <w:rPr>
          <w:rFonts w:ascii="Source Sans Pro" w:hAnsi="Source Sans Pro" w:cs="Source Sans Pro"/>
          <w:caps/>
          <w:color w:val="0086A8"/>
          <w:sz w:val="22"/>
          <w:szCs w:val="22"/>
        </w:rPr>
        <w:t>: Rückgänge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an allen Top-7-Standorten</w:t>
      </w:r>
    </w:p>
    <w:p w14:paraId="3ED38448" w14:textId="585F8F53" w:rsidR="005C47F7" w:rsidRDefault="005C47F7" w:rsidP="005C47F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Das </w:t>
      </w:r>
      <w:r w:rsidR="00465A6E">
        <w:rPr>
          <w:rFonts w:ascii="Source Sans Pro" w:hAnsi="Source Sans Pro" w:cs="Source Sans Pro"/>
          <w:sz w:val="22"/>
          <w:szCs w:val="22"/>
        </w:rPr>
        <w:t xml:space="preserve">Marktgeschehen </w:t>
      </w:r>
      <w:r>
        <w:rPr>
          <w:rFonts w:ascii="Source Sans Pro" w:hAnsi="Source Sans Pro" w:cs="Source Sans Pro"/>
          <w:sz w:val="22"/>
          <w:szCs w:val="22"/>
        </w:rPr>
        <w:t xml:space="preserve">auf den deutschen Top-7-Investmentmärkten wurde </w:t>
      </w:r>
      <w:r w:rsidR="003D3F73">
        <w:rPr>
          <w:rFonts w:ascii="Source Sans Pro" w:hAnsi="Source Sans Pro" w:cs="Source Sans Pro"/>
          <w:sz w:val="22"/>
          <w:szCs w:val="22"/>
        </w:rPr>
        <w:t xml:space="preserve">auch </w:t>
      </w:r>
      <w:r>
        <w:rPr>
          <w:rFonts w:ascii="Source Sans Pro" w:hAnsi="Source Sans Pro" w:cs="Source Sans Pro"/>
          <w:sz w:val="22"/>
          <w:szCs w:val="22"/>
        </w:rPr>
        <w:t xml:space="preserve">in den ersten drei Monaten des Jahres </w:t>
      </w:r>
      <w:r w:rsidR="00465A6E">
        <w:rPr>
          <w:rFonts w:ascii="Source Sans Pro" w:hAnsi="Source Sans Pro" w:cs="Source Sans Pro"/>
          <w:sz w:val="22"/>
          <w:szCs w:val="22"/>
        </w:rPr>
        <w:t xml:space="preserve">von politischen und ökonomischen Unsicherheiten </w:t>
      </w:r>
      <w:r>
        <w:rPr>
          <w:rFonts w:ascii="Source Sans Pro" w:hAnsi="Source Sans Pro" w:cs="Source Sans Pro"/>
          <w:sz w:val="22"/>
          <w:szCs w:val="22"/>
        </w:rPr>
        <w:t xml:space="preserve">bestimmt. </w:t>
      </w:r>
      <w:r w:rsidR="003B4C22">
        <w:rPr>
          <w:rFonts w:ascii="Source Sans Pro" w:hAnsi="Source Sans Pro" w:cs="Source Sans Pro"/>
          <w:sz w:val="22"/>
          <w:szCs w:val="22"/>
        </w:rPr>
        <w:t xml:space="preserve">Aufgrund des </w:t>
      </w:r>
      <w:r w:rsidR="0092334A">
        <w:rPr>
          <w:rFonts w:ascii="Source Sans Pro" w:hAnsi="Source Sans Pro" w:cs="Source Sans Pro"/>
          <w:sz w:val="22"/>
          <w:szCs w:val="22"/>
        </w:rPr>
        <w:t xml:space="preserve">hohen </w:t>
      </w:r>
      <w:r w:rsidR="003B4C22">
        <w:rPr>
          <w:rFonts w:ascii="Source Sans Pro" w:hAnsi="Source Sans Pro" w:cs="Source Sans Pro"/>
          <w:sz w:val="22"/>
          <w:szCs w:val="22"/>
        </w:rPr>
        <w:t xml:space="preserve">Zinsniveaus konnten sich </w:t>
      </w:r>
      <w:r w:rsidR="003D3F73">
        <w:rPr>
          <w:rFonts w:ascii="Source Sans Pro" w:hAnsi="Source Sans Pro" w:cs="Source Sans Pro"/>
          <w:sz w:val="22"/>
          <w:szCs w:val="22"/>
        </w:rPr>
        <w:t>nach wie vor</w:t>
      </w:r>
      <w:r w:rsidR="0077196D">
        <w:rPr>
          <w:rFonts w:ascii="Source Sans Pro" w:hAnsi="Source Sans Pro" w:cs="Source Sans Pro"/>
          <w:sz w:val="22"/>
          <w:szCs w:val="22"/>
        </w:rPr>
        <w:t xml:space="preserve"> </w:t>
      </w:r>
      <w:r w:rsidR="003D3F73">
        <w:rPr>
          <w:rFonts w:ascii="Source Sans Pro" w:hAnsi="Source Sans Pro" w:cs="Source Sans Pro"/>
          <w:sz w:val="22"/>
          <w:szCs w:val="22"/>
        </w:rPr>
        <w:t>insbesondere</w:t>
      </w:r>
      <w:r>
        <w:rPr>
          <w:rFonts w:ascii="Source Sans Pro" w:hAnsi="Source Sans Pro" w:cs="Source Sans Pro"/>
          <w:sz w:val="22"/>
          <w:szCs w:val="22"/>
        </w:rPr>
        <w:t xml:space="preserve"> eigenkapitalstarke Investoren und Entwickler als Käufer durchsetzen. Auf Fremdkapital angewiesene Investoren verblieben in abwartender Haltung. „</w:t>
      </w:r>
      <w:r w:rsidRPr="005C47F7">
        <w:rPr>
          <w:rFonts w:ascii="Source Sans Pro" w:hAnsi="Source Sans Pro" w:cs="Source Sans Pro"/>
          <w:i/>
          <w:iCs/>
          <w:sz w:val="22"/>
          <w:szCs w:val="22"/>
        </w:rPr>
        <w:t>Die Preisfindungsphase zwischen Käufern und Verkäufer</w:t>
      </w:r>
      <w:r w:rsidRPr="003D3F73">
        <w:rPr>
          <w:rFonts w:ascii="Source Sans Pro" w:hAnsi="Source Sans Pro" w:cs="Source Sans Pro"/>
          <w:i/>
          <w:iCs/>
          <w:sz w:val="22"/>
          <w:szCs w:val="22"/>
        </w:rPr>
        <w:t>n hält weiterhin</w:t>
      </w:r>
      <w:r w:rsidRPr="005C47F7">
        <w:rPr>
          <w:rFonts w:ascii="Source Sans Pro" w:hAnsi="Source Sans Pro" w:cs="Source Sans Pro"/>
          <w:i/>
          <w:iCs/>
          <w:sz w:val="22"/>
          <w:szCs w:val="22"/>
        </w:rPr>
        <w:t xml:space="preserve"> an. Investoren warten nur auf eine passende Anlagemöglichkeit, doch die</w:t>
      </w:r>
      <w:r w:rsidR="00E04EB8">
        <w:rPr>
          <w:rFonts w:ascii="Source Sans Pro" w:hAnsi="Source Sans Pro" w:cs="Source Sans Pro"/>
          <w:i/>
          <w:iCs/>
          <w:sz w:val="22"/>
          <w:szCs w:val="22"/>
        </w:rPr>
        <w:t xml:space="preserve"> teilweise</w:t>
      </w:r>
      <w:r w:rsidRPr="005C47F7">
        <w:rPr>
          <w:rFonts w:ascii="Source Sans Pro" w:hAnsi="Source Sans Pro" w:cs="Source Sans Pro"/>
          <w:i/>
          <w:iCs/>
          <w:sz w:val="22"/>
          <w:szCs w:val="22"/>
        </w:rPr>
        <w:t xml:space="preserve"> noch weit auseinanderliegenden Preisvorstellungen hemmen das Transaktionsgeschehen</w:t>
      </w:r>
      <w:r>
        <w:rPr>
          <w:rFonts w:ascii="Source Sans Pro" w:hAnsi="Source Sans Pro" w:cs="Source Sans Pro"/>
          <w:sz w:val="22"/>
          <w:szCs w:val="22"/>
        </w:rPr>
        <w:t xml:space="preserve">“, so </w:t>
      </w:r>
      <w:r w:rsidRPr="005C47F7">
        <w:rPr>
          <w:rFonts w:ascii="Source Sans Pro" w:hAnsi="Source Sans Pro" w:cs="Source Sans Pro"/>
          <w:b/>
          <w:bCs/>
          <w:sz w:val="22"/>
          <w:szCs w:val="22"/>
        </w:rPr>
        <w:t>Rehberg</w:t>
      </w:r>
      <w:r>
        <w:rPr>
          <w:rFonts w:ascii="Source Sans Pro" w:hAnsi="Source Sans Pro" w:cs="Source Sans Pro"/>
          <w:sz w:val="22"/>
          <w:szCs w:val="22"/>
        </w:rPr>
        <w:t>.</w:t>
      </w:r>
    </w:p>
    <w:p w14:paraId="5CFF1002" w14:textId="77777777" w:rsidR="00065685" w:rsidRDefault="00065685" w:rsidP="005C47F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5094DE9D" w14:textId="56485D22" w:rsidR="007F1BD3" w:rsidRDefault="005C47F7" w:rsidP="007F1BD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Alle Top-7-Städte verzeichneten</w:t>
      </w:r>
      <w:r w:rsidR="00610BB3">
        <w:rPr>
          <w:rFonts w:ascii="Source Sans Pro" w:hAnsi="Source Sans Pro" w:cs="Source Sans Pro"/>
          <w:sz w:val="22"/>
          <w:szCs w:val="22"/>
        </w:rPr>
        <w:t xml:space="preserve"> im Vorjahresvergleich</w:t>
      </w:r>
      <w:r>
        <w:rPr>
          <w:rFonts w:ascii="Source Sans Pro" w:hAnsi="Source Sans Pro" w:cs="Source Sans Pro"/>
          <w:sz w:val="22"/>
          <w:szCs w:val="22"/>
        </w:rPr>
        <w:t xml:space="preserve"> ein</w:t>
      </w:r>
      <w:r w:rsidR="004F38BF">
        <w:rPr>
          <w:rFonts w:ascii="Source Sans Pro" w:hAnsi="Source Sans Pro" w:cs="Source Sans Pro"/>
          <w:sz w:val="22"/>
          <w:szCs w:val="22"/>
        </w:rPr>
        <w:t>en</w:t>
      </w:r>
      <w:r>
        <w:rPr>
          <w:rFonts w:ascii="Source Sans Pro" w:hAnsi="Source Sans Pro" w:cs="Source Sans Pro"/>
          <w:sz w:val="22"/>
          <w:szCs w:val="22"/>
        </w:rPr>
        <w:t xml:space="preserve"> Rückgang des </w:t>
      </w:r>
      <w:r w:rsidR="00910AD1">
        <w:rPr>
          <w:rFonts w:ascii="Source Sans Pro" w:hAnsi="Source Sans Pro" w:cs="Source Sans Pro"/>
          <w:sz w:val="22"/>
          <w:szCs w:val="22"/>
        </w:rPr>
        <w:t>TAV</w:t>
      </w:r>
      <w:r>
        <w:rPr>
          <w:rFonts w:ascii="Source Sans Pro" w:hAnsi="Source Sans Pro" w:cs="Source Sans Pro"/>
          <w:sz w:val="22"/>
          <w:szCs w:val="22"/>
        </w:rPr>
        <w:t xml:space="preserve">. </w:t>
      </w:r>
      <w:r w:rsidR="00465A6E" w:rsidRPr="00270F3A">
        <w:rPr>
          <w:rFonts w:ascii="Source Sans Pro" w:hAnsi="Source Sans Pro" w:cs="Source Sans Pro"/>
          <w:sz w:val="22"/>
          <w:szCs w:val="22"/>
        </w:rPr>
        <w:t>D</w:t>
      </w:r>
      <w:r w:rsidR="00375256">
        <w:rPr>
          <w:rFonts w:ascii="Source Sans Pro" w:hAnsi="Source Sans Pro" w:cs="Source Sans Pro"/>
          <w:sz w:val="22"/>
          <w:szCs w:val="22"/>
        </w:rPr>
        <w:t>as deutlichste Minus w</w:t>
      </w:r>
      <w:r w:rsidR="00465A6E" w:rsidRPr="00270F3A">
        <w:rPr>
          <w:rFonts w:ascii="Source Sans Pro" w:hAnsi="Source Sans Pro" w:cs="Source Sans Pro"/>
          <w:sz w:val="22"/>
          <w:szCs w:val="22"/>
        </w:rPr>
        <w:t xml:space="preserve">urde in Frankfurt (-95 % auf 104 Mio. €), Hamburg (-91 % auf 170 Mio. €) und Berlin (-70 % auf 700 Mio. </w:t>
      </w:r>
      <w:r w:rsidR="00465A6E" w:rsidRPr="00270F3A">
        <w:rPr>
          <w:rFonts w:ascii="Source Sans Pro" w:hAnsi="Source Sans Pro" w:cs="Source Sans Pro"/>
          <w:sz w:val="22"/>
          <w:szCs w:val="22"/>
        </w:rPr>
        <w:lastRenderedPageBreak/>
        <w:t xml:space="preserve">€) erfasst. </w:t>
      </w:r>
      <w:r w:rsidR="00270F3A">
        <w:rPr>
          <w:rFonts w:ascii="Source Sans Pro" w:hAnsi="Source Sans Pro" w:cs="Source Sans Pro"/>
          <w:sz w:val="22"/>
          <w:szCs w:val="22"/>
        </w:rPr>
        <w:t xml:space="preserve">Auch an den Standorten Düsseldorf (-64 % auf 360 Mio. €), Köln (-67 % auf 100 Mio. €) und Stuttgart (-68 % auf 170 Mio. €) </w:t>
      </w:r>
      <w:r w:rsidR="00986361">
        <w:rPr>
          <w:rFonts w:ascii="Source Sans Pro" w:hAnsi="Source Sans Pro" w:cs="Source Sans Pro"/>
          <w:sz w:val="22"/>
          <w:szCs w:val="22"/>
        </w:rPr>
        <w:t>verblieb das</w:t>
      </w:r>
      <w:r w:rsidR="00270F3A">
        <w:rPr>
          <w:rFonts w:ascii="Source Sans Pro" w:hAnsi="Source Sans Pro" w:cs="Source Sans Pro"/>
          <w:sz w:val="22"/>
          <w:szCs w:val="22"/>
        </w:rPr>
        <w:t xml:space="preserve"> </w:t>
      </w:r>
      <w:r w:rsidR="00910AD1">
        <w:rPr>
          <w:rFonts w:ascii="Source Sans Pro" w:hAnsi="Source Sans Pro" w:cs="Source Sans Pro"/>
          <w:sz w:val="22"/>
          <w:szCs w:val="22"/>
        </w:rPr>
        <w:t xml:space="preserve">TAV </w:t>
      </w:r>
      <w:r w:rsidR="00986361">
        <w:rPr>
          <w:rFonts w:ascii="Source Sans Pro" w:hAnsi="Source Sans Pro" w:cs="Source Sans Pro"/>
          <w:sz w:val="22"/>
          <w:szCs w:val="22"/>
        </w:rPr>
        <w:t>deutlich unter dem Vorjahreswert</w:t>
      </w:r>
      <w:r w:rsidR="00270F3A">
        <w:rPr>
          <w:rFonts w:ascii="Source Sans Pro" w:hAnsi="Source Sans Pro" w:cs="Source Sans Pro"/>
          <w:sz w:val="22"/>
          <w:szCs w:val="22"/>
        </w:rPr>
        <w:t xml:space="preserve">. </w:t>
      </w:r>
      <w:r w:rsidR="007F1BD3">
        <w:rPr>
          <w:rFonts w:ascii="Source Sans Pro" w:hAnsi="Source Sans Pro" w:cs="Source Sans Pro"/>
          <w:sz w:val="22"/>
          <w:szCs w:val="22"/>
        </w:rPr>
        <w:t xml:space="preserve">Diese Entwicklungen lassen sich ebenfalls </w:t>
      </w:r>
      <w:r w:rsidR="0092334A">
        <w:rPr>
          <w:rFonts w:ascii="Source Sans Pro" w:hAnsi="Source Sans Pro" w:cs="Source Sans Pro"/>
          <w:sz w:val="22"/>
          <w:szCs w:val="22"/>
        </w:rPr>
        <w:t xml:space="preserve">zu einem großen Teil </w:t>
      </w:r>
      <w:r w:rsidR="007F1BD3">
        <w:rPr>
          <w:rFonts w:ascii="Source Sans Pro" w:hAnsi="Source Sans Pro" w:cs="Source Sans Pro"/>
          <w:sz w:val="22"/>
          <w:szCs w:val="22"/>
        </w:rPr>
        <w:t xml:space="preserve">auf den alstria-Sondereffekt zurückführen, der </w:t>
      </w:r>
      <w:r w:rsidR="00986361">
        <w:rPr>
          <w:rFonts w:ascii="Source Sans Pro" w:hAnsi="Source Sans Pro" w:cs="Source Sans Pro"/>
          <w:sz w:val="22"/>
          <w:szCs w:val="22"/>
        </w:rPr>
        <w:t xml:space="preserve">zum Jahresbeginn 2022 </w:t>
      </w:r>
      <w:r w:rsidR="007F1BD3">
        <w:rPr>
          <w:rFonts w:ascii="Source Sans Pro" w:hAnsi="Source Sans Pro" w:cs="Source Sans Pro"/>
          <w:sz w:val="22"/>
          <w:szCs w:val="22"/>
        </w:rPr>
        <w:t xml:space="preserve">das TAV an allen Standorten bis auf München befeuerte. In der bayerischen Hauptstadt zeigte sich der geringste Rückgang von 21 % auf rund 1 Mrd. € im Vergleich zum – auch ohne Sondereffekt </w:t>
      </w:r>
      <w:r w:rsidR="00426531">
        <w:rPr>
          <w:rFonts w:ascii="Source Sans Pro" w:hAnsi="Source Sans Pro" w:cs="Source Sans Pro"/>
          <w:sz w:val="22"/>
          <w:szCs w:val="22"/>
        </w:rPr>
        <w:t>stärkeren</w:t>
      </w:r>
      <w:r w:rsidR="007F1BD3">
        <w:rPr>
          <w:rFonts w:ascii="Source Sans Pro" w:hAnsi="Source Sans Pro" w:cs="Source Sans Pro"/>
          <w:sz w:val="22"/>
          <w:szCs w:val="22"/>
        </w:rPr>
        <w:t xml:space="preserve"> – Vorjahresquartal. </w:t>
      </w:r>
    </w:p>
    <w:p w14:paraId="768FEA24" w14:textId="77777777" w:rsidR="00BC6B47" w:rsidRDefault="00BC6B47" w:rsidP="004F09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126EED4" w14:textId="292196EC" w:rsidR="00986361" w:rsidRDefault="00BC6B47" w:rsidP="004F09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Der größte Anteil </w:t>
      </w:r>
      <w:r w:rsidR="00910AD1">
        <w:rPr>
          <w:rFonts w:ascii="Source Sans Pro" w:hAnsi="Source Sans Pro" w:cs="Source Sans Pro"/>
          <w:sz w:val="22"/>
          <w:szCs w:val="22"/>
        </w:rPr>
        <w:t xml:space="preserve">des TAV </w:t>
      </w:r>
      <w:r>
        <w:rPr>
          <w:rFonts w:ascii="Source Sans Pro" w:hAnsi="Source Sans Pro" w:cs="Source Sans Pro"/>
          <w:sz w:val="22"/>
          <w:szCs w:val="22"/>
        </w:rPr>
        <w:t>entfiel mit rund 37 % auf die Assetklasse Einzelhandel</w:t>
      </w:r>
      <w:r w:rsidR="00065685">
        <w:rPr>
          <w:rFonts w:ascii="Source Sans Pro" w:hAnsi="Source Sans Pro" w:cs="Source Sans Pro"/>
          <w:sz w:val="22"/>
          <w:szCs w:val="22"/>
        </w:rPr>
        <w:t>.</w:t>
      </w:r>
      <w:r w:rsidR="000A072C">
        <w:rPr>
          <w:rFonts w:ascii="Source Sans Pro" w:hAnsi="Source Sans Pro" w:cs="Source Sans Pro"/>
          <w:sz w:val="22"/>
          <w:szCs w:val="22"/>
        </w:rPr>
        <w:t xml:space="preserve"> Ausschlaggebend für dieses Ergebnis waren vor allem die </w:t>
      </w:r>
      <w:r w:rsidR="000665E2">
        <w:rPr>
          <w:rFonts w:ascii="Source Sans Pro" w:hAnsi="Source Sans Pro" w:cs="Source Sans Pro"/>
          <w:sz w:val="22"/>
          <w:szCs w:val="22"/>
        </w:rPr>
        <w:t xml:space="preserve">großvolumige </w:t>
      </w:r>
      <w:r w:rsidR="000A072C">
        <w:rPr>
          <w:rFonts w:ascii="Source Sans Pro" w:hAnsi="Source Sans Pro" w:cs="Source Sans Pro"/>
          <w:sz w:val="22"/>
          <w:szCs w:val="22"/>
        </w:rPr>
        <w:t>Transaktion des Münchener „PEP-Einkaufscenters“ sowie der Anteilsverkauf</w:t>
      </w:r>
      <w:r w:rsidR="00065685">
        <w:rPr>
          <w:rFonts w:ascii="Source Sans Pro" w:hAnsi="Source Sans Pro" w:cs="Source Sans Pro"/>
          <w:sz w:val="22"/>
          <w:szCs w:val="22"/>
        </w:rPr>
        <w:t xml:space="preserve"> </w:t>
      </w:r>
      <w:r w:rsidR="000A072C">
        <w:rPr>
          <w:rFonts w:ascii="Source Sans Pro" w:hAnsi="Source Sans Pro" w:cs="Source Sans Pro"/>
          <w:sz w:val="22"/>
          <w:szCs w:val="22"/>
        </w:rPr>
        <w:t xml:space="preserve">des Kaufhauses „KaDeWe“ in Berlin. </w:t>
      </w:r>
      <w:r>
        <w:rPr>
          <w:rFonts w:ascii="Source Sans Pro" w:hAnsi="Source Sans Pro" w:cs="Source Sans Pro"/>
          <w:sz w:val="22"/>
          <w:szCs w:val="22"/>
        </w:rPr>
        <w:t>Büroimmobilien</w:t>
      </w:r>
      <w:r w:rsidR="00065685">
        <w:rPr>
          <w:rFonts w:ascii="Source Sans Pro" w:hAnsi="Source Sans Pro" w:cs="Source Sans Pro"/>
          <w:sz w:val="22"/>
          <w:szCs w:val="22"/>
        </w:rPr>
        <w:t xml:space="preserve"> machten</w:t>
      </w:r>
      <w:r>
        <w:rPr>
          <w:rFonts w:ascii="Source Sans Pro" w:hAnsi="Source Sans Pro" w:cs="Source Sans Pro"/>
          <w:sz w:val="22"/>
          <w:szCs w:val="22"/>
        </w:rPr>
        <w:t xml:space="preserve"> etwa 28 % des TAV aus</w:t>
      </w:r>
      <w:r w:rsidR="00065685">
        <w:rPr>
          <w:rFonts w:ascii="Source Sans Pro" w:hAnsi="Source Sans Pro" w:cs="Source Sans Pro"/>
          <w:sz w:val="22"/>
          <w:szCs w:val="22"/>
        </w:rPr>
        <w:t>.</w:t>
      </w:r>
      <w:r w:rsidR="000A072C">
        <w:rPr>
          <w:rFonts w:ascii="Source Sans Pro" w:hAnsi="Source Sans Pro" w:cs="Source Sans Pro"/>
          <w:sz w:val="22"/>
          <w:szCs w:val="22"/>
        </w:rPr>
        <w:t xml:space="preserve"> </w:t>
      </w:r>
      <w:r w:rsidR="00065685">
        <w:rPr>
          <w:rFonts w:ascii="Source Sans Pro" w:hAnsi="Source Sans Pro" w:cs="Source Sans Pro"/>
          <w:sz w:val="22"/>
          <w:szCs w:val="22"/>
        </w:rPr>
        <w:t xml:space="preserve">Darauf folgten Grundstücke und </w:t>
      </w:r>
      <w:r w:rsidR="00065685" w:rsidRPr="00065685">
        <w:rPr>
          <w:rFonts w:ascii="Source Sans Pro" w:hAnsi="Source Sans Pro" w:cs="Source Sans Pro"/>
          <w:sz w:val="22"/>
          <w:szCs w:val="22"/>
        </w:rPr>
        <w:t xml:space="preserve">Mixed-Use-Immobilien </w:t>
      </w:r>
      <w:r w:rsidR="00065685">
        <w:rPr>
          <w:rFonts w:ascii="Source Sans Pro" w:hAnsi="Source Sans Pro" w:cs="Source Sans Pro"/>
          <w:sz w:val="22"/>
          <w:szCs w:val="22"/>
        </w:rPr>
        <w:t>mit 16 bzw. 14 %.</w:t>
      </w:r>
      <w:r w:rsidR="003B4C22">
        <w:rPr>
          <w:rFonts w:ascii="Source Sans Pro" w:hAnsi="Source Sans Pro" w:cs="Source Sans Pro"/>
          <w:sz w:val="22"/>
          <w:szCs w:val="22"/>
        </w:rPr>
        <w:t xml:space="preserve"> Internationale Investoren</w:t>
      </w:r>
      <w:r w:rsidR="00816613">
        <w:rPr>
          <w:rFonts w:ascii="Source Sans Pro" w:hAnsi="Source Sans Pro" w:cs="Source Sans Pro"/>
          <w:sz w:val="22"/>
          <w:szCs w:val="22"/>
        </w:rPr>
        <w:t xml:space="preserve"> </w:t>
      </w:r>
      <w:r w:rsidR="0077196D">
        <w:rPr>
          <w:rFonts w:ascii="Source Sans Pro" w:hAnsi="Source Sans Pro" w:cs="Source Sans Pro"/>
          <w:sz w:val="22"/>
          <w:szCs w:val="22"/>
        </w:rPr>
        <w:t>zeigten sich</w:t>
      </w:r>
      <w:r w:rsidR="00816613">
        <w:rPr>
          <w:rFonts w:ascii="Source Sans Pro" w:hAnsi="Source Sans Pro" w:cs="Source Sans Pro"/>
          <w:sz w:val="22"/>
          <w:szCs w:val="22"/>
        </w:rPr>
        <w:t xml:space="preserve"> </w:t>
      </w:r>
      <w:r w:rsidR="00986361">
        <w:rPr>
          <w:rFonts w:ascii="Source Sans Pro" w:hAnsi="Source Sans Pro" w:cs="Source Sans Pro"/>
          <w:sz w:val="22"/>
          <w:szCs w:val="22"/>
        </w:rPr>
        <w:t>i</w:t>
      </w:r>
      <w:r w:rsidR="00816613">
        <w:rPr>
          <w:rFonts w:ascii="Source Sans Pro" w:hAnsi="Source Sans Pro" w:cs="Source Sans Pro"/>
          <w:sz w:val="22"/>
          <w:szCs w:val="22"/>
        </w:rPr>
        <w:t xml:space="preserve">n den deutschen Top-7-Städten mit einem Volumenanteil von 32 % </w:t>
      </w:r>
      <w:r w:rsidR="00910AD1">
        <w:rPr>
          <w:rFonts w:ascii="Source Sans Pro" w:hAnsi="Source Sans Pro" w:cs="Source Sans Pro"/>
          <w:sz w:val="22"/>
          <w:szCs w:val="22"/>
        </w:rPr>
        <w:t xml:space="preserve">stark </w:t>
      </w:r>
      <w:r w:rsidR="00C4260E">
        <w:rPr>
          <w:rFonts w:ascii="Source Sans Pro" w:hAnsi="Source Sans Pro" w:cs="Source Sans Pro"/>
          <w:sz w:val="22"/>
          <w:szCs w:val="22"/>
        </w:rPr>
        <w:t>zurückhaltend</w:t>
      </w:r>
      <w:r w:rsidR="00816613">
        <w:rPr>
          <w:rFonts w:ascii="Source Sans Pro" w:hAnsi="Source Sans Pro" w:cs="Source Sans Pro"/>
          <w:sz w:val="22"/>
          <w:szCs w:val="22"/>
        </w:rPr>
        <w:t xml:space="preserve">. Den größten Anteil am </w:t>
      </w:r>
      <w:r w:rsidR="00910AD1">
        <w:rPr>
          <w:rFonts w:ascii="Source Sans Pro" w:hAnsi="Source Sans Pro" w:cs="Source Sans Pro"/>
          <w:sz w:val="22"/>
          <w:szCs w:val="22"/>
        </w:rPr>
        <w:t xml:space="preserve">TAV </w:t>
      </w:r>
      <w:r w:rsidR="00816613">
        <w:rPr>
          <w:rFonts w:ascii="Source Sans Pro" w:hAnsi="Source Sans Pro" w:cs="Source Sans Pro"/>
          <w:sz w:val="22"/>
          <w:szCs w:val="22"/>
        </w:rPr>
        <w:t>verantworteten sie mit 70 % in Berlin.</w:t>
      </w:r>
      <w:r w:rsidR="00986361">
        <w:rPr>
          <w:rFonts w:ascii="Source Sans Pro" w:hAnsi="Source Sans Pro" w:cs="Source Sans Pro"/>
          <w:sz w:val="22"/>
          <w:szCs w:val="22"/>
        </w:rPr>
        <w:t xml:space="preserve"> Portfolioverkäufe </w:t>
      </w:r>
      <w:r w:rsidR="00663D75">
        <w:rPr>
          <w:rFonts w:ascii="Source Sans Pro" w:hAnsi="Source Sans Pro" w:cs="Source Sans Pro"/>
          <w:sz w:val="22"/>
          <w:szCs w:val="22"/>
        </w:rPr>
        <w:t>waren</w:t>
      </w:r>
      <w:r w:rsidR="00986361">
        <w:rPr>
          <w:rFonts w:ascii="Source Sans Pro" w:hAnsi="Source Sans Pro" w:cs="Source Sans Pro"/>
          <w:sz w:val="22"/>
          <w:szCs w:val="22"/>
        </w:rPr>
        <w:t xml:space="preserve"> mit </w:t>
      </w:r>
      <w:r w:rsidR="0077196D">
        <w:rPr>
          <w:rFonts w:ascii="Source Sans Pro" w:hAnsi="Source Sans Pro" w:cs="Source Sans Pro"/>
          <w:sz w:val="22"/>
          <w:szCs w:val="22"/>
        </w:rPr>
        <w:t xml:space="preserve">etwa </w:t>
      </w:r>
      <w:r w:rsidR="00986361">
        <w:rPr>
          <w:rFonts w:ascii="Source Sans Pro" w:hAnsi="Source Sans Pro" w:cs="Source Sans Pro"/>
          <w:sz w:val="22"/>
          <w:szCs w:val="22"/>
        </w:rPr>
        <w:t xml:space="preserve">4 % </w:t>
      </w:r>
      <w:r w:rsidR="00663D75">
        <w:rPr>
          <w:rFonts w:ascii="Source Sans Pro" w:hAnsi="Source Sans Pro" w:cs="Source Sans Pro"/>
          <w:sz w:val="22"/>
          <w:szCs w:val="22"/>
        </w:rPr>
        <w:t>Anteil am</w:t>
      </w:r>
      <w:r w:rsidR="00986361">
        <w:rPr>
          <w:rFonts w:ascii="Source Sans Pro" w:hAnsi="Source Sans Pro" w:cs="Source Sans Pro"/>
          <w:sz w:val="22"/>
          <w:szCs w:val="22"/>
        </w:rPr>
        <w:t xml:space="preserve"> TAV </w:t>
      </w:r>
      <w:r w:rsidR="00663D75">
        <w:rPr>
          <w:rFonts w:ascii="Source Sans Pro" w:hAnsi="Source Sans Pro" w:cs="Source Sans Pro"/>
          <w:sz w:val="22"/>
          <w:szCs w:val="22"/>
        </w:rPr>
        <w:t>rar</w:t>
      </w:r>
      <w:r w:rsidR="00986361">
        <w:rPr>
          <w:rFonts w:ascii="Source Sans Pro" w:hAnsi="Source Sans Pro" w:cs="Source Sans Pro"/>
          <w:sz w:val="22"/>
          <w:szCs w:val="22"/>
        </w:rPr>
        <w:t>.</w:t>
      </w:r>
      <w:r w:rsidR="00C4260E">
        <w:rPr>
          <w:rFonts w:ascii="Source Sans Pro" w:hAnsi="Source Sans Pro" w:cs="Source Sans Pro"/>
          <w:sz w:val="22"/>
          <w:szCs w:val="22"/>
        </w:rPr>
        <w:t xml:space="preserve"> Die geringe Anzahl der zugrundeliegenden Transaktionen macht diese Ergebnisse nur bedingt aussagekräftig.</w:t>
      </w:r>
    </w:p>
    <w:p w14:paraId="4FDD6406" w14:textId="77777777" w:rsidR="00816613" w:rsidRPr="00034121" w:rsidRDefault="00816613" w:rsidP="004F09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7E871430" w14:textId="76D17C46" w:rsidR="00F159E2" w:rsidRDefault="00404BCC" w:rsidP="00AD7DB5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Renditen</w:t>
      </w:r>
      <w:r w:rsidR="00AD7DB5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: </w:t>
      </w:r>
      <w:r w:rsidR="0090663A">
        <w:rPr>
          <w:rFonts w:ascii="Source Sans Pro" w:hAnsi="Source Sans Pro" w:cs="Source Sans Pro"/>
          <w:caps/>
          <w:color w:val="0086A8"/>
          <w:sz w:val="22"/>
          <w:szCs w:val="22"/>
        </w:rPr>
        <w:t>Anstieg in allen Assetklassen</w:t>
      </w:r>
    </w:p>
    <w:p w14:paraId="74B95CD4" w14:textId="561C849F" w:rsidR="007F12A3" w:rsidRDefault="00AD7DB5" w:rsidP="00F159E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 xml:space="preserve">Der </w:t>
      </w:r>
      <w:r w:rsidR="0077196D">
        <w:rPr>
          <w:rFonts w:ascii="Source Sans Pro" w:hAnsi="Source Sans Pro" w:cs="Arial"/>
          <w:bCs/>
          <w:sz w:val="22"/>
          <w:szCs w:val="22"/>
        </w:rPr>
        <w:t xml:space="preserve">in den vergangenen zwölf Monaten </w:t>
      </w:r>
      <w:r>
        <w:rPr>
          <w:rFonts w:ascii="Source Sans Pro" w:hAnsi="Source Sans Pro" w:cs="Arial"/>
          <w:bCs/>
          <w:sz w:val="22"/>
          <w:szCs w:val="22"/>
        </w:rPr>
        <w:t xml:space="preserve">mehrfach angehobene Leitzins ließ die Renditen </w:t>
      </w:r>
      <w:r w:rsidR="0077196D">
        <w:rPr>
          <w:rFonts w:ascii="Source Sans Pro" w:hAnsi="Source Sans Pro" w:cs="Arial"/>
          <w:bCs/>
          <w:sz w:val="22"/>
          <w:szCs w:val="22"/>
        </w:rPr>
        <w:t xml:space="preserve">weiterhin </w:t>
      </w:r>
      <w:r>
        <w:rPr>
          <w:rFonts w:ascii="Source Sans Pro" w:hAnsi="Source Sans Pro" w:cs="Arial"/>
          <w:bCs/>
          <w:sz w:val="22"/>
          <w:szCs w:val="22"/>
        </w:rPr>
        <w:t xml:space="preserve">in allen Assetklassen ansteigen. </w:t>
      </w:r>
      <w:r w:rsidR="00F159E2" w:rsidRPr="00F159E2">
        <w:rPr>
          <w:rFonts w:ascii="Source Sans Pro" w:hAnsi="Source Sans Pro" w:cs="Arial"/>
          <w:bCs/>
          <w:sz w:val="22"/>
          <w:szCs w:val="22"/>
        </w:rPr>
        <w:t xml:space="preserve">Die Top-7-Spitzenrendite für Büroimmobilien kletterte im Vergleich zum Vorjahresquartal um </w:t>
      </w:r>
      <w:r w:rsidR="00F67B89">
        <w:rPr>
          <w:rFonts w:ascii="Source Sans Pro" w:hAnsi="Source Sans Pro" w:cs="Arial"/>
          <w:bCs/>
          <w:sz w:val="22"/>
          <w:szCs w:val="22"/>
        </w:rPr>
        <w:t>0,93</w:t>
      </w:r>
      <w:r w:rsidR="00F159E2" w:rsidRPr="00F159E2">
        <w:rPr>
          <w:rFonts w:ascii="Source Sans Pro" w:hAnsi="Source Sans Pro" w:cs="Arial"/>
          <w:bCs/>
          <w:sz w:val="22"/>
          <w:szCs w:val="22"/>
        </w:rPr>
        <w:t xml:space="preserve"> %-Punkte auf 3,</w:t>
      </w:r>
      <w:r w:rsidR="00F67B89">
        <w:rPr>
          <w:rFonts w:ascii="Source Sans Pro" w:hAnsi="Source Sans Pro" w:cs="Arial"/>
          <w:bCs/>
          <w:sz w:val="22"/>
          <w:szCs w:val="22"/>
        </w:rPr>
        <w:t>61</w:t>
      </w:r>
      <w:r w:rsidR="00F159E2" w:rsidRPr="00F159E2">
        <w:rPr>
          <w:rFonts w:ascii="Source Sans Pro" w:hAnsi="Source Sans Pro" w:cs="Arial"/>
          <w:bCs/>
          <w:sz w:val="22"/>
          <w:szCs w:val="22"/>
        </w:rPr>
        <w:t xml:space="preserve"> %.</w:t>
      </w:r>
      <w:r w:rsidR="00F159E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F159E2" w:rsidRPr="00F159E2">
        <w:rPr>
          <w:rFonts w:ascii="Source Sans Pro" w:hAnsi="Source Sans Pro" w:cs="Source Sans Pro"/>
          <w:sz w:val="22"/>
          <w:szCs w:val="22"/>
        </w:rPr>
        <w:t>D</w:t>
      </w:r>
      <w:r w:rsidR="0077196D">
        <w:rPr>
          <w:rFonts w:ascii="Source Sans Pro" w:hAnsi="Source Sans Pro" w:cs="Source Sans Pro"/>
          <w:sz w:val="22"/>
          <w:szCs w:val="22"/>
        </w:rPr>
        <w:t>as</w:t>
      </w:r>
      <w:r w:rsidR="00F159E2" w:rsidRPr="00F159E2">
        <w:rPr>
          <w:rFonts w:ascii="Source Sans Pro" w:hAnsi="Source Sans Pro" w:cs="Source Sans Pro"/>
          <w:sz w:val="22"/>
          <w:szCs w:val="22"/>
        </w:rPr>
        <w:t xml:space="preserve"> </w:t>
      </w:r>
      <w:r w:rsidR="00F159E2">
        <w:rPr>
          <w:rFonts w:ascii="Source Sans Pro" w:hAnsi="Source Sans Pro" w:cs="Source Sans Pro"/>
          <w:sz w:val="22"/>
          <w:szCs w:val="22"/>
        </w:rPr>
        <w:t>deutlichste</w:t>
      </w:r>
      <w:r w:rsidR="00F159E2" w:rsidRPr="00F159E2">
        <w:rPr>
          <w:rFonts w:ascii="Source Sans Pro" w:hAnsi="Source Sans Pro" w:cs="Source Sans Pro"/>
          <w:sz w:val="22"/>
          <w:szCs w:val="22"/>
        </w:rPr>
        <w:t xml:space="preserve"> </w:t>
      </w:r>
      <w:r w:rsidR="0077196D">
        <w:rPr>
          <w:rFonts w:ascii="Source Sans Pro" w:hAnsi="Source Sans Pro" w:cs="Source Sans Pro"/>
          <w:sz w:val="22"/>
          <w:szCs w:val="22"/>
        </w:rPr>
        <w:t>Plus</w:t>
      </w:r>
      <w:r w:rsidR="00F159E2" w:rsidRPr="00F159E2">
        <w:rPr>
          <w:rFonts w:ascii="Source Sans Pro" w:hAnsi="Source Sans Pro" w:cs="Source Sans Pro"/>
          <w:sz w:val="22"/>
          <w:szCs w:val="22"/>
        </w:rPr>
        <w:t xml:space="preserve"> wurde in </w:t>
      </w:r>
      <w:r w:rsidR="00F67B89">
        <w:rPr>
          <w:rFonts w:ascii="Source Sans Pro" w:hAnsi="Source Sans Pro" w:cs="Source Sans Pro"/>
          <w:sz w:val="22"/>
          <w:szCs w:val="22"/>
        </w:rPr>
        <w:t>Berlin</w:t>
      </w:r>
      <w:r w:rsidR="00F67B89" w:rsidRPr="00F159E2">
        <w:rPr>
          <w:rFonts w:ascii="Source Sans Pro" w:hAnsi="Source Sans Pro" w:cs="Source Sans Pro"/>
          <w:sz w:val="22"/>
          <w:szCs w:val="22"/>
        </w:rPr>
        <w:t xml:space="preserve"> </w:t>
      </w:r>
      <w:r w:rsidR="00F159E2" w:rsidRPr="00F159E2">
        <w:rPr>
          <w:rFonts w:ascii="Source Sans Pro" w:hAnsi="Source Sans Pro" w:cs="Source Sans Pro"/>
          <w:sz w:val="22"/>
          <w:szCs w:val="22"/>
        </w:rPr>
        <w:t xml:space="preserve">erfasst. Hier </w:t>
      </w:r>
      <w:r w:rsidR="00F159E2">
        <w:rPr>
          <w:rFonts w:ascii="Source Sans Pro" w:hAnsi="Source Sans Pro" w:cs="Source Sans Pro"/>
          <w:sz w:val="22"/>
          <w:szCs w:val="22"/>
        </w:rPr>
        <w:t>stiegen die Spitzenrenditen um 1,</w:t>
      </w:r>
      <w:r w:rsidR="00F67B89">
        <w:rPr>
          <w:rFonts w:ascii="Source Sans Pro" w:hAnsi="Source Sans Pro" w:cs="Source Sans Pro"/>
          <w:sz w:val="22"/>
          <w:szCs w:val="22"/>
        </w:rPr>
        <w:t>15</w:t>
      </w:r>
      <w:r w:rsidR="00F67B89">
        <w:rPr>
          <w:rFonts w:ascii="Source Sans Pro" w:hAnsi="Source Sans Pro" w:cs="Source Sans Pro"/>
          <w:sz w:val="22"/>
          <w:szCs w:val="22"/>
        </w:rPr>
        <w:t xml:space="preserve"> </w:t>
      </w:r>
      <w:r w:rsidR="00F159E2">
        <w:rPr>
          <w:rFonts w:ascii="Source Sans Pro" w:hAnsi="Source Sans Pro" w:cs="Source Sans Pro"/>
          <w:sz w:val="22"/>
          <w:szCs w:val="22"/>
        </w:rPr>
        <w:t xml:space="preserve">%-Punkte auf </w:t>
      </w:r>
      <w:r w:rsidR="00F67B89">
        <w:rPr>
          <w:rFonts w:ascii="Source Sans Pro" w:hAnsi="Source Sans Pro" w:cs="Source Sans Pro"/>
          <w:sz w:val="22"/>
          <w:szCs w:val="22"/>
        </w:rPr>
        <w:t>3,75</w:t>
      </w:r>
      <w:r w:rsidR="00F159E2">
        <w:rPr>
          <w:rFonts w:ascii="Source Sans Pro" w:hAnsi="Source Sans Pro" w:cs="Source Sans Pro"/>
          <w:sz w:val="22"/>
          <w:szCs w:val="22"/>
        </w:rPr>
        <w:t xml:space="preserve"> %. </w:t>
      </w:r>
      <w:r w:rsidR="00F67B89">
        <w:rPr>
          <w:rFonts w:ascii="Source Sans Pro" w:hAnsi="Source Sans Pro" w:cs="Source Sans Pro"/>
          <w:sz w:val="22"/>
          <w:szCs w:val="22"/>
        </w:rPr>
        <w:t>D</w:t>
      </w:r>
      <w:r w:rsidR="00F159E2">
        <w:rPr>
          <w:rFonts w:ascii="Source Sans Pro" w:hAnsi="Source Sans Pro" w:cs="Source Sans Pro"/>
          <w:sz w:val="22"/>
          <w:szCs w:val="22"/>
        </w:rPr>
        <w:t>ie Spitzenrendite für Industrie</w:t>
      </w:r>
      <w:r w:rsidR="0077196D">
        <w:rPr>
          <w:rFonts w:ascii="Source Sans Pro" w:hAnsi="Source Sans Pro" w:cs="Source Sans Pro"/>
          <w:sz w:val="22"/>
          <w:szCs w:val="22"/>
        </w:rPr>
        <w:t>-</w:t>
      </w:r>
      <w:r w:rsidR="00F159E2">
        <w:rPr>
          <w:rFonts w:ascii="Source Sans Pro" w:hAnsi="Source Sans Pro" w:cs="Source Sans Pro"/>
          <w:sz w:val="22"/>
          <w:szCs w:val="22"/>
        </w:rPr>
        <w:t xml:space="preserve"> und Logistikobjekte </w:t>
      </w:r>
      <w:r w:rsidR="0077196D">
        <w:rPr>
          <w:rFonts w:ascii="Source Sans Pro" w:hAnsi="Source Sans Pro" w:cs="Source Sans Pro"/>
          <w:sz w:val="22"/>
          <w:szCs w:val="22"/>
        </w:rPr>
        <w:t>machte</w:t>
      </w:r>
      <w:r w:rsidR="00F159E2">
        <w:rPr>
          <w:rFonts w:ascii="Source Sans Pro" w:hAnsi="Source Sans Pro" w:cs="Source Sans Pro"/>
          <w:sz w:val="22"/>
          <w:szCs w:val="22"/>
        </w:rPr>
        <w:t xml:space="preserve"> in </w:t>
      </w:r>
      <w:r w:rsidR="00F67B89">
        <w:rPr>
          <w:rFonts w:ascii="Source Sans Pro" w:hAnsi="Source Sans Pro" w:cs="Source Sans Pro"/>
          <w:sz w:val="22"/>
          <w:szCs w:val="22"/>
        </w:rPr>
        <w:t>München</w:t>
      </w:r>
      <w:r w:rsidR="00F67B89">
        <w:rPr>
          <w:rFonts w:ascii="Source Sans Pro" w:hAnsi="Source Sans Pro" w:cs="Source Sans Pro"/>
          <w:sz w:val="22"/>
          <w:szCs w:val="22"/>
        </w:rPr>
        <w:t xml:space="preserve"> </w:t>
      </w:r>
      <w:r w:rsidR="0077196D">
        <w:rPr>
          <w:rFonts w:ascii="Source Sans Pro" w:hAnsi="Source Sans Pro" w:cs="Source Sans Pro"/>
          <w:sz w:val="22"/>
          <w:szCs w:val="22"/>
        </w:rPr>
        <w:t>den</w:t>
      </w:r>
      <w:r w:rsidR="00F159E2">
        <w:rPr>
          <w:rFonts w:ascii="Source Sans Pro" w:hAnsi="Source Sans Pro" w:cs="Source Sans Pro"/>
          <w:sz w:val="22"/>
          <w:szCs w:val="22"/>
        </w:rPr>
        <w:t xml:space="preserve"> größte</w:t>
      </w:r>
      <w:r w:rsidR="0077196D">
        <w:rPr>
          <w:rFonts w:ascii="Source Sans Pro" w:hAnsi="Source Sans Pro" w:cs="Source Sans Pro"/>
          <w:sz w:val="22"/>
          <w:szCs w:val="22"/>
        </w:rPr>
        <w:t>n</w:t>
      </w:r>
      <w:r w:rsidR="00F159E2">
        <w:rPr>
          <w:rFonts w:ascii="Source Sans Pro" w:hAnsi="Source Sans Pro" w:cs="Source Sans Pro"/>
          <w:sz w:val="22"/>
          <w:szCs w:val="22"/>
        </w:rPr>
        <w:t xml:space="preserve"> </w:t>
      </w:r>
      <w:r w:rsidR="0077196D">
        <w:rPr>
          <w:rFonts w:ascii="Source Sans Pro" w:hAnsi="Source Sans Pro" w:cs="Source Sans Pro"/>
          <w:sz w:val="22"/>
          <w:szCs w:val="22"/>
        </w:rPr>
        <w:t>Sprung</w:t>
      </w:r>
      <w:r w:rsidR="00F159E2">
        <w:rPr>
          <w:rFonts w:ascii="Source Sans Pro" w:hAnsi="Source Sans Pro" w:cs="Source Sans Pro"/>
          <w:sz w:val="22"/>
          <w:szCs w:val="22"/>
        </w:rPr>
        <w:t xml:space="preserve"> im Vergleich zum Vorjahr (+1,</w:t>
      </w:r>
      <w:r w:rsidR="00F67B89">
        <w:rPr>
          <w:rFonts w:ascii="Source Sans Pro" w:hAnsi="Source Sans Pro" w:cs="Source Sans Pro"/>
          <w:sz w:val="22"/>
          <w:szCs w:val="22"/>
        </w:rPr>
        <w:t>4</w:t>
      </w:r>
      <w:r w:rsidR="00F159E2">
        <w:rPr>
          <w:rFonts w:ascii="Source Sans Pro" w:hAnsi="Source Sans Pro" w:cs="Source Sans Pro"/>
          <w:sz w:val="22"/>
          <w:szCs w:val="22"/>
        </w:rPr>
        <w:t xml:space="preserve">0 %-Punkte auf </w:t>
      </w:r>
      <w:r w:rsidR="00F67B89">
        <w:rPr>
          <w:rFonts w:ascii="Source Sans Pro" w:hAnsi="Source Sans Pro" w:cs="Source Sans Pro"/>
          <w:sz w:val="22"/>
          <w:szCs w:val="22"/>
        </w:rPr>
        <w:t>4</w:t>
      </w:r>
      <w:r w:rsidR="00F159E2">
        <w:rPr>
          <w:rFonts w:ascii="Source Sans Pro" w:hAnsi="Source Sans Pro" w:cs="Source Sans Pro"/>
          <w:sz w:val="22"/>
          <w:szCs w:val="22"/>
        </w:rPr>
        <w:t>,</w:t>
      </w:r>
      <w:r w:rsidR="00F67B89">
        <w:rPr>
          <w:rFonts w:ascii="Source Sans Pro" w:hAnsi="Source Sans Pro" w:cs="Source Sans Pro"/>
          <w:sz w:val="22"/>
          <w:szCs w:val="22"/>
        </w:rPr>
        <w:t>5</w:t>
      </w:r>
      <w:r w:rsidR="00F159E2">
        <w:rPr>
          <w:rFonts w:ascii="Source Sans Pro" w:hAnsi="Source Sans Pro" w:cs="Source Sans Pro"/>
          <w:sz w:val="22"/>
          <w:szCs w:val="22"/>
        </w:rPr>
        <w:t xml:space="preserve">0 %). </w:t>
      </w:r>
      <w:r>
        <w:rPr>
          <w:rFonts w:ascii="Source Sans Pro" w:hAnsi="Source Sans Pro" w:cs="Source Sans Pro"/>
          <w:sz w:val="22"/>
          <w:szCs w:val="22"/>
        </w:rPr>
        <w:t>An den Top-7-Standorten</w:t>
      </w:r>
      <w:r w:rsidR="00F159E2">
        <w:rPr>
          <w:rFonts w:ascii="Source Sans Pro" w:hAnsi="Source Sans Pro" w:cs="Source Sans Pro"/>
          <w:sz w:val="22"/>
          <w:szCs w:val="22"/>
        </w:rPr>
        <w:t xml:space="preserve"> wurde</w:t>
      </w:r>
      <w:r w:rsidR="0077196D">
        <w:rPr>
          <w:rFonts w:ascii="Source Sans Pro" w:hAnsi="Source Sans Pro" w:cs="Source Sans Pro"/>
          <w:sz w:val="22"/>
          <w:szCs w:val="22"/>
        </w:rPr>
        <w:t xml:space="preserve"> hierfür</w:t>
      </w:r>
      <w:r w:rsidR="00F159E2">
        <w:rPr>
          <w:rFonts w:ascii="Source Sans Pro" w:hAnsi="Source Sans Pro" w:cs="Source Sans Pro"/>
          <w:sz w:val="22"/>
          <w:szCs w:val="22"/>
        </w:rPr>
        <w:t xml:space="preserve"> ein Plus von</w:t>
      </w:r>
      <w:r>
        <w:rPr>
          <w:rFonts w:ascii="Source Sans Pro" w:hAnsi="Source Sans Pro" w:cs="Source Sans Pro"/>
          <w:sz w:val="22"/>
          <w:szCs w:val="22"/>
        </w:rPr>
        <w:t xml:space="preserve"> 0,8</w:t>
      </w:r>
      <w:r w:rsidR="00F67B89">
        <w:rPr>
          <w:rFonts w:ascii="Source Sans Pro" w:hAnsi="Source Sans Pro" w:cs="Source Sans Pro"/>
          <w:sz w:val="22"/>
          <w:szCs w:val="22"/>
        </w:rPr>
        <w:t>5</w:t>
      </w:r>
      <w:r>
        <w:rPr>
          <w:rFonts w:ascii="Source Sans Pro" w:hAnsi="Source Sans Pro" w:cs="Source Sans Pro"/>
          <w:sz w:val="22"/>
          <w:szCs w:val="22"/>
        </w:rPr>
        <w:t xml:space="preserve"> %-Punkten auf 4,1</w:t>
      </w:r>
      <w:r w:rsidR="00F67B89">
        <w:rPr>
          <w:rFonts w:ascii="Source Sans Pro" w:hAnsi="Source Sans Pro" w:cs="Source Sans Pro"/>
          <w:sz w:val="22"/>
          <w:szCs w:val="22"/>
        </w:rPr>
        <w:t>4</w:t>
      </w:r>
      <w:r>
        <w:rPr>
          <w:rFonts w:ascii="Source Sans Pro" w:hAnsi="Source Sans Pro" w:cs="Source Sans Pro"/>
          <w:sz w:val="22"/>
          <w:szCs w:val="22"/>
        </w:rPr>
        <w:t xml:space="preserve"> % erfasst.</w:t>
      </w:r>
      <w:r w:rsidR="00F159E2">
        <w:rPr>
          <w:rFonts w:ascii="Source Sans Pro" w:hAnsi="Source Sans Pro" w:cs="Source Sans Pro"/>
          <w:sz w:val="22"/>
          <w:szCs w:val="22"/>
        </w:rPr>
        <w:t xml:space="preserve"> </w:t>
      </w:r>
      <w:r w:rsidR="00AB536E">
        <w:rPr>
          <w:rFonts w:ascii="Source Sans Pro" w:hAnsi="Source Sans Pro" w:cs="Source Sans Pro"/>
          <w:sz w:val="22"/>
          <w:szCs w:val="22"/>
        </w:rPr>
        <w:t>Diese Einschätzungen beruhen jedoch auf nur wenigen Referenzfällen.</w:t>
      </w:r>
    </w:p>
    <w:p w14:paraId="28CDED79" w14:textId="77777777" w:rsidR="000B2DF4" w:rsidRPr="00AD7DB5" w:rsidRDefault="000B2DF4" w:rsidP="00F159E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35EAB08A" w14:textId="16E86927" w:rsidR="00481D27" w:rsidRPr="00481D27" w:rsidRDefault="00404BCC" w:rsidP="007F12A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Marktbelebung </w:t>
      </w:r>
      <w:r w:rsidR="00367F4F">
        <w:rPr>
          <w:rFonts w:ascii="Source Sans Pro" w:hAnsi="Source Sans Pro" w:cs="Source Sans Pro"/>
          <w:caps/>
          <w:color w:val="0086A8"/>
          <w:sz w:val="22"/>
          <w:szCs w:val="22"/>
        </w:rPr>
        <w:t>nach Abschluss der Preisbildungsphase</w:t>
      </w:r>
    </w:p>
    <w:p w14:paraId="11A9BAAC" w14:textId="7DC9494D" w:rsidR="007F12A3" w:rsidRPr="008F3731" w:rsidRDefault="00367F4F" w:rsidP="008F373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iCs/>
          <w:sz w:val="22"/>
          <w:szCs w:val="22"/>
        </w:rPr>
      </w:pPr>
      <w:r w:rsidRPr="008F3731">
        <w:rPr>
          <w:rFonts w:ascii="Source Sans Pro" w:hAnsi="Source Sans Pro" w:cs="Source Sans Pro"/>
          <w:sz w:val="22"/>
          <w:szCs w:val="22"/>
        </w:rPr>
        <w:t xml:space="preserve">Wann die Top-7-Investmentmärkte wieder an Transaktionsdynamik gewinnen werden, </w:t>
      </w:r>
      <w:r w:rsidR="008F3731" w:rsidRPr="008F3731">
        <w:rPr>
          <w:rFonts w:ascii="Source Sans Pro" w:hAnsi="Source Sans Pro" w:cs="Source Sans Pro"/>
          <w:sz w:val="22"/>
          <w:szCs w:val="22"/>
        </w:rPr>
        <w:t>lässt sich aufgrund der aktuell unsicheren Rahmenbedingungen nur schwer prognostizieren</w:t>
      </w:r>
      <w:r w:rsidR="008F3731">
        <w:rPr>
          <w:rFonts w:ascii="Source Sans Pro" w:hAnsi="Source Sans Pro" w:cs="Source Sans Pro"/>
          <w:i/>
          <w:iCs/>
          <w:sz w:val="22"/>
          <w:szCs w:val="22"/>
        </w:rPr>
        <w:t xml:space="preserve">. </w:t>
      </w:r>
      <w:r w:rsidR="008F3731">
        <w:rPr>
          <w:rFonts w:ascii="Source Sans Pro" w:hAnsi="Source Sans Pro" w:cs="Source Sans Pro"/>
          <w:sz w:val="22"/>
          <w:szCs w:val="22"/>
        </w:rPr>
        <w:t>„</w:t>
      </w:r>
      <w:r w:rsidR="008F3731" w:rsidRPr="008F3731">
        <w:rPr>
          <w:rFonts w:ascii="Source Sans Pro" w:hAnsi="Source Sans Pro" w:cs="Source Sans Pro"/>
          <w:i/>
          <w:iCs/>
          <w:sz w:val="22"/>
          <w:szCs w:val="22"/>
        </w:rPr>
        <w:t>Das Investoreninteresse</w:t>
      </w:r>
      <w:r w:rsidR="008F3731">
        <w:rPr>
          <w:rFonts w:ascii="Source Sans Pro" w:hAnsi="Source Sans Pro" w:cs="Source Sans Pro"/>
          <w:i/>
          <w:iCs/>
          <w:sz w:val="22"/>
          <w:szCs w:val="22"/>
        </w:rPr>
        <w:t xml:space="preserve"> </w:t>
      </w:r>
      <w:r w:rsidR="008F3731" w:rsidRPr="008F3731">
        <w:rPr>
          <w:rFonts w:ascii="Source Sans Pro" w:hAnsi="Source Sans Pro" w:cs="Source Sans Pro"/>
          <w:i/>
          <w:iCs/>
          <w:sz w:val="22"/>
          <w:szCs w:val="22"/>
        </w:rPr>
        <w:t>ist nach wie vor vorhanden</w:t>
      </w:r>
      <w:r w:rsidR="008F3731">
        <w:rPr>
          <w:rFonts w:ascii="Source Sans Pro" w:hAnsi="Source Sans Pro" w:cs="Source Sans Pro"/>
          <w:sz w:val="22"/>
          <w:szCs w:val="22"/>
        </w:rPr>
        <w:t xml:space="preserve">“, sagt </w:t>
      </w:r>
      <w:r w:rsidR="008F3731" w:rsidRPr="008F3731">
        <w:rPr>
          <w:rFonts w:ascii="Source Sans Pro" w:hAnsi="Source Sans Pro" w:cs="Source Sans Pro"/>
          <w:b/>
          <w:bCs/>
          <w:sz w:val="22"/>
          <w:szCs w:val="22"/>
        </w:rPr>
        <w:t>Rehberg</w:t>
      </w:r>
      <w:r w:rsidR="008F3731">
        <w:rPr>
          <w:rFonts w:ascii="Source Sans Pro" w:hAnsi="Source Sans Pro" w:cs="Source Sans Pro"/>
          <w:sz w:val="22"/>
          <w:szCs w:val="22"/>
        </w:rPr>
        <w:t xml:space="preserve"> und fügt hinzu: „</w:t>
      </w:r>
      <w:r w:rsidR="008F3731" w:rsidRPr="00481D27">
        <w:rPr>
          <w:rFonts w:ascii="Source Sans Pro" w:hAnsi="Source Sans Pro" w:cs="Source Sans Pro"/>
          <w:i/>
          <w:iCs/>
          <w:sz w:val="22"/>
          <w:szCs w:val="22"/>
        </w:rPr>
        <w:t>So</w:t>
      </w:r>
      <w:r w:rsidR="008F3731">
        <w:rPr>
          <w:rFonts w:ascii="Source Sans Pro" w:hAnsi="Source Sans Pro" w:cs="Source Sans Pro"/>
          <w:i/>
          <w:iCs/>
          <w:sz w:val="22"/>
          <w:szCs w:val="22"/>
        </w:rPr>
        <w:t xml:space="preserve">bald </w:t>
      </w:r>
      <w:r w:rsidR="008F3731" w:rsidRPr="00481D27">
        <w:rPr>
          <w:rFonts w:ascii="Source Sans Pro" w:hAnsi="Source Sans Pro" w:cs="Source Sans Pro"/>
          <w:i/>
          <w:iCs/>
          <w:sz w:val="22"/>
          <w:szCs w:val="22"/>
        </w:rPr>
        <w:t>die noch anhaltende Preiskorrektur abgeschlossen wird und</w:t>
      </w:r>
      <w:r w:rsidR="008F3731">
        <w:rPr>
          <w:rFonts w:ascii="Source Sans Pro" w:hAnsi="Source Sans Pro" w:cs="Source Sans Pro"/>
          <w:i/>
          <w:iCs/>
          <w:sz w:val="22"/>
          <w:szCs w:val="22"/>
        </w:rPr>
        <w:t xml:space="preserve"> ein stabiles</w:t>
      </w:r>
      <w:r w:rsidR="008F3731" w:rsidRPr="00481D27">
        <w:rPr>
          <w:rFonts w:ascii="Source Sans Pro" w:hAnsi="Source Sans Pro" w:cs="Source Sans Pro"/>
          <w:i/>
          <w:iCs/>
          <w:sz w:val="22"/>
          <w:szCs w:val="22"/>
        </w:rPr>
        <w:t xml:space="preserve"> Zinsniveau</w:t>
      </w:r>
      <w:r w:rsidR="00AB536E">
        <w:rPr>
          <w:rFonts w:ascii="Source Sans Pro" w:hAnsi="Source Sans Pro" w:cs="Source Sans Pro"/>
          <w:i/>
          <w:iCs/>
          <w:sz w:val="22"/>
          <w:szCs w:val="22"/>
        </w:rPr>
        <w:t xml:space="preserve"> Investoren</w:t>
      </w:r>
      <w:r w:rsidR="008F3731" w:rsidRPr="00481D27">
        <w:rPr>
          <w:rFonts w:ascii="Source Sans Pro" w:hAnsi="Source Sans Pro" w:cs="Source Sans Pro"/>
          <w:i/>
          <w:iCs/>
          <w:sz w:val="22"/>
          <w:szCs w:val="22"/>
        </w:rPr>
        <w:t xml:space="preserve"> </w:t>
      </w:r>
      <w:r w:rsidR="008F3731">
        <w:rPr>
          <w:rFonts w:ascii="Source Sans Pro" w:hAnsi="Source Sans Pro" w:cs="Source Sans Pro"/>
          <w:i/>
          <w:iCs/>
          <w:sz w:val="22"/>
          <w:szCs w:val="22"/>
        </w:rPr>
        <w:t xml:space="preserve">mehr Planungssicherheit </w:t>
      </w:r>
      <w:r w:rsidR="00610BB3">
        <w:rPr>
          <w:rFonts w:ascii="Source Sans Pro" w:hAnsi="Source Sans Pro" w:cs="Source Sans Pro"/>
          <w:i/>
          <w:iCs/>
          <w:sz w:val="22"/>
          <w:szCs w:val="22"/>
        </w:rPr>
        <w:t>ver</w:t>
      </w:r>
      <w:r w:rsidR="008F3731">
        <w:rPr>
          <w:rFonts w:ascii="Source Sans Pro" w:hAnsi="Source Sans Pro" w:cs="Source Sans Pro"/>
          <w:i/>
          <w:iCs/>
          <w:sz w:val="22"/>
          <w:szCs w:val="22"/>
        </w:rPr>
        <w:t>schafft</w:t>
      </w:r>
      <w:r w:rsidR="008F3731" w:rsidRPr="00481D27">
        <w:rPr>
          <w:rFonts w:ascii="Source Sans Pro" w:hAnsi="Source Sans Pro" w:cs="Source Sans Pro"/>
          <w:i/>
          <w:iCs/>
          <w:sz w:val="22"/>
          <w:szCs w:val="22"/>
        </w:rPr>
        <w:t xml:space="preserve">, </w:t>
      </w:r>
      <w:r w:rsidR="007F1BD3">
        <w:rPr>
          <w:rFonts w:ascii="Source Sans Pro" w:hAnsi="Source Sans Pro" w:cs="Source Sans Pro"/>
          <w:i/>
          <w:iCs/>
          <w:sz w:val="22"/>
          <w:szCs w:val="22"/>
        </w:rPr>
        <w:t>erwarten wir auch eine zunehmende</w:t>
      </w:r>
      <w:r w:rsidR="008F3731" w:rsidRPr="00481D27">
        <w:rPr>
          <w:rFonts w:ascii="Source Sans Pro" w:hAnsi="Source Sans Pro" w:cs="Source Sans Pro"/>
          <w:i/>
          <w:iCs/>
          <w:sz w:val="22"/>
          <w:szCs w:val="22"/>
        </w:rPr>
        <w:t xml:space="preserve"> Tran</w:t>
      </w:r>
      <w:r w:rsidR="008F3731">
        <w:rPr>
          <w:rFonts w:ascii="Source Sans Pro" w:hAnsi="Source Sans Pro" w:cs="Source Sans Pro"/>
          <w:i/>
          <w:iCs/>
          <w:sz w:val="22"/>
          <w:szCs w:val="22"/>
        </w:rPr>
        <w:t>s</w:t>
      </w:r>
      <w:r w:rsidR="008F3731" w:rsidRPr="00481D27">
        <w:rPr>
          <w:rFonts w:ascii="Source Sans Pro" w:hAnsi="Source Sans Pro" w:cs="Source Sans Pro"/>
          <w:i/>
          <w:iCs/>
          <w:sz w:val="22"/>
          <w:szCs w:val="22"/>
        </w:rPr>
        <w:t>aktionsdynami</w:t>
      </w:r>
      <w:r w:rsidR="007F1BD3">
        <w:rPr>
          <w:rFonts w:ascii="Source Sans Pro" w:hAnsi="Source Sans Pro" w:cs="Source Sans Pro"/>
          <w:i/>
          <w:iCs/>
          <w:sz w:val="22"/>
          <w:szCs w:val="22"/>
        </w:rPr>
        <w:t>k</w:t>
      </w:r>
      <w:r w:rsidR="008F3731">
        <w:rPr>
          <w:rFonts w:ascii="Source Sans Pro" w:hAnsi="Source Sans Pro" w:cs="Source Sans Pro"/>
          <w:i/>
          <w:iCs/>
          <w:sz w:val="22"/>
          <w:szCs w:val="22"/>
        </w:rPr>
        <w:t>“</w:t>
      </w:r>
      <w:r w:rsidR="008F3731">
        <w:rPr>
          <w:rFonts w:ascii="Source Sans Pro" w:hAnsi="Source Sans Pro" w:cs="Source Sans Pro"/>
          <w:sz w:val="22"/>
          <w:szCs w:val="22"/>
        </w:rPr>
        <w:t>.</w:t>
      </w:r>
      <w:r w:rsidR="007F12A3" w:rsidRPr="008F3731">
        <w:rPr>
          <w:rFonts w:ascii="Source Sans Pro" w:hAnsi="Source Sans Pro" w:cs="Source Sans Pro"/>
          <w:sz w:val="22"/>
          <w:szCs w:val="22"/>
        </w:rPr>
        <w:br/>
      </w:r>
    </w:p>
    <w:p w14:paraId="5CED34B8" w14:textId="6430109C" w:rsidR="00161817" w:rsidRPr="00161817" w:rsidRDefault="00367F4F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t>Größte</w:t>
      </w:r>
      <w:r w:rsidR="00161817" w:rsidRPr="00161817">
        <w:rPr>
          <w:rFonts w:ascii="Source Sans Pro" w:hAnsi="Source Sans Pro" w:cs="Arial"/>
          <w:b/>
          <w:sz w:val="20"/>
        </w:rPr>
        <w:t xml:space="preserve"> bekannte Abschlüsse | Top-7-Standorte | 1. Quartal 202</w:t>
      </w:r>
      <w:r w:rsidR="007F12A3">
        <w:rPr>
          <w:rFonts w:ascii="Source Sans Pro" w:hAnsi="Source Sans Pro" w:cs="Arial"/>
          <w:b/>
          <w:sz w:val="20"/>
        </w:rPr>
        <w:t>3</w:t>
      </w:r>
    </w:p>
    <w:tbl>
      <w:tblPr>
        <w:tblStyle w:val="TableGrid1"/>
        <w:tblW w:w="9231" w:type="dxa"/>
        <w:tblLayout w:type="fixed"/>
        <w:tblLook w:val="04A0" w:firstRow="1" w:lastRow="0" w:firstColumn="1" w:lastColumn="0" w:noHBand="0" w:noVBand="1"/>
      </w:tblPr>
      <w:tblGrid>
        <w:gridCol w:w="687"/>
        <w:gridCol w:w="2682"/>
        <w:gridCol w:w="2658"/>
        <w:gridCol w:w="2190"/>
        <w:gridCol w:w="1014"/>
      </w:tblGrid>
      <w:tr w:rsidR="00161817" w:rsidRPr="00161817" w14:paraId="113FCC50" w14:textId="77777777" w:rsidTr="009E6C40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30C696A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34B091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669932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Käufer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0FE9E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Verkäufer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8E3657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KP*</w:t>
            </w:r>
          </w:p>
          <w:p w14:paraId="24C76A25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(ca. Mio. €)</w:t>
            </w:r>
          </w:p>
        </w:tc>
      </w:tr>
      <w:tr w:rsidR="00583AC8" w:rsidRPr="00161817" w14:paraId="0B78E6CD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576C9D5C" w14:textId="105AFF42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CDDAAC2" w14:textId="52EAC1AA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„</w:t>
            </w:r>
            <w:r w:rsidRPr="00583AC8">
              <w:rPr>
                <w:rFonts w:ascii="Source Sans Pro" w:hAnsi="Source Sans Pro" w:cs="Arial"/>
                <w:sz w:val="16"/>
                <w:szCs w:val="16"/>
              </w:rPr>
              <w:t>PEP Einkaufscenter</w:t>
            </w:r>
            <w:r>
              <w:rPr>
                <w:rFonts w:ascii="Source Sans Pro" w:hAnsi="Source Sans Pro" w:cs="Arial"/>
                <w:sz w:val="16"/>
                <w:szCs w:val="16"/>
              </w:rPr>
              <w:t>“</w:t>
            </w:r>
            <w:r w:rsidRPr="00583AC8">
              <w:rPr>
                <w:rFonts w:ascii="Source Sans Pro" w:hAnsi="Source Sans Pro" w:cs="Arial"/>
                <w:sz w:val="16"/>
                <w:szCs w:val="16"/>
              </w:rPr>
              <w:t>, Ollenhauerstraße 6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EECDA99" w14:textId="6274637F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83AC8">
              <w:rPr>
                <w:rFonts w:ascii="Source Sans Pro" w:hAnsi="Source Sans Pro" w:cs="Arial"/>
                <w:sz w:val="16"/>
                <w:szCs w:val="16"/>
              </w:rPr>
              <w:t>ECE Projektmanagement GmbH &amp; Co. KG und Generali Real Estate S.p.A.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F8AFED1" w14:textId="28096A61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83AC8">
              <w:rPr>
                <w:rFonts w:ascii="Source Sans Pro" w:hAnsi="Source Sans Pro" w:cs="Arial"/>
                <w:sz w:val="16"/>
                <w:szCs w:val="16"/>
              </w:rPr>
              <w:t>US-Lehrerpensionsfonds TIAA-CREF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25E6C98" w14:textId="1E411095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530</w:t>
            </w:r>
          </w:p>
        </w:tc>
      </w:tr>
      <w:tr w:rsidR="00583AC8" w:rsidRPr="00161817" w14:paraId="61DBCEAF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06119DA2" w14:textId="6F626365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CD90978" w14:textId="22FD405F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„</w:t>
            </w:r>
            <w:r w:rsidRPr="00583AC8">
              <w:rPr>
                <w:rFonts w:ascii="Source Sans Pro" w:hAnsi="Source Sans Pro" w:cs="Arial"/>
                <w:sz w:val="16"/>
                <w:szCs w:val="16"/>
              </w:rPr>
              <w:t>Apple Campus</w:t>
            </w:r>
            <w:r>
              <w:rPr>
                <w:rFonts w:ascii="Source Sans Pro" w:hAnsi="Source Sans Pro" w:cs="Arial"/>
                <w:sz w:val="16"/>
                <w:szCs w:val="16"/>
              </w:rPr>
              <w:t>“</w:t>
            </w:r>
            <w:r w:rsidRPr="00583AC8">
              <w:rPr>
                <w:rFonts w:ascii="Source Sans Pro" w:hAnsi="Source Sans Pro" w:cs="Arial"/>
                <w:sz w:val="16"/>
                <w:szCs w:val="16"/>
              </w:rPr>
              <w:t xml:space="preserve"> (Erweiterung), Seidlstraße 15-19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D4D3495" w14:textId="1B09185E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Apple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5E718DC" w14:textId="5339EA01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83AC8">
              <w:rPr>
                <w:rFonts w:ascii="Source Sans Pro" w:hAnsi="Source Sans Pro" w:cs="Arial"/>
                <w:sz w:val="16"/>
                <w:szCs w:val="16"/>
              </w:rPr>
              <w:t>Freistaat Bayern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DB19CDE" w14:textId="78736722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251</w:t>
            </w:r>
          </w:p>
        </w:tc>
      </w:tr>
      <w:tr w:rsidR="000B4A9D" w:rsidRPr="00161817" w14:paraId="5809275A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CE0EC77" w14:textId="3EA7ED97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DUS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BDC97A7" w14:textId="42264D32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„Böhler-Areal“, Hansaallee 321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8B2B66A" w14:textId="526C5A12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Jamestown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B0CC4B1" w14:textId="21C83564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voestalpine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E29F60" w14:textId="59FFA329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156</w:t>
            </w:r>
          </w:p>
        </w:tc>
      </w:tr>
      <w:tr w:rsidR="00583AC8" w:rsidRPr="00161817" w14:paraId="315A32FE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30481B64" w14:textId="79201F02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94FA910" w14:textId="6D40807B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83AC8">
              <w:rPr>
                <w:rFonts w:ascii="Source Sans Pro" w:hAnsi="Source Sans Pro" w:cs="Arial"/>
                <w:sz w:val="16"/>
                <w:szCs w:val="16"/>
              </w:rPr>
              <w:t>VINZENT (Neuer Hauptsitz KUVB), Rupprechtstraße 22-24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015AD91" w14:textId="04B3BF08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83AC8">
              <w:rPr>
                <w:rFonts w:ascii="Source Sans Pro" w:hAnsi="Source Sans Pro" w:cs="Arial"/>
                <w:sz w:val="16"/>
                <w:szCs w:val="16"/>
              </w:rPr>
              <w:t>Kommunale Unfallversicherung Bayern (KUVB)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AB07CF3" w14:textId="01BF9E07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83AC8">
              <w:rPr>
                <w:rFonts w:ascii="Source Sans Pro" w:hAnsi="Source Sans Pro" w:cs="Arial"/>
                <w:sz w:val="16"/>
                <w:szCs w:val="16"/>
              </w:rPr>
              <w:t>Bauwerk Capital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B657FC" w14:textId="1D1FE0DA" w:rsidR="00583AC8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110</w:t>
            </w:r>
          </w:p>
        </w:tc>
      </w:tr>
      <w:tr w:rsidR="000B4A9D" w:rsidRPr="00161817" w14:paraId="27C03D98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0E96E9C" w14:textId="787E4129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lastRenderedPageBreak/>
              <w:t>STU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64553CD" w14:textId="247A8506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Eberhardstraße 28/Steinstraße 4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CACC67F" w14:textId="1C95F002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Stadt Stuttgart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B47ECF9" w14:textId="24EA217C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Signa</w:t>
            </w:r>
            <w:r w:rsidR="0092334A">
              <w:rPr>
                <w:rFonts w:ascii="Source Sans Pro" w:hAnsi="Source Sans Pro" w:cs="Arial"/>
                <w:sz w:val="16"/>
                <w:szCs w:val="16"/>
              </w:rPr>
              <w:t xml:space="preserve"> Holding GmbH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15AE998" w14:textId="4ABC2147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&gt;58</w:t>
            </w:r>
          </w:p>
        </w:tc>
      </w:tr>
      <w:tr w:rsidR="000B4A9D" w:rsidRPr="00161817" w14:paraId="2C85CA06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A17CAC7" w14:textId="170918F8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DCAF136" w14:textId="74ACABB3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„Phoenix Center“, Hannoversche Straße 66 (25%)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D9471F2" w14:textId="55EC4408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Deutsche Euroshop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2E415C7" w14:textId="7F1C1325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Otto Group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32423FF" w14:textId="1B16AD14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&gt;29</w:t>
            </w:r>
          </w:p>
        </w:tc>
      </w:tr>
      <w:tr w:rsidR="000B4A9D" w:rsidRPr="00161817" w14:paraId="4962DD99" w14:textId="77777777" w:rsidTr="00073A63">
        <w:trPr>
          <w:trHeight w:val="140"/>
        </w:trPr>
        <w:tc>
          <w:tcPr>
            <w:tcW w:w="687" w:type="dxa"/>
            <w:shd w:val="clear" w:color="auto" w:fill="AEAAAA" w:themeFill="background2" w:themeFillShade="BF"/>
            <w:vAlign w:val="center"/>
          </w:tcPr>
          <w:p w14:paraId="75742589" w14:textId="77777777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EAAAA" w:themeFill="background2" w:themeFillShade="BF"/>
            <w:vAlign w:val="center"/>
          </w:tcPr>
          <w:p w14:paraId="03D0F1B5" w14:textId="77777777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58" w:type="dxa"/>
            <w:shd w:val="clear" w:color="auto" w:fill="AEAAAA" w:themeFill="background2" w:themeFillShade="BF"/>
            <w:vAlign w:val="center"/>
          </w:tcPr>
          <w:p w14:paraId="01D566D4" w14:textId="77777777" w:rsidR="000B4A9D" w:rsidRPr="00392E9E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EAAAA" w:themeFill="background2" w:themeFillShade="BF"/>
            <w:vAlign w:val="center"/>
          </w:tcPr>
          <w:p w14:paraId="72D67DB9" w14:textId="77777777" w:rsidR="000B4A9D" w:rsidRPr="00392E9E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EAAAA" w:themeFill="background2" w:themeFillShade="BF"/>
            <w:vAlign w:val="center"/>
          </w:tcPr>
          <w:p w14:paraId="29A21095" w14:textId="77777777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0B4A9D" w:rsidRPr="00161817" w14:paraId="5F44FAC1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98977BA" w14:textId="1105717E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DUS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9C2F037" w14:textId="6C9546DB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„Maxfrei Offices“, Ulmenstraße 91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6863910" w14:textId="4386B00C" w:rsidR="000B4A9D" w:rsidRPr="00392E9E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Barmenia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647CE70" w14:textId="410E2EA8" w:rsidR="000B4A9D" w:rsidRPr="00392E9E" w:rsidRDefault="00405679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HTTP</w:t>
            </w:r>
            <w:r w:rsidR="000B4A9D">
              <w:rPr>
                <w:rFonts w:ascii="Source Sans Pro" w:hAnsi="Source Sans Pro" w:cs="Arial"/>
                <w:sz w:val="16"/>
                <w:szCs w:val="16"/>
              </w:rPr>
              <w:t xml:space="preserve"> / Interboden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BC77E4B" w14:textId="105D9AC3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0B4A9D" w:rsidRPr="00161817" w14:paraId="72F51164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6E275A54" w14:textId="794EF4CD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6C13D07" w14:textId="4250A9C1" w:rsidR="000B4A9D" w:rsidRPr="00632159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Tauentzienstraße 21-24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E4F20C3" w14:textId="6F307FAE" w:rsidR="000B4A9D" w:rsidRPr="00462200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Harng Central Department Store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CA8D658" w14:textId="67D57564" w:rsidR="000B4A9D" w:rsidRPr="00462200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Signa Prime Selection 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433D167" w14:textId="7206E368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0B4A9D" w:rsidRPr="00161817" w14:paraId="0522854A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C3D97D4" w14:textId="7332FE8A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1F66CD0" w14:textId="00C5BBC6" w:rsidR="000B4A9D" w:rsidRPr="009C2D11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Spichernstraße 2-3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5B96EBC" w14:textId="6FC4ED4C" w:rsidR="000B4A9D" w:rsidRPr="00462200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Macquarie Office Trust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5D9EFDA" w14:textId="55528504" w:rsidR="000B4A9D" w:rsidRPr="00462200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Ardian Real Estate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4D33199" w14:textId="4E9ABC62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0B4A9D" w:rsidRPr="00161817" w14:paraId="3C8AFCAE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AD87A39" w14:textId="2BE31614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DD5D2DE" w14:textId="29977E3A" w:rsidR="000B4A9D" w:rsidRPr="00632159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Mariendorfer Damm 292-298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F0779B8" w14:textId="5B025A19" w:rsidR="000B4A9D" w:rsidRPr="00462200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Redos Real Estate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CD57757" w14:textId="239D9ACA" w:rsidR="000B4A9D" w:rsidRPr="00462200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HGHI Holding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45002DE" w14:textId="14729A13" w:rsidR="000B4A9D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</w:tbl>
    <w:p w14:paraId="26AE2616" w14:textId="52E4655F" w:rsidR="00604E20" w:rsidRPr="004F09D7" w:rsidRDefault="00161817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161817">
        <w:rPr>
          <w:rFonts w:ascii="Source Sans Pro" w:hAnsi="Source Sans Pro" w:cs="Arial"/>
          <w:sz w:val="16"/>
          <w:szCs w:val="16"/>
        </w:rPr>
        <w:t>Quelle:</w:t>
      </w:r>
      <w:r w:rsidRPr="00161817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2791304" w14:textId="446AF17B" w:rsidR="00161817" w:rsidRPr="00EF0944" w:rsidRDefault="00073A63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>
        <w:rPr>
          <w:rFonts w:ascii="Source Sans Pro" w:hAnsi="Source Sans Pro" w:cs="Arial"/>
          <w:b/>
          <w:sz w:val="20"/>
          <w:lang w:val="en-GB"/>
        </w:rPr>
        <w:br/>
      </w:r>
      <w:r w:rsidR="00B46BC1">
        <w:rPr>
          <w:rFonts w:ascii="Source Sans Pro" w:hAnsi="Source Sans Pro" w:cs="Arial"/>
          <w:b/>
          <w:sz w:val="20"/>
          <w:lang w:val="en-GB"/>
        </w:rPr>
        <w:t>Top-7-Standorte | 1.</w:t>
      </w:r>
      <w:r w:rsidR="00161817" w:rsidRPr="00161817">
        <w:rPr>
          <w:rFonts w:ascii="Source Sans Pro" w:hAnsi="Source Sans Pro" w:cs="Arial"/>
          <w:b/>
          <w:sz w:val="20"/>
          <w:lang w:val="en-GB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>Quartal 202</w:t>
      </w:r>
      <w:r w:rsidR="007F12A3">
        <w:rPr>
          <w:rFonts w:ascii="Source Sans Pro" w:hAnsi="Source Sans Pro" w:cs="Arial"/>
          <w:b/>
          <w:sz w:val="20"/>
        </w:rPr>
        <w:t>3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13"/>
        <w:gridCol w:w="619"/>
        <w:gridCol w:w="1080"/>
        <w:gridCol w:w="1151"/>
        <w:gridCol w:w="925"/>
        <w:gridCol w:w="654"/>
        <w:gridCol w:w="1130"/>
        <w:gridCol w:w="1080"/>
        <w:gridCol w:w="1130"/>
      </w:tblGrid>
      <w:tr w:rsidR="0052371C" w:rsidRPr="00161817" w14:paraId="22958352" w14:textId="77777777" w:rsidTr="009E6C40">
        <w:tc>
          <w:tcPr>
            <w:tcW w:w="1939" w:type="dxa"/>
          </w:tcPr>
          <w:p w14:paraId="39DB6921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315CE750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816" w:type="dxa"/>
          </w:tcPr>
          <w:p w14:paraId="5422B71C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933" w:type="dxa"/>
          </w:tcPr>
          <w:p w14:paraId="52D79F3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937" w:type="dxa"/>
          </w:tcPr>
          <w:p w14:paraId="3503C5F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937" w:type="dxa"/>
          </w:tcPr>
          <w:p w14:paraId="6CCF5FE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932" w:type="dxa"/>
          </w:tcPr>
          <w:p w14:paraId="6A9F682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936" w:type="dxa"/>
          </w:tcPr>
          <w:p w14:paraId="006B796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800" w:type="dxa"/>
          </w:tcPr>
          <w:p w14:paraId="361D716F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52371C" w:rsidRPr="00161817" w14:paraId="5211E41C" w14:textId="77777777" w:rsidTr="009E6C40">
        <w:tc>
          <w:tcPr>
            <w:tcW w:w="1939" w:type="dxa"/>
          </w:tcPr>
          <w:p w14:paraId="5CDBB77B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TAV</w:t>
            </w:r>
          </w:p>
          <w:p w14:paraId="741AC997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Mio. €</w:t>
            </w:r>
          </w:p>
        </w:tc>
        <w:tc>
          <w:tcPr>
            <w:tcW w:w="817" w:type="dxa"/>
            <w:vAlign w:val="center"/>
          </w:tcPr>
          <w:p w14:paraId="42B492E0" w14:textId="6C96BD05" w:rsidR="00161817" w:rsidRPr="0016181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170</w:t>
            </w:r>
          </w:p>
        </w:tc>
        <w:tc>
          <w:tcPr>
            <w:tcW w:w="816" w:type="dxa"/>
            <w:vAlign w:val="center"/>
          </w:tcPr>
          <w:p w14:paraId="2473804E" w14:textId="08405C97" w:rsidR="00161817" w:rsidRPr="000610DA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700</w:t>
            </w:r>
          </w:p>
        </w:tc>
        <w:tc>
          <w:tcPr>
            <w:tcW w:w="933" w:type="dxa"/>
            <w:vAlign w:val="center"/>
          </w:tcPr>
          <w:p w14:paraId="7E0DFD82" w14:textId="22C24DAC" w:rsidR="00161817" w:rsidRPr="00EC4845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360</w:t>
            </w:r>
          </w:p>
        </w:tc>
        <w:tc>
          <w:tcPr>
            <w:tcW w:w="937" w:type="dxa"/>
            <w:vAlign w:val="center"/>
          </w:tcPr>
          <w:p w14:paraId="79C367DF" w14:textId="38D2D6BE" w:rsidR="00161817" w:rsidRPr="0016181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100</w:t>
            </w:r>
          </w:p>
        </w:tc>
        <w:tc>
          <w:tcPr>
            <w:tcW w:w="937" w:type="dxa"/>
            <w:vAlign w:val="center"/>
          </w:tcPr>
          <w:p w14:paraId="5874DBC2" w14:textId="5D44E1F0" w:rsidR="00161817" w:rsidRPr="0016181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104</w:t>
            </w:r>
          </w:p>
        </w:tc>
        <w:tc>
          <w:tcPr>
            <w:tcW w:w="932" w:type="dxa"/>
            <w:vAlign w:val="center"/>
          </w:tcPr>
          <w:p w14:paraId="161F8429" w14:textId="69258F11" w:rsidR="00161817" w:rsidRPr="00E0675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21DD4D6" w14:textId="1F703F74" w:rsidR="00161817" w:rsidRPr="004F09D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4F09D7">
              <w:rPr>
                <w:rFonts w:ascii="Source Sans Pro" w:hAnsi="Source Sans Pro" w:cs="Arial"/>
                <w:sz w:val="16"/>
                <w:szCs w:val="16"/>
                <w:u w:val="single"/>
              </w:rPr>
              <w:t>1.025</w:t>
            </w:r>
          </w:p>
        </w:tc>
        <w:tc>
          <w:tcPr>
            <w:tcW w:w="800" w:type="dxa"/>
            <w:vAlign w:val="center"/>
          </w:tcPr>
          <w:p w14:paraId="5D7AFB91" w14:textId="61843C2C" w:rsidR="00161817" w:rsidRPr="00E0675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2.629</w:t>
            </w:r>
          </w:p>
        </w:tc>
      </w:tr>
      <w:tr w:rsidR="0052371C" w:rsidRPr="00161817" w14:paraId="6B0F06BC" w14:textId="77777777" w:rsidTr="009E6C40">
        <w:tc>
          <w:tcPr>
            <w:tcW w:w="1939" w:type="dxa"/>
          </w:tcPr>
          <w:p w14:paraId="1368D85F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384171F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ggü. Vorjahr</w:t>
            </w: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41BD7562" w14:textId="40B4F0B3" w:rsidR="00161817" w:rsidRPr="00B46BC1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-91%</w:t>
            </w:r>
          </w:p>
        </w:tc>
        <w:tc>
          <w:tcPr>
            <w:tcW w:w="816" w:type="dxa"/>
            <w:vAlign w:val="center"/>
          </w:tcPr>
          <w:p w14:paraId="1C4CFEFB" w14:textId="7882ECD3" w:rsidR="00161817" w:rsidRPr="000610DA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-70%</w:t>
            </w:r>
          </w:p>
        </w:tc>
        <w:tc>
          <w:tcPr>
            <w:tcW w:w="933" w:type="dxa"/>
            <w:vAlign w:val="center"/>
          </w:tcPr>
          <w:p w14:paraId="50DE9682" w14:textId="51C446C6" w:rsidR="00161817" w:rsidRPr="00EC4845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-64%</w:t>
            </w:r>
          </w:p>
        </w:tc>
        <w:tc>
          <w:tcPr>
            <w:tcW w:w="937" w:type="dxa"/>
            <w:vAlign w:val="center"/>
          </w:tcPr>
          <w:p w14:paraId="0640E354" w14:textId="71DBF7F6" w:rsidR="00161817" w:rsidRPr="00073A63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-67%</w:t>
            </w:r>
          </w:p>
        </w:tc>
        <w:tc>
          <w:tcPr>
            <w:tcW w:w="937" w:type="dxa"/>
            <w:vAlign w:val="center"/>
          </w:tcPr>
          <w:p w14:paraId="025DC8CA" w14:textId="1EC49700" w:rsidR="00161817" w:rsidRPr="004F09D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4F09D7">
              <w:rPr>
                <w:rFonts w:ascii="Source Sans Pro" w:hAnsi="Source Sans Pro" w:cs="Arial"/>
                <w:sz w:val="16"/>
                <w:szCs w:val="16"/>
                <w:u w:val="single"/>
              </w:rPr>
              <w:t>-95%</w:t>
            </w:r>
          </w:p>
        </w:tc>
        <w:tc>
          <w:tcPr>
            <w:tcW w:w="932" w:type="dxa"/>
            <w:vAlign w:val="center"/>
          </w:tcPr>
          <w:p w14:paraId="62EC947E" w14:textId="76E18D93" w:rsidR="00161817" w:rsidRPr="00E0675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-68%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099EF0" w14:textId="4601318B" w:rsidR="00161817" w:rsidRPr="00E0675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-21%</w:t>
            </w:r>
          </w:p>
        </w:tc>
        <w:tc>
          <w:tcPr>
            <w:tcW w:w="800" w:type="dxa"/>
            <w:vAlign w:val="center"/>
          </w:tcPr>
          <w:p w14:paraId="71231CA6" w14:textId="36D68620" w:rsidR="00161817" w:rsidRPr="00E06757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-72%</w:t>
            </w:r>
          </w:p>
        </w:tc>
      </w:tr>
      <w:tr w:rsidR="0052371C" w:rsidRPr="00161817" w14:paraId="7F708548" w14:textId="77777777" w:rsidTr="009E6C40">
        <w:tc>
          <w:tcPr>
            <w:tcW w:w="1939" w:type="dxa"/>
          </w:tcPr>
          <w:p w14:paraId="3A82530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Spitzenrendite* Büro</w:t>
            </w:r>
          </w:p>
          <w:p w14:paraId="34B73F2E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74FF9E2D" w14:textId="3BD47A97" w:rsidR="00161817" w:rsidRPr="000610DA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3,50</w:t>
            </w:r>
          </w:p>
        </w:tc>
        <w:tc>
          <w:tcPr>
            <w:tcW w:w="816" w:type="dxa"/>
            <w:vAlign w:val="center"/>
          </w:tcPr>
          <w:p w14:paraId="0D6415B8" w14:textId="23884BD6" w:rsidR="00161817" w:rsidRPr="000610DA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3,75</w:t>
            </w:r>
          </w:p>
        </w:tc>
        <w:tc>
          <w:tcPr>
            <w:tcW w:w="933" w:type="dxa"/>
            <w:vAlign w:val="center"/>
          </w:tcPr>
          <w:p w14:paraId="53A1E093" w14:textId="7357DCD1" w:rsidR="00161817" w:rsidRPr="00EC4845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3,60</w:t>
            </w:r>
          </w:p>
        </w:tc>
        <w:tc>
          <w:tcPr>
            <w:tcW w:w="937" w:type="dxa"/>
            <w:vAlign w:val="center"/>
          </w:tcPr>
          <w:p w14:paraId="0431521B" w14:textId="68056D3F" w:rsidR="00161817" w:rsidRPr="00073A63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3,50</w:t>
            </w:r>
          </w:p>
        </w:tc>
        <w:tc>
          <w:tcPr>
            <w:tcW w:w="937" w:type="dxa"/>
            <w:vAlign w:val="center"/>
          </w:tcPr>
          <w:p w14:paraId="73277C18" w14:textId="58D72D50" w:rsidR="00161817" w:rsidRPr="00091D49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091D49">
              <w:rPr>
                <w:rFonts w:ascii="Source Sans Pro" w:hAnsi="Source Sans Pro" w:cs="Arial"/>
                <w:sz w:val="16"/>
                <w:szCs w:val="16"/>
                <w:u w:val="single"/>
              </w:rPr>
              <w:t>3,85</w:t>
            </w:r>
          </w:p>
        </w:tc>
        <w:tc>
          <w:tcPr>
            <w:tcW w:w="932" w:type="dxa"/>
            <w:vAlign w:val="center"/>
          </w:tcPr>
          <w:p w14:paraId="4CD09DF4" w14:textId="1212DF0E" w:rsidR="00161817" w:rsidRPr="00091D49" w:rsidRDefault="00F67B89" w:rsidP="00F67B8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91D49">
              <w:rPr>
                <w:rFonts w:ascii="Source Sans Pro" w:hAnsi="Source Sans Pro" w:cs="Arial"/>
                <w:sz w:val="16"/>
                <w:szCs w:val="16"/>
              </w:rPr>
              <w:t>3,60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486F95" w14:textId="745F67B7" w:rsidR="00161817" w:rsidRPr="00E06757" w:rsidRDefault="00F67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3,50</w:t>
            </w:r>
          </w:p>
        </w:tc>
        <w:tc>
          <w:tcPr>
            <w:tcW w:w="800" w:type="dxa"/>
            <w:vAlign w:val="center"/>
          </w:tcPr>
          <w:p w14:paraId="47ED8E15" w14:textId="0B1AC4CE" w:rsidR="00161817" w:rsidRPr="00E06757" w:rsidRDefault="00A06310" w:rsidP="00F67B89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3,</w:t>
            </w:r>
            <w:r w:rsidR="00F67B89">
              <w:rPr>
                <w:rFonts w:ascii="Source Sans Pro" w:hAnsi="Source Sans Pro" w:cs="Arial"/>
                <w:b/>
                <w:sz w:val="16"/>
                <w:szCs w:val="16"/>
              </w:rPr>
              <w:t>61</w:t>
            </w:r>
          </w:p>
        </w:tc>
      </w:tr>
      <w:tr w:rsidR="0052371C" w:rsidRPr="00161817" w14:paraId="24583354" w14:textId="77777777" w:rsidTr="009E6C40">
        <w:tc>
          <w:tcPr>
            <w:tcW w:w="1939" w:type="dxa"/>
          </w:tcPr>
          <w:p w14:paraId="1AB60A3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ggü.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54B227DC" w14:textId="4ACE2CF2" w:rsidR="00161817" w:rsidRPr="00161817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0,90</w:t>
            </w:r>
          </w:p>
        </w:tc>
        <w:tc>
          <w:tcPr>
            <w:tcW w:w="816" w:type="dxa"/>
            <w:vAlign w:val="center"/>
          </w:tcPr>
          <w:p w14:paraId="51AFFAE3" w14:textId="629F1B8D" w:rsidR="00161817" w:rsidRPr="00091D49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091D49">
              <w:rPr>
                <w:rFonts w:ascii="Source Sans Pro" w:hAnsi="Source Sans Pro" w:cs="Arial"/>
                <w:sz w:val="16"/>
                <w:szCs w:val="16"/>
                <w:u w:val="single"/>
              </w:rPr>
              <w:t>1,15</w:t>
            </w:r>
          </w:p>
        </w:tc>
        <w:tc>
          <w:tcPr>
            <w:tcW w:w="933" w:type="dxa"/>
            <w:vAlign w:val="center"/>
          </w:tcPr>
          <w:p w14:paraId="6738B9BE" w14:textId="0CF0CFAF" w:rsidR="00161817" w:rsidRPr="00161817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0,80</w:t>
            </w:r>
          </w:p>
        </w:tc>
        <w:tc>
          <w:tcPr>
            <w:tcW w:w="937" w:type="dxa"/>
            <w:vAlign w:val="center"/>
          </w:tcPr>
          <w:p w14:paraId="063AA1B7" w14:textId="0D5C2FCA" w:rsidR="00161817" w:rsidRPr="00073A63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0,90</w:t>
            </w:r>
          </w:p>
        </w:tc>
        <w:tc>
          <w:tcPr>
            <w:tcW w:w="937" w:type="dxa"/>
            <w:vAlign w:val="center"/>
          </w:tcPr>
          <w:p w14:paraId="125AAE58" w14:textId="24A2093D" w:rsidR="00161817" w:rsidRPr="00073A63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1,05</w:t>
            </w:r>
          </w:p>
        </w:tc>
        <w:tc>
          <w:tcPr>
            <w:tcW w:w="932" w:type="dxa"/>
            <w:vAlign w:val="center"/>
          </w:tcPr>
          <w:p w14:paraId="3BDF16AC" w14:textId="1CFCC6EA" w:rsidR="00161817" w:rsidRPr="00091D49" w:rsidRDefault="00F67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91D49">
              <w:rPr>
                <w:rFonts w:ascii="Source Sans Pro" w:hAnsi="Source Sans Pro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75A0DE" w14:textId="258320F7" w:rsidR="00161817" w:rsidRPr="00462200" w:rsidRDefault="00F67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0,80</w:t>
            </w:r>
          </w:p>
        </w:tc>
        <w:tc>
          <w:tcPr>
            <w:tcW w:w="800" w:type="dxa"/>
            <w:vAlign w:val="center"/>
          </w:tcPr>
          <w:p w14:paraId="53A9636D" w14:textId="550E2B1F" w:rsidR="00161817" w:rsidRPr="00161817" w:rsidRDefault="00F67B89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0,93</w:t>
            </w:r>
          </w:p>
        </w:tc>
      </w:tr>
      <w:tr w:rsidR="0052371C" w:rsidRPr="00161817" w14:paraId="2D937C1C" w14:textId="77777777" w:rsidTr="009E6C40">
        <w:tc>
          <w:tcPr>
            <w:tcW w:w="1939" w:type="dxa"/>
          </w:tcPr>
          <w:p w14:paraId="66B5D21D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Spitzenrendite* Logistik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684A9001" w14:textId="2D36DDCA" w:rsidR="00161817" w:rsidRPr="00FB551B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4,20</w:t>
            </w:r>
          </w:p>
        </w:tc>
        <w:tc>
          <w:tcPr>
            <w:tcW w:w="816" w:type="dxa"/>
            <w:vAlign w:val="center"/>
          </w:tcPr>
          <w:p w14:paraId="0F835EAB" w14:textId="47DECFF5" w:rsidR="00161817" w:rsidRPr="00A06310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06310">
              <w:rPr>
                <w:rFonts w:ascii="Source Sans Pro" w:hAnsi="Source Sans Pro" w:cs="Arial"/>
                <w:sz w:val="16"/>
                <w:szCs w:val="16"/>
              </w:rPr>
              <w:t>3,80</w:t>
            </w:r>
          </w:p>
        </w:tc>
        <w:tc>
          <w:tcPr>
            <w:tcW w:w="933" w:type="dxa"/>
            <w:vAlign w:val="center"/>
          </w:tcPr>
          <w:p w14:paraId="3DD3739A" w14:textId="1DF0CFF2" w:rsidR="00161817" w:rsidRPr="00161817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4,10</w:t>
            </w:r>
          </w:p>
        </w:tc>
        <w:tc>
          <w:tcPr>
            <w:tcW w:w="937" w:type="dxa"/>
            <w:vAlign w:val="center"/>
          </w:tcPr>
          <w:p w14:paraId="7406BE99" w14:textId="446C33B4" w:rsidR="00161817" w:rsidRPr="00073A63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4,00</w:t>
            </w:r>
          </w:p>
        </w:tc>
        <w:tc>
          <w:tcPr>
            <w:tcW w:w="937" w:type="dxa"/>
            <w:vAlign w:val="center"/>
          </w:tcPr>
          <w:p w14:paraId="41CAE3C0" w14:textId="0F046621" w:rsidR="00161817" w:rsidRPr="00073A63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3,90</w:t>
            </w:r>
          </w:p>
        </w:tc>
        <w:tc>
          <w:tcPr>
            <w:tcW w:w="932" w:type="dxa"/>
            <w:vAlign w:val="center"/>
          </w:tcPr>
          <w:p w14:paraId="1F901372" w14:textId="28FC21D0" w:rsidR="00161817" w:rsidRPr="00A06310" w:rsidRDefault="00F67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46B5F5" w14:textId="66154C9F" w:rsidR="00161817" w:rsidRPr="00091D49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091D49">
              <w:rPr>
                <w:rFonts w:ascii="Source Sans Pro" w:hAnsi="Source Sans Pro" w:cs="Arial"/>
                <w:sz w:val="16"/>
                <w:szCs w:val="16"/>
                <w:u w:val="single"/>
              </w:rPr>
              <w:t>4,50</w:t>
            </w:r>
          </w:p>
        </w:tc>
        <w:tc>
          <w:tcPr>
            <w:tcW w:w="800" w:type="dxa"/>
            <w:vAlign w:val="center"/>
          </w:tcPr>
          <w:p w14:paraId="34BF6507" w14:textId="6BA9F8A9" w:rsidR="00161817" w:rsidRPr="00161817" w:rsidRDefault="00584565" w:rsidP="0058456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4,14</w:t>
            </w:r>
          </w:p>
        </w:tc>
      </w:tr>
      <w:tr w:rsidR="0052371C" w:rsidRPr="00161817" w14:paraId="5A0BD9F2" w14:textId="77777777" w:rsidTr="009E6C40">
        <w:tc>
          <w:tcPr>
            <w:tcW w:w="1939" w:type="dxa"/>
          </w:tcPr>
          <w:p w14:paraId="0E0D0B5A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ggü.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2579329F" w14:textId="318AF4AC" w:rsidR="00161817" w:rsidRPr="00072A30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0,90</w:t>
            </w:r>
          </w:p>
        </w:tc>
        <w:tc>
          <w:tcPr>
            <w:tcW w:w="816" w:type="dxa"/>
            <w:vAlign w:val="center"/>
          </w:tcPr>
          <w:p w14:paraId="3597B6B5" w14:textId="3AD94AC5" w:rsidR="00161817" w:rsidRPr="00161817" w:rsidRDefault="00A06310" w:rsidP="00A0631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vAlign w:val="center"/>
          </w:tcPr>
          <w:p w14:paraId="18491965" w14:textId="3D162AB4" w:rsidR="00161817" w:rsidRPr="00161817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0,65</w:t>
            </w:r>
          </w:p>
        </w:tc>
        <w:tc>
          <w:tcPr>
            <w:tcW w:w="937" w:type="dxa"/>
            <w:vAlign w:val="center"/>
          </w:tcPr>
          <w:p w14:paraId="475FF0C9" w14:textId="16710BA4" w:rsidR="00161817" w:rsidRPr="00073A63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0,70</w:t>
            </w:r>
          </w:p>
        </w:tc>
        <w:tc>
          <w:tcPr>
            <w:tcW w:w="937" w:type="dxa"/>
            <w:vAlign w:val="center"/>
          </w:tcPr>
          <w:p w14:paraId="46A53898" w14:textId="09D85AAA" w:rsidR="00161817" w:rsidRPr="00073A63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0,70</w:t>
            </w:r>
          </w:p>
        </w:tc>
        <w:tc>
          <w:tcPr>
            <w:tcW w:w="932" w:type="dxa"/>
            <w:vAlign w:val="center"/>
          </w:tcPr>
          <w:p w14:paraId="4B78F66F" w14:textId="72B55767" w:rsidR="00161817" w:rsidRPr="00091D49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91D49">
              <w:rPr>
                <w:rFonts w:ascii="Source Sans Pro" w:hAnsi="Source Sans Pro" w:cs="Arial"/>
                <w:sz w:val="16"/>
                <w:szCs w:val="16"/>
              </w:rPr>
              <w:t>1,</w:t>
            </w:r>
            <w:r w:rsidR="00F67B89" w:rsidRPr="00091D49">
              <w:rPr>
                <w:rFonts w:ascii="Source Sans Pro" w:hAnsi="Source Sans Pro" w:cs="Arial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92EAA5" w14:textId="1F7369D5" w:rsidR="00161817" w:rsidRPr="00091D49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091D49">
              <w:rPr>
                <w:rFonts w:ascii="Source Sans Pro" w:hAnsi="Source Sans Pro" w:cs="Arial"/>
                <w:sz w:val="16"/>
                <w:szCs w:val="16"/>
                <w:u w:val="single"/>
              </w:rPr>
              <w:t>1,40</w:t>
            </w:r>
          </w:p>
        </w:tc>
        <w:tc>
          <w:tcPr>
            <w:tcW w:w="800" w:type="dxa"/>
            <w:vAlign w:val="center"/>
          </w:tcPr>
          <w:p w14:paraId="7140B27A" w14:textId="31E6F125" w:rsidR="00161817" w:rsidRPr="00161817" w:rsidRDefault="00A06310" w:rsidP="0058456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0,</w:t>
            </w:r>
            <w:r w:rsidR="00584565">
              <w:rPr>
                <w:rFonts w:ascii="Source Sans Pro" w:hAnsi="Source Sans Pro" w:cs="Arial"/>
                <w:b/>
                <w:sz w:val="16"/>
                <w:szCs w:val="16"/>
              </w:rPr>
              <w:t>8</w:t>
            </w:r>
            <w:r w:rsidR="00584565">
              <w:rPr>
                <w:rFonts w:ascii="Source Sans Pro" w:hAnsi="Source Sans Pro" w:cs="Arial"/>
                <w:b/>
                <w:sz w:val="16"/>
                <w:szCs w:val="16"/>
              </w:rPr>
              <w:t>5</w:t>
            </w:r>
          </w:p>
        </w:tc>
      </w:tr>
      <w:tr w:rsidR="0052371C" w:rsidRPr="00161817" w14:paraId="57899BA9" w14:textId="77777777" w:rsidTr="009E6C40">
        <w:tc>
          <w:tcPr>
            <w:tcW w:w="1939" w:type="dxa"/>
          </w:tcPr>
          <w:p w14:paraId="13B4FAD9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210819D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Assetklasse</w:t>
            </w:r>
          </w:p>
        </w:tc>
        <w:tc>
          <w:tcPr>
            <w:tcW w:w="817" w:type="dxa"/>
            <w:vAlign w:val="center"/>
          </w:tcPr>
          <w:p w14:paraId="4ED34F9A" w14:textId="564A1E31" w:rsidR="00161817" w:rsidRPr="00161817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16" w:type="dxa"/>
            <w:vAlign w:val="center"/>
          </w:tcPr>
          <w:p w14:paraId="1BA19745" w14:textId="54EDF25F" w:rsidR="00161817" w:rsidRPr="00161817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Einzelhandel</w:t>
            </w:r>
          </w:p>
        </w:tc>
        <w:tc>
          <w:tcPr>
            <w:tcW w:w="933" w:type="dxa"/>
            <w:vAlign w:val="center"/>
          </w:tcPr>
          <w:p w14:paraId="2135011E" w14:textId="727E50F1" w:rsidR="00161817" w:rsidRPr="00161817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Mischnutzung</w:t>
            </w:r>
          </w:p>
        </w:tc>
        <w:tc>
          <w:tcPr>
            <w:tcW w:w="937" w:type="dxa"/>
            <w:vAlign w:val="center"/>
          </w:tcPr>
          <w:p w14:paraId="0978A794" w14:textId="2BD6893B" w:rsidR="00161817" w:rsidRPr="00073A63" w:rsidRDefault="0052371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Geschäfts-häuser</w:t>
            </w:r>
          </w:p>
        </w:tc>
        <w:tc>
          <w:tcPr>
            <w:tcW w:w="937" w:type="dxa"/>
            <w:vAlign w:val="center"/>
          </w:tcPr>
          <w:p w14:paraId="74C19DC6" w14:textId="465718BA" w:rsidR="00161817" w:rsidRPr="00073A63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2" w:type="dxa"/>
            <w:vAlign w:val="center"/>
          </w:tcPr>
          <w:p w14:paraId="42CE99EF" w14:textId="63566752" w:rsidR="00161817" w:rsidRPr="00073A63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Grundstücke</w:t>
            </w:r>
            <w:r w:rsidR="0052371C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="0052371C">
              <w:rPr>
                <w:rFonts w:ascii="Source Sans Pro" w:hAnsi="Source Sans Pro" w:cs="Arial"/>
                <w:sz w:val="16"/>
                <w:szCs w:val="16"/>
              </w:rPr>
              <w:br/>
              <w:t>Development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F439F9" w14:textId="000A06BA" w:rsidR="00161817" w:rsidRPr="00462200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Einzelhandel</w:t>
            </w:r>
          </w:p>
        </w:tc>
        <w:tc>
          <w:tcPr>
            <w:tcW w:w="800" w:type="dxa"/>
            <w:vAlign w:val="center"/>
          </w:tcPr>
          <w:p w14:paraId="5660B842" w14:textId="0569D767" w:rsidR="00161817" w:rsidRPr="00161817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Einzelhandel</w:t>
            </w:r>
          </w:p>
        </w:tc>
      </w:tr>
      <w:tr w:rsidR="0052371C" w:rsidRPr="00161817" w14:paraId="7FF3344D" w14:textId="77777777" w:rsidTr="009E6C40">
        <w:tc>
          <w:tcPr>
            <w:tcW w:w="1939" w:type="dxa"/>
          </w:tcPr>
          <w:p w14:paraId="55257A8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19D9BE7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Assetklasse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516BE07F" w14:textId="5EE4514A" w:rsidR="00161817" w:rsidRPr="00161817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42%</w:t>
            </w:r>
          </w:p>
        </w:tc>
        <w:tc>
          <w:tcPr>
            <w:tcW w:w="816" w:type="dxa"/>
            <w:vAlign w:val="center"/>
          </w:tcPr>
          <w:p w14:paraId="3290541C" w14:textId="2F7F1818" w:rsidR="00161817" w:rsidRPr="00161817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50%</w:t>
            </w:r>
          </w:p>
        </w:tc>
        <w:tc>
          <w:tcPr>
            <w:tcW w:w="933" w:type="dxa"/>
            <w:vAlign w:val="center"/>
          </w:tcPr>
          <w:p w14:paraId="65F78631" w14:textId="5F468E41" w:rsidR="00161817" w:rsidRPr="00161817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50%</w:t>
            </w:r>
          </w:p>
        </w:tc>
        <w:tc>
          <w:tcPr>
            <w:tcW w:w="937" w:type="dxa"/>
            <w:vAlign w:val="center"/>
          </w:tcPr>
          <w:p w14:paraId="63E405B4" w14:textId="1E1BC003" w:rsidR="00161817" w:rsidRPr="00073A63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49%</w:t>
            </w:r>
          </w:p>
        </w:tc>
        <w:tc>
          <w:tcPr>
            <w:tcW w:w="937" w:type="dxa"/>
            <w:vAlign w:val="center"/>
          </w:tcPr>
          <w:p w14:paraId="3DBBA68E" w14:textId="77C4CB6D" w:rsidR="00161817" w:rsidRPr="00ED3FA6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ED3FA6">
              <w:rPr>
                <w:rFonts w:ascii="Source Sans Pro" w:hAnsi="Source Sans Pro" w:cs="Arial"/>
                <w:sz w:val="16"/>
                <w:szCs w:val="16"/>
                <w:u w:val="single"/>
              </w:rPr>
              <w:t>85%</w:t>
            </w:r>
          </w:p>
        </w:tc>
        <w:tc>
          <w:tcPr>
            <w:tcW w:w="932" w:type="dxa"/>
            <w:vAlign w:val="center"/>
          </w:tcPr>
          <w:p w14:paraId="62F15918" w14:textId="03BDF37C" w:rsidR="00161817" w:rsidRPr="00073A63" w:rsidRDefault="0092334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40</w:t>
            </w:r>
            <w:r w:rsidR="00ED3FA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F3E0CF" w14:textId="09D85BA1" w:rsidR="00161817" w:rsidRPr="00462200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52%</w:t>
            </w:r>
          </w:p>
        </w:tc>
        <w:tc>
          <w:tcPr>
            <w:tcW w:w="800" w:type="dxa"/>
            <w:vAlign w:val="center"/>
          </w:tcPr>
          <w:p w14:paraId="2A043F0A" w14:textId="1794D98F" w:rsidR="00161817" w:rsidRPr="00161817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37%</w:t>
            </w:r>
          </w:p>
        </w:tc>
      </w:tr>
    </w:tbl>
    <w:p w14:paraId="24F7C797" w14:textId="5003AE93" w:rsidR="00DA733A" w:rsidRP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  <w:r w:rsidRPr="00161817">
        <w:rPr>
          <w:rFonts w:ascii="Source Sans Pro" w:hAnsi="Source Sans Pro" w:cs="Arial"/>
          <w:sz w:val="16"/>
          <w:szCs w:val="16"/>
        </w:rPr>
        <w:t>* Nettoanfangsrendite; Quelle: German Property Partners (GPP)</w:t>
      </w:r>
    </w:p>
    <w:p w14:paraId="384D0EB4" w14:textId="77777777" w:rsid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04CDDE4D" w:rsidR="00DA733A" w:rsidRPr="00966A04" w:rsidRDefault="002B63FD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091D49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8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7A96D1EF" w14:textId="77777777" w:rsidR="007F12A3" w:rsidRPr="00E1280F" w:rsidRDefault="007F12A3" w:rsidP="007F12A3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580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00 m² Gewerbefläche und betreute ein Transaktionsvolumen in Höhe von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6011ECBB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3267071B" w14:textId="05540F4C" w:rsidR="00D56A51" w:rsidRDefault="00091D49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hyperlink r:id="rId9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468FAFF6" w14:textId="33FAAA60" w:rsidR="005C25D5" w:rsidRPr="00D56A51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D56A51" w:rsidSect="001B786B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02995F23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91D49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91D49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3415D950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4804A5">
      <w:rPr>
        <w:rFonts w:ascii="Source Sans Pro" w:hAnsi="Source Sans Pro" w:cs="Source Sans Pro"/>
        <w:color w:val="0087A8"/>
        <w:sz w:val="18"/>
        <w:szCs w:val="18"/>
      </w:rPr>
      <w:t>9</w:t>
    </w:r>
    <w:r w:rsidR="00F40B12">
      <w:rPr>
        <w:rFonts w:ascii="Source Sans Pro" w:hAnsi="Source Sans Pro" w:cs="Source Sans Pro"/>
        <w:color w:val="0087A8"/>
        <w:sz w:val="18"/>
        <w:szCs w:val="18"/>
      </w:rPr>
      <w:t>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42A6765D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4A5">
      <w:rPr>
        <w:rFonts w:ascii="Source Sans Pro" w:hAnsi="Source Sans Pro" w:cs="Source Sans Pro"/>
        <w:color w:val="0087A8"/>
        <w:sz w:val="18"/>
        <w:szCs w:val="18"/>
      </w:rPr>
      <w:t>Katharina Koester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7FD4AE89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91D49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91D49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7630B142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4804A5">
      <w:rPr>
        <w:rFonts w:ascii="Source Sans Pro" w:hAnsi="Source Sans Pro" w:cs="Source Sans Pro"/>
        <w:color w:val="0087A8"/>
        <w:sz w:val="18"/>
        <w:szCs w:val="18"/>
      </w:rPr>
      <w:t>9</w:t>
    </w:r>
    <w:r w:rsidR="00F40B12">
      <w:rPr>
        <w:rFonts w:ascii="Source Sans Pro" w:hAnsi="Source Sans Pro" w:cs="Source Sans Pro"/>
        <w:color w:val="0087A8"/>
        <w:sz w:val="18"/>
        <w:szCs w:val="18"/>
      </w:rPr>
      <w:t>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2F505F91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4A5">
      <w:rPr>
        <w:rFonts w:ascii="Source Sans Pro" w:hAnsi="Source Sans Pro" w:cs="Source Sans Pro"/>
        <w:color w:val="0087A8"/>
        <w:sz w:val="18"/>
        <w:szCs w:val="18"/>
      </w:rPr>
      <w:t>Katharina Koester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E87"/>
    <w:multiLevelType w:val="hybridMultilevel"/>
    <w:tmpl w:val="D2941DE4"/>
    <w:lvl w:ilvl="0" w:tplc="E22A0C4A">
      <w:start w:val="3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3BB"/>
    <w:multiLevelType w:val="hybridMultilevel"/>
    <w:tmpl w:val="A8BA5CB4"/>
    <w:lvl w:ilvl="0" w:tplc="8778A3DC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E33"/>
    <w:multiLevelType w:val="hybridMultilevel"/>
    <w:tmpl w:val="2BE8E350"/>
    <w:lvl w:ilvl="0" w:tplc="B82AA302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36C0"/>
    <w:multiLevelType w:val="hybridMultilevel"/>
    <w:tmpl w:val="51220B10"/>
    <w:lvl w:ilvl="0" w:tplc="782E1AF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30DF"/>
    <w:multiLevelType w:val="hybridMultilevel"/>
    <w:tmpl w:val="C9B00D30"/>
    <w:lvl w:ilvl="0" w:tplc="59D258A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230A"/>
    <w:multiLevelType w:val="hybridMultilevel"/>
    <w:tmpl w:val="C442B6BA"/>
    <w:lvl w:ilvl="0" w:tplc="5A6C3342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813C1"/>
    <w:multiLevelType w:val="hybridMultilevel"/>
    <w:tmpl w:val="05F49C50"/>
    <w:lvl w:ilvl="0" w:tplc="82300CEC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D1F"/>
    <w:multiLevelType w:val="hybridMultilevel"/>
    <w:tmpl w:val="456A7860"/>
    <w:lvl w:ilvl="0" w:tplc="B774640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78BD"/>
    <w:multiLevelType w:val="hybridMultilevel"/>
    <w:tmpl w:val="904C4D60"/>
    <w:lvl w:ilvl="0" w:tplc="51F0D846">
      <w:start w:val="3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C4963"/>
    <w:multiLevelType w:val="hybridMultilevel"/>
    <w:tmpl w:val="751880B2"/>
    <w:lvl w:ilvl="0" w:tplc="AF12DF7E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85149"/>
    <w:multiLevelType w:val="hybridMultilevel"/>
    <w:tmpl w:val="EDEAD9E0"/>
    <w:lvl w:ilvl="0" w:tplc="2782346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1F24"/>
    <w:rsid w:val="000021F4"/>
    <w:rsid w:val="00004E93"/>
    <w:rsid w:val="000136D7"/>
    <w:rsid w:val="00013C9D"/>
    <w:rsid w:val="00013D73"/>
    <w:rsid w:val="00020AC9"/>
    <w:rsid w:val="00027EA3"/>
    <w:rsid w:val="00032028"/>
    <w:rsid w:val="00034121"/>
    <w:rsid w:val="000440EB"/>
    <w:rsid w:val="0005029E"/>
    <w:rsid w:val="000610DA"/>
    <w:rsid w:val="00065685"/>
    <w:rsid w:val="000663B5"/>
    <w:rsid w:val="000665E2"/>
    <w:rsid w:val="00066A8A"/>
    <w:rsid w:val="00072A30"/>
    <w:rsid w:val="00073A63"/>
    <w:rsid w:val="00077E8A"/>
    <w:rsid w:val="00082C59"/>
    <w:rsid w:val="00091562"/>
    <w:rsid w:val="00091D49"/>
    <w:rsid w:val="00091E5B"/>
    <w:rsid w:val="0009382E"/>
    <w:rsid w:val="000A072C"/>
    <w:rsid w:val="000A4FBB"/>
    <w:rsid w:val="000A6A78"/>
    <w:rsid w:val="000B2DF4"/>
    <w:rsid w:val="000B310B"/>
    <w:rsid w:val="000B4A9D"/>
    <w:rsid w:val="000C3A22"/>
    <w:rsid w:val="000D5A87"/>
    <w:rsid w:val="000D6F1F"/>
    <w:rsid w:val="000D7B09"/>
    <w:rsid w:val="000D7FD3"/>
    <w:rsid w:val="000E194E"/>
    <w:rsid w:val="000E4F2C"/>
    <w:rsid w:val="000E6577"/>
    <w:rsid w:val="000E694E"/>
    <w:rsid w:val="000E753B"/>
    <w:rsid w:val="000F57F1"/>
    <w:rsid w:val="001104E2"/>
    <w:rsid w:val="00110917"/>
    <w:rsid w:val="00110E37"/>
    <w:rsid w:val="00113D8C"/>
    <w:rsid w:val="00120624"/>
    <w:rsid w:val="0012156C"/>
    <w:rsid w:val="00131DC5"/>
    <w:rsid w:val="001340F8"/>
    <w:rsid w:val="00146388"/>
    <w:rsid w:val="00150092"/>
    <w:rsid w:val="001550FE"/>
    <w:rsid w:val="00155828"/>
    <w:rsid w:val="00156AF6"/>
    <w:rsid w:val="00161817"/>
    <w:rsid w:val="00162CC4"/>
    <w:rsid w:val="001647B3"/>
    <w:rsid w:val="00166ED2"/>
    <w:rsid w:val="00176433"/>
    <w:rsid w:val="0018092C"/>
    <w:rsid w:val="00184BB0"/>
    <w:rsid w:val="001963BB"/>
    <w:rsid w:val="001A22F5"/>
    <w:rsid w:val="001B786B"/>
    <w:rsid w:val="001C32DB"/>
    <w:rsid w:val="001C518B"/>
    <w:rsid w:val="001D00A5"/>
    <w:rsid w:val="001E1829"/>
    <w:rsid w:val="001E5503"/>
    <w:rsid w:val="001E7716"/>
    <w:rsid w:val="001F218D"/>
    <w:rsid w:val="001F35E1"/>
    <w:rsid w:val="00200C83"/>
    <w:rsid w:val="002014F7"/>
    <w:rsid w:val="00202DD3"/>
    <w:rsid w:val="0022694F"/>
    <w:rsid w:val="00235393"/>
    <w:rsid w:val="00264A0A"/>
    <w:rsid w:val="00265CA3"/>
    <w:rsid w:val="00270F3A"/>
    <w:rsid w:val="0028070D"/>
    <w:rsid w:val="00282ED8"/>
    <w:rsid w:val="00290672"/>
    <w:rsid w:val="002A09C2"/>
    <w:rsid w:val="002A480D"/>
    <w:rsid w:val="002A7D58"/>
    <w:rsid w:val="002B63FD"/>
    <w:rsid w:val="002B749A"/>
    <w:rsid w:val="002C52C5"/>
    <w:rsid w:val="002E1C45"/>
    <w:rsid w:val="002E5673"/>
    <w:rsid w:val="002F461A"/>
    <w:rsid w:val="002F786B"/>
    <w:rsid w:val="00306932"/>
    <w:rsid w:val="003152C9"/>
    <w:rsid w:val="00315870"/>
    <w:rsid w:val="00316196"/>
    <w:rsid w:val="003250ED"/>
    <w:rsid w:val="00341D84"/>
    <w:rsid w:val="003424EC"/>
    <w:rsid w:val="0034454C"/>
    <w:rsid w:val="00355438"/>
    <w:rsid w:val="00355ED1"/>
    <w:rsid w:val="00363075"/>
    <w:rsid w:val="00364C2C"/>
    <w:rsid w:val="00366AF3"/>
    <w:rsid w:val="00367F4F"/>
    <w:rsid w:val="00370785"/>
    <w:rsid w:val="00371640"/>
    <w:rsid w:val="00374F87"/>
    <w:rsid w:val="00375256"/>
    <w:rsid w:val="00392E9E"/>
    <w:rsid w:val="003948FA"/>
    <w:rsid w:val="003A463F"/>
    <w:rsid w:val="003B4C22"/>
    <w:rsid w:val="003B63A8"/>
    <w:rsid w:val="003D36F0"/>
    <w:rsid w:val="003D3F73"/>
    <w:rsid w:val="003D5215"/>
    <w:rsid w:val="003D5D91"/>
    <w:rsid w:val="003E772C"/>
    <w:rsid w:val="003F293B"/>
    <w:rsid w:val="003F5E07"/>
    <w:rsid w:val="003F6066"/>
    <w:rsid w:val="0040331F"/>
    <w:rsid w:val="00403C95"/>
    <w:rsid w:val="00404BCC"/>
    <w:rsid w:val="00405679"/>
    <w:rsid w:val="0041188F"/>
    <w:rsid w:val="00423DAC"/>
    <w:rsid w:val="00425DBF"/>
    <w:rsid w:val="00426531"/>
    <w:rsid w:val="00430DA2"/>
    <w:rsid w:val="004329C6"/>
    <w:rsid w:val="004338CA"/>
    <w:rsid w:val="004343B1"/>
    <w:rsid w:val="00434EB9"/>
    <w:rsid w:val="00436DD0"/>
    <w:rsid w:val="00453F14"/>
    <w:rsid w:val="00456442"/>
    <w:rsid w:val="00462200"/>
    <w:rsid w:val="00465A6E"/>
    <w:rsid w:val="00474099"/>
    <w:rsid w:val="004804A5"/>
    <w:rsid w:val="00481D27"/>
    <w:rsid w:val="00486F74"/>
    <w:rsid w:val="00491CBC"/>
    <w:rsid w:val="004956AE"/>
    <w:rsid w:val="004A2A30"/>
    <w:rsid w:val="004A2D54"/>
    <w:rsid w:val="004A60FB"/>
    <w:rsid w:val="004B5CB6"/>
    <w:rsid w:val="004C616B"/>
    <w:rsid w:val="004D2CD0"/>
    <w:rsid w:val="004D30FB"/>
    <w:rsid w:val="004F09D7"/>
    <w:rsid w:val="004F1EDD"/>
    <w:rsid w:val="004F38BF"/>
    <w:rsid w:val="004F5262"/>
    <w:rsid w:val="004F77D4"/>
    <w:rsid w:val="00500981"/>
    <w:rsid w:val="00501428"/>
    <w:rsid w:val="005045E7"/>
    <w:rsid w:val="00510C33"/>
    <w:rsid w:val="005122A0"/>
    <w:rsid w:val="0052371C"/>
    <w:rsid w:val="0054038E"/>
    <w:rsid w:val="0054593A"/>
    <w:rsid w:val="00547877"/>
    <w:rsid w:val="00554C9F"/>
    <w:rsid w:val="005550A4"/>
    <w:rsid w:val="00557B57"/>
    <w:rsid w:val="005644BE"/>
    <w:rsid w:val="0057524E"/>
    <w:rsid w:val="00575A55"/>
    <w:rsid w:val="00583AC8"/>
    <w:rsid w:val="00584565"/>
    <w:rsid w:val="00593E99"/>
    <w:rsid w:val="005A5999"/>
    <w:rsid w:val="005C25D5"/>
    <w:rsid w:val="005C47F7"/>
    <w:rsid w:val="005D0D0E"/>
    <w:rsid w:val="005D449F"/>
    <w:rsid w:val="005D73BE"/>
    <w:rsid w:val="005E1C97"/>
    <w:rsid w:val="005E6515"/>
    <w:rsid w:val="005F1F6B"/>
    <w:rsid w:val="005F3B7B"/>
    <w:rsid w:val="0060257F"/>
    <w:rsid w:val="00604E20"/>
    <w:rsid w:val="00604F63"/>
    <w:rsid w:val="00605989"/>
    <w:rsid w:val="00607CF6"/>
    <w:rsid w:val="00610BB3"/>
    <w:rsid w:val="00613713"/>
    <w:rsid w:val="006224FB"/>
    <w:rsid w:val="0063115F"/>
    <w:rsid w:val="00632159"/>
    <w:rsid w:val="006363DA"/>
    <w:rsid w:val="006432C0"/>
    <w:rsid w:val="006456EA"/>
    <w:rsid w:val="00653983"/>
    <w:rsid w:val="006609C2"/>
    <w:rsid w:val="00663D75"/>
    <w:rsid w:val="0066478F"/>
    <w:rsid w:val="00675E89"/>
    <w:rsid w:val="00695F46"/>
    <w:rsid w:val="006969F1"/>
    <w:rsid w:val="006A3C35"/>
    <w:rsid w:val="006A6D11"/>
    <w:rsid w:val="006B2259"/>
    <w:rsid w:val="006B3ECE"/>
    <w:rsid w:val="006C5754"/>
    <w:rsid w:val="006D03D9"/>
    <w:rsid w:val="006D6526"/>
    <w:rsid w:val="006E06BE"/>
    <w:rsid w:val="006E674D"/>
    <w:rsid w:val="006E6770"/>
    <w:rsid w:val="006F154A"/>
    <w:rsid w:val="00701992"/>
    <w:rsid w:val="0070363C"/>
    <w:rsid w:val="00712023"/>
    <w:rsid w:val="007144E9"/>
    <w:rsid w:val="007145C9"/>
    <w:rsid w:val="00714A1F"/>
    <w:rsid w:val="00717328"/>
    <w:rsid w:val="0072073D"/>
    <w:rsid w:val="00742C04"/>
    <w:rsid w:val="0074571D"/>
    <w:rsid w:val="00750A05"/>
    <w:rsid w:val="00752C05"/>
    <w:rsid w:val="00767018"/>
    <w:rsid w:val="0077196D"/>
    <w:rsid w:val="00771C92"/>
    <w:rsid w:val="00795586"/>
    <w:rsid w:val="00797DA3"/>
    <w:rsid w:val="007A4844"/>
    <w:rsid w:val="007A4BE6"/>
    <w:rsid w:val="007B33CE"/>
    <w:rsid w:val="007B7B81"/>
    <w:rsid w:val="007C1429"/>
    <w:rsid w:val="007C5441"/>
    <w:rsid w:val="007D1495"/>
    <w:rsid w:val="007D5A52"/>
    <w:rsid w:val="007D5CA1"/>
    <w:rsid w:val="007D75C8"/>
    <w:rsid w:val="007E2C66"/>
    <w:rsid w:val="007F1021"/>
    <w:rsid w:val="007F12A3"/>
    <w:rsid w:val="007F1BD3"/>
    <w:rsid w:val="007F2DBB"/>
    <w:rsid w:val="007F7E7C"/>
    <w:rsid w:val="00806C63"/>
    <w:rsid w:val="00816613"/>
    <w:rsid w:val="00821A81"/>
    <w:rsid w:val="00825F63"/>
    <w:rsid w:val="008322D8"/>
    <w:rsid w:val="00837E5B"/>
    <w:rsid w:val="00851067"/>
    <w:rsid w:val="00855329"/>
    <w:rsid w:val="00856A7C"/>
    <w:rsid w:val="0086041F"/>
    <w:rsid w:val="008739E7"/>
    <w:rsid w:val="00874645"/>
    <w:rsid w:val="00881685"/>
    <w:rsid w:val="008844D9"/>
    <w:rsid w:val="00891C3A"/>
    <w:rsid w:val="00895E64"/>
    <w:rsid w:val="008A3A3B"/>
    <w:rsid w:val="008A7188"/>
    <w:rsid w:val="008E0A69"/>
    <w:rsid w:val="008F2058"/>
    <w:rsid w:val="008F3731"/>
    <w:rsid w:val="00904B69"/>
    <w:rsid w:val="009064CE"/>
    <w:rsid w:val="0090663A"/>
    <w:rsid w:val="00910AD1"/>
    <w:rsid w:val="00912233"/>
    <w:rsid w:val="00914021"/>
    <w:rsid w:val="00917410"/>
    <w:rsid w:val="0092334A"/>
    <w:rsid w:val="009264D0"/>
    <w:rsid w:val="0093360A"/>
    <w:rsid w:val="009358D3"/>
    <w:rsid w:val="00955433"/>
    <w:rsid w:val="00955764"/>
    <w:rsid w:val="00957A6F"/>
    <w:rsid w:val="009649C2"/>
    <w:rsid w:val="00965DEB"/>
    <w:rsid w:val="00966A04"/>
    <w:rsid w:val="009738DE"/>
    <w:rsid w:val="00980BEB"/>
    <w:rsid w:val="00980D94"/>
    <w:rsid w:val="00982F7B"/>
    <w:rsid w:val="009843D4"/>
    <w:rsid w:val="00986361"/>
    <w:rsid w:val="009867A7"/>
    <w:rsid w:val="0099076D"/>
    <w:rsid w:val="0099690F"/>
    <w:rsid w:val="00996D38"/>
    <w:rsid w:val="00997F89"/>
    <w:rsid w:val="009A10C6"/>
    <w:rsid w:val="009A4503"/>
    <w:rsid w:val="009B008F"/>
    <w:rsid w:val="009C2D11"/>
    <w:rsid w:val="009C3FDE"/>
    <w:rsid w:val="009C4CE9"/>
    <w:rsid w:val="009F28F5"/>
    <w:rsid w:val="00A06310"/>
    <w:rsid w:val="00A07846"/>
    <w:rsid w:val="00A17CA6"/>
    <w:rsid w:val="00A22C2C"/>
    <w:rsid w:val="00A22FBF"/>
    <w:rsid w:val="00A2670C"/>
    <w:rsid w:val="00A3040C"/>
    <w:rsid w:val="00A346EF"/>
    <w:rsid w:val="00A53E9E"/>
    <w:rsid w:val="00A54087"/>
    <w:rsid w:val="00A57024"/>
    <w:rsid w:val="00A61757"/>
    <w:rsid w:val="00A63939"/>
    <w:rsid w:val="00A65690"/>
    <w:rsid w:val="00A65FB0"/>
    <w:rsid w:val="00A66A23"/>
    <w:rsid w:val="00A743C6"/>
    <w:rsid w:val="00A8148C"/>
    <w:rsid w:val="00A831E7"/>
    <w:rsid w:val="00A85640"/>
    <w:rsid w:val="00A91DC1"/>
    <w:rsid w:val="00A9412B"/>
    <w:rsid w:val="00AB536E"/>
    <w:rsid w:val="00AB69AD"/>
    <w:rsid w:val="00AC6B15"/>
    <w:rsid w:val="00AD2569"/>
    <w:rsid w:val="00AD4124"/>
    <w:rsid w:val="00AD7DB5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B005BD"/>
    <w:rsid w:val="00B03444"/>
    <w:rsid w:val="00B04F23"/>
    <w:rsid w:val="00B062A5"/>
    <w:rsid w:val="00B14C16"/>
    <w:rsid w:val="00B14E68"/>
    <w:rsid w:val="00B23669"/>
    <w:rsid w:val="00B24860"/>
    <w:rsid w:val="00B33789"/>
    <w:rsid w:val="00B46BC1"/>
    <w:rsid w:val="00B56AFB"/>
    <w:rsid w:val="00B576A5"/>
    <w:rsid w:val="00B862DB"/>
    <w:rsid w:val="00B922EE"/>
    <w:rsid w:val="00B9596E"/>
    <w:rsid w:val="00BA2FA0"/>
    <w:rsid w:val="00BA3D8E"/>
    <w:rsid w:val="00BA40B4"/>
    <w:rsid w:val="00BA49EB"/>
    <w:rsid w:val="00BB0F85"/>
    <w:rsid w:val="00BC0132"/>
    <w:rsid w:val="00BC0598"/>
    <w:rsid w:val="00BC6B47"/>
    <w:rsid w:val="00BD0526"/>
    <w:rsid w:val="00BD2784"/>
    <w:rsid w:val="00BD46B2"/>
    <w:rsid w:val="00BE4710"/>
    <w:rsid w:val="00BF11C6"/>
    <w:rsid w:val="00C11004"/>
    <w:rsid w:val="00C111FE"/>
    <w:rsid w:val="00C1497F"/>
    <w:rsid w:val="00C20B9C"/>
    <w:rsid w:val="00C2509E"/>
    <w:rsid w:val="00C2778C"/>
    <w:rsid w:val="00C27F6A"/>
    <w:rsid w:val="00C3159C"/>
    <w:rsid w:val="00C35841"/>
    <w:rsid w:val="00C409C6"/>
    <w:rsid w:val="00C41C74"/>
    <w:rsid w:val="00C4260E"/>
    <w:rsid w:val="00C43C76"/>
    <w:rsid w:val="00C47B63"/>
    <w:rsid w:val="00C47F8B"/>
    <w:rsid w:val="00C50567"/>
    <w:rsid w:val="00C742DD"/>
    <w:rsid w:val="00C846F6"/>
    <w:rsid w:val="00C96048"/>
    <w:rsid w:val="00C96214"/>
    <w:rsid w:val="00C9797F"/>
    <w:rsid w:val="00CA1FB9"/>
    <w:rsid w:val="00CA73C1"/>
    <w:rsid w:val="00CA79D7"/>
    <w:rsid w:val="00CB7BE6"/>
    <w:rsid w:val="00CC0E23"/>
    <w:rsid w:val="00CC40B9"/>
    <w:rsid w:val="00CD7E39"/>
    <w:rsid w:val="00CE2EFB"/>
    <w:rsid w:val="00CE5A10"/>
    <w:rsid w:val="00CF2D6E"/>
    <w:rsid w:val="00D02FD8"/>
    <w:rsid w:val="00D10832"/>
    <w:rsid w:val="00D11A3A"/>
    <w:rsid w:val="00D3104C"/>
    <w:rsid w:val="00D42152"/>
    <w:rsid w:val="00D43D89"/>
    <w:rsid w:val="00D50FDD"/>
    <w:rsid w:val="00D513E4"/>
    <w:rsid w:val="00D53B8E"/>
    <w:rsid w:val="00D56A51"/>
    <w:rsid w:val="00D602AC"/>
    <w:rsid w:val="00D70824"/>
    <w:rsid w:val="00D760A9"/>
    <w:rsid w:val="00D760CF"/>
    <w:rsid w:val="00D925B8"/>
    <w:rsid w:val="00D949D0"/>
    <w:rsid w:val="00DA3B66"/>
    <w:rsid w:val="00DA4453"/>
    <w:rsid w:val="00DA4D95"/>
    <w:rsid w:val="00DA6836"/>
    <w:rsid w:val="00DA733A"/>
    <w:rsid w:val="00DB2417"/>
    <w:rsid w:val="00DC05A3"/>
    <w:rsid w:val="00DC6A0C"/>
    <w:rsid w:val="00E03DB3"/>
    <w:rsid w:val="00E04EB8"/>
    <w:rsid w:val="00E06757"/>
    <w:rsid w:val="00E1280F"/>
    <w:rsid w:val="00E178A3"/>
    <w:rsid w:val="00E17B2C"/>
    <w:rsid w:val="00E26EA1"/>
    <w:rsid w:val="00E27DEF"/>
    <w:rsid w:val="00E30081"/>
    <w:rsid w:val="00E32743"/>
    <w:rsid w:val="00E342C7"/>
    <w:rsid w:val="00E354F6"/>
    <w:rsid w:val="00E412D0"/>
    <w:rsid w:val="00E4317C"/>
    <w:rsid w:val="00E53D4C"/>
    <w:rsid w:val="00E609ED"/>
    <w:rsid w:val="00E63703"/>
    <w:rsid w:val="00E64DDC"/>
    <w:rsid w:val="00E704C6"/>
    <w:rsid w:val="00E775AC"/>
    <w:rsid w:val="00E77A47"/>
    <w:rsid w:val="00E77B98"/>
    <w:rsid w:val="00E8471E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3DC1"/>
    <w:rsid w:val="00EC4845"/>
    <w:rsid w:val="00EC6CC2"/>
    <w:rsid w:val="00ED1C27"/>
    <w:rsid w:val="00ED3D73"/>
    <w:rsid w:val="00ED3FA6"/>
    <w:rsid w:val="00ED5CDF"/>
    <w:rsid w:val="00ED6DCA"/>
    <w:rsid w:val="00EF0944"/>
    <w:rsid w:val="00EF7BE7"/>
    <w:rsid w:val="00F05141"/>
    <w:rsid w:val="00F07267"/>
    <w:rsid w:val="00F159E2"/>
    <w:rsid w:val="00F167CB"/>
    <w:rsid w:val="00F16AA1"/>
    <w:rsid w:val="00F2164E"/>
    <w:rsid w:val="00F22F9A"/>
    <w:rsid w:val="00F240EB"/>
    <w:rsid w:val="00F315FE"/>
    <w:rsid w:val="00F31FE6"/>
    <w:rsid w:val="00F40B12"/>
    <w:rsid w:val="00F45BB8"/>
    <w:rsid w:val="00F53F80"/>
    <w:rsid w:val="00F5697E"/>
    <w:rsid w:val="00F57625"/>
    <w:rsid w:val="00F673A2"/>
    <w:rsid w:val="00F67B89"/>
    <w:rsid w:val="00F71A10"/>
    <w:rsid w:val="00F72A3E"/>
    <w:rsid w:val="00F74B67"/>
    <w:rsid w:val="00F7577B"/>
    <w:rsid w:val="00F8348D"/>
    <w:rsid w:val="00F91726"/>
    <w:rsid w:val="00FB3B53"/>
    <w:rsid w:val="00FB551B"/>
    <w:rsid w:val="00FC2947"/>
    <w:rsid w:val="00FC69D9"/>
    <w:rsid w:val="00FD28C1"/>
    <w:rsid w:val="00FD7412"/>
    <w:rsid w:val="00FE7EF3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465A6E"/>
    <w:pPr>
      <w:ind w:left="720"/>
      <w:contextualSpacing/>
    </w:pPr>
  </w:style>
  <w:style w:type="paragraph" w:styleId="berarbeitung">
    <w:name w:val="Revision"/>
    <w:hidden/>
    <w:uiPriority w:val="99"/>
    <w:semiHidden/>
    <w:rsid w:val="0091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Katharina Koester</cp:lastModifiedBy>
  <cp:revision>2</cp:revision>
  <cp:lastPrinted>2022-03-30T15:12:00Z</cp:lastPrinted>
  <dcterms:created xsi:type="dcterms:W3CDTF">2023-04-03T14:14:00Z</dcterms:created>
  <dcterms:modified xsi:type="dcterms:W3CDTF">2023-04-03T14:14:00Z</dcterms:modified>
</cp:coreProperties>
</file>