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30789FE0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</w:t>
      </w:r>
      <w:r w:rsidR="00970962">
        <w:rPr>
          <w:rFonts w:ascii="Source Sans Pro" w:hAnsi="Source Sans Pro" w:cs="Source Sans Pro"/>
          <w:caps/>
          <w:color w:val="0086A8"/>
          <w:sz w:val="22"/>
          <w:szCs w:val="22"/>
        </w:rPr>
        <w:t>DUSTRIE-/LogistikM</w:t>
      </w:r>
      <w:r w:rsidR="000021F4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ärkte </w:t>
      </w:r>
      <w:r w:rsidR="00970962">
        <w:rPr>
          <w:rFonts w:ascii="Source Sans Pro" w:hAnsi="Source Sans Pro" w:cs="Source Sans Pro"/>
          <w:caps/>
          <w:color w:val="0086A8"/>
          <w:sz w:val="22"/>
          <w:szCs w:val="22"/>
        </w:rPr>
        <w:t>1HJ 2022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6B6878E0" w:rsidR="00CA79D7" w:rsidRDefault="00CC7B66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 w:rsidRPr="00F8369F">
        <w:rPr>
          <w:rFonts w:ascii="Source Sans Pro" w:hAnsi="Source Sans Pro" w:cs="Source Sans Pro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02C961" wp14:editId="77C20850">
            <wp:simplePos x="0" y="0"/>
            <wp:positionH relativeFrom="column">
              <wp:posOffset>809914</wp:posOffset>
            </wp:positionH>
            <wp:positionV relativeFrom="paragraph">
              <wp:posOffset>551815</wp:posOffset>
            </wp:positionV>
            <wp:extent cx="3947795" cy="2995930"/>
            <wp:effectExtent l="0" t="0" r="0" b="0"/>
            <wp:wrapSquare wrapText="bothSides"/>
            <wp:docPr id="1" name="Grafik 1" descr="Y:\Research und Presse\_intern\1_GPP\GPP-Pressemitteilungen\PM Industrie Factsheet Q22022\GPP-Spitzenmiete Stadtgebiete Industrie &amp; Log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search und Presse\_intern\1_GPP\GPP-Pressemitteilungen\PM Industrie Factsheet Q22022\GPP-Spitzenmiete Stadtgebiete Industrie &amp; Logis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62" w:rsidRPr="000D1772">
        <w:rPr>
          <w:rFonts w:ascii="Source Sans Pro" w:hAnsi="Source Sans Pro" w:cs="Source Sans Pro"/>
          <w:sz w:val="36"/>
          <w:szCs w:val="36"/>
        </w:rPr>
        <w:t xml:space="preserve">Flächenmangel und Baukosten </w:t>
      </w:r>
      <w:r w:rsidR="00F1080C">
        <w:rPr>
          <w:rFonts w:ascii="Source Sans Pro" w:hAnsi="Source Sans Pro" w:cs="Source Sans Pro"/>
          <w:sz w:val="36"/>
          <w:szCs w:val="36"/>
        </w:rPr>
        <w:t>treibe</w:t>
      </w:r>
      <w:r w:rsidR="00970962" w:rsidRPr="000D1772">
        <w:rPr>
          <w:rFonts w:ascii="Source Sans Pro" w:hAnsi="Source Sans Pro" w:cs="Source Sans Pro"/>
          <w:sz w:val="36"/>
          <w:szCs w:val="36"/>
        </w:rPr>
        <w:t>n Logistikmieten</w:t>
      </w:r>
      <w:r w:rsidR="00F97DA9">
        <w:rPr>
          <w:rFonts w:ascii="Source Sans Pro" w:hAnsi="Source Sans Pro" w:cs="Source Sans Pro"/>
          <w:sz w:val="36"/>
          <w:szCs w:val="36"/>
        </w:rPr>
        <w:br/>
      </w:r>
    </w:p>
    <w:p w14:paraId="743073FD" w14:textId="70E3BA21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DFE82E8" w14:textId="63A91C75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4D54566" w14:textId="3B1F26D3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4FEF96F" w14:textId="662D63D2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30875F98" w14:textId="221E4FEC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3E187AFA" w14:textId="77B199A2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1DE5BFC8" w14:textId="0BE2EBE7" w:rsidR="00904B69" w:rsidRDefault="002E5673" w:rsidP="00F8369F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br w:type="textWrapping" w:clear="all"/>
      </w:r>
    </w:p>
    <w:p w14:paraId="3C09951C" w14:textId="5E3D3230" w:rsidR="0046528F" w:rsidRDefault="006F0E7E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20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970962">
        <w:rPr>
          <w:rFonts w:ascii="Source Sans Pro" w:hAnsi="Source Sans Pro" w:cs="Source Sans Pro"/>
          <w:color w:val="0087A8"/>
          <w:sz w:val="22"/>
          <w:szCs w:val="22"/>
        </w:rPr>
        <w:t>Juni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177AA4">
        <w:rPr>
          <w:rFonts w:ascii="Source Sans Pro" w:hAnsi="Source Sans Pro" w:cs="Source Sans Pro"/>
          <w:sz w:val="22"/>
          <w:szCs w:val="22"/>
        </w:rPr>
        <w:t xml:space="preserve">Das </w:t>
      </w:r>
      <w:r w:rsidR="00396FE6">
        <w:rPr>
          <w:rFonts w:ascii="Source Sans Pro" w:hAnsi="Source Sans Pro" w:cs="Source Sans Pro"/>
          <w:sz w:val="22"/>
          <w:szCs w:val="22"/>
        </w:rPr>
        <w:t xml:space="preserve">schwierige </w:t>
      </w:r>
      <w:r w:rsidR="00177AA4">
        <w:rPr>
          <w:rFonts w:ascii="Source Sans Pro" w:hAnsi="Source Sans Pro" w:cs="Source Sans Pro"/>
          <w:sz w:val="22"/>
          <w:szCs w:val="22"/>
        </w:rPr>
        <w:t xml:space="preserve">konjunkturelle Umfeld wirkt sich auch auf den Markt für </w:t>
      </w:r>
      <w:r w:rsidR="00003433" w:rsidRPr="00003433">
        <w:rPr>
          <w:rFonts w:ascii="Source Sans Pro" w:hAnsi="Source Sans Pro" w:cs="Source Sans Pro"/>
          <w:sz w:val="22"/>
          <w:szCs w:val="22"/>
        </w:rPr>
        <w:t>Industrie- und Logistikimmobilien an den deutschen Top-7-Standorten</w:t>
      </w:r>
      <w:r w:rsidR="00177AA4">
        <w:rPr>
          <w:rFonts w:ascii="Source Sans Pro" w:hAnsi="Source Sans Pro" w:cs="Source Sans Pro"/>
          <w:sz w:val="22"/>
          <w:szCs w:val="22"/>
        </w:rPr>
        <w:t xml:space="preserve"> aus. </w:t>
      </w:r>
      <w:r w:rsidR="0046528F" w:rsidRPr="0046528F">
        <w:rPr>
          <w:rFonts w:ascii="Source Sans Pro" w:hAnsi="Source Sans Pro" w:cs="Source Sans Pro"/>
          <w:i/>
          <w:sz w:val="22"/>
          <w:szCs w:val="22"/>
        </w:rPr>
        <w:t xml:space="preserve">„Knappe Rohstoffe, steigende Energiepreise und </w:t>
      </w:r>
      <w:r w:rsidR="00227F3A">
        <w:rPr>
          <w:rFonts w:ascii="Source Sans Pro" w:hAnsi="Source Sans Pro" w:cs="Source Sans Pro"/>
          <w:i/>
          <w:sz w:val="22"/>
          <w:szCs w:val="22"/>
        </w:rPr>
        <w:t>stockende</w:t>
      </w:r>
      <w:r w:rsidR="0046528F" w:rsidRPr="0046528F">
        <w:rPr>
          <w:rFonts w:ascii="Source Sans Pro" w:hAnsi="Source Sans Pro" w:cs="Source Sans Pro"/>
          <w:i/>
          <w:sz w:val="22"/>
          <w:szCs w:val="22"/>
        </w:rPr>
        <w:t xml:space="preserve"> Lieferketten </w:t>
      </w:r>
      <w:r w:rsidR="00177AA4">
        <w:rPr>
          <w:rFonts w:ascii="Source Sans Pro" w:hAnsi="Source Sans Pro" w:cs="Source Sans Pro"/>
          <w:i/>
          <w:sz w:val="22"/>
          <w:szCs w:val="22"/>
        </w:rPr>
        <w:t>beeinträchtigen die N</w:t>
      </w:r>
      <w:r w:rsidR="0046528F" w:rsidRPr="0046528F">
        <w:rPr>
          <w:rFonts w:ascii="Source Sans Pro" w:hAnsi="Source Sans Pro" w:cs="Source Sans Pro"/>
          <w:i/>
          <w:sz w:val="22"/>
          <w:szCs w:val="22"/>
        </w:rPr>
        <w:t>achfrage nach Produktions- und Logistikflächen</w:t>
      </w:r>
      <w:r w:rsidR="00177AA4">
        <w:rPr>
          <w:rFonts w:ascii="Source Sans Pro" w:hAnsi="Source Sans Pro" w:cs="Source Sans Pro"/>
          <w:i/>
          <w:sz w:val="22"/>
          <w:szCs w:val="22"/>
        </w:rPr>
        <w:t xml:space="preserve">. Dennoch ist sie </w:t>
      </w:r>
      <w:r w:rsidR="0046528F" w:rsidRPr="0046528F">
        <w:rPr>
          <w:rFonts w:ascii="Source Sans Pro" w:hAnsi="Source Sans Pro" w:cs="Source Sans Pro"/>
          <w:i/>
          <w:sz w:val="22"/>
          <w:szCs w:val="22"/>
        </w:rPr>
        <w:t xml:space="preserve">weiterhin </w:t>
      </w:r>
      <w:r w:rsidR="004D3F63">
        <w:rPr>
          <w:rFonts w:ascii="Source Sans Pro" w:hAnsi="Source Sans Pro" w:cs="Source Sans Pro"/>
          <w:i/>
          <w:sz w:val="22"/>
          <w:szCs w:val="22"/>
        </w:rPr>
        <w:t xml:space="preserve">insgesamt </w:t>
      </w:r>
      <w:r w:rsidR="0046528F" w:rsidRPr="0046528F">
        <w:rPr>
          <w:rFonts w:ascii="Source Sans Pro" w:hAnsi="Source Sans Pro" w:cs="Source Sans Pro"/>
          <w:i/>
          <w:sz w:val="22"/>
          <w:szCs w:val="22"/>
        </w:rPr>
        <w:t xml:space="preserve">auf </w:t>
      </w:r>
      <w:r w:rsidR="004D3F63">
        <w:rPr>
          <w:rFonts w:ascii="Source Sans Pro" w:hAnsi="Source Sans Pro" w:cs="Source Sans Pro"/>
          <w:i/>
          <w:sz w:val="22"/>
          <w:szCs w:val="22"/>
        </w:rPr>
        <w:t>ein</w:t>
      </w:r>
      <w:r w:rsidR="0046528F" w:rsidRPr="0046528F">
        <w:rPr>
          <w:rFonts w:ascii="Source Sans Pro" w:hAnsi="Source Sans Pro" w:cs="Source Sans Pro"/>
          <w:i/>
          <w:sz w:val="22"/>
          <w:szCs w:val="22"/>
        </w:rPr>
        <w:t xml:space="preserve">em </w:t>
      </w:r>
      <w:r w:rsidR="004D3F63">
        <w:rPr>
          <w:rFonts w:ascii="Source Sans Pro" w:hAnsi="Source Sans Pro" w:cs="Source Sans Pro"/>
          <w:i/>
          <w:sz w:val="22"/>
          <w:szCs w:val="22"/>
        </w:rPr>
        <w:t xml:space="preserve">hohen </w:t>
      </w:r>
      <w:r w:rsidR="0046528F" w:rsidRPr="0046528F">
        <w:rPr>
          <w:rFonts w:ascii="Source Sans Pro" w:hAnsi="Source Sans Pro" w:cs="Source Sans Pro"/>
          <w:i/>
          <w:sz w:val="22"/>
          <w:szCs w:val="22"/>
        </w:rPr>
        <w:t>Niveau“</w:t>
      </w:r>
      <w:r w:rsidR="0046528F">
        <w:rPr>
          <w:rFonts w:ascii="Source Sans Pro" w:hAnsi="Source Sans Pro" w:cs="Source Sans Pro"/>
          <w:sz w:val="22"/>
          <w:szCs w:val="22"/>
        </w:rPr>
        <w:t xml:space="preserve">, </w:t>
      </w:r>
      <w:r w:rsidR="00177AA4" w:rsidRPr="00177AA4">
        <w:rPr>
          <w:rFonts w:ascii="Source Sans Pro" w:hAnsi="Source Sans Pro" w:cs="Arial"/>
          <w:bCs/>
          <w:sz w:val="22"/>
          <w:szCs w:val="22"/>
        </w:rPr>
        <w:t>berichtet</w:t>
      </w:r>
      <w:r w:rsidR="00895E64" w:rsidRPr="00177AA4">
        <w:rPr>
          <w:rFonts w:ascii="Source Sans Pro" w:hAnsi="Source Sans Pro" w:cs="Arial"/>
          <w:bCs/>
          <w:sz w:val="22"/>
          <w:szCs w:val="22"/>
        </w:rPr>
        <w:t xml:space="preserve"> </w:t>
      </w:r>
      <w:r w:rsidR="00895E64" w:rsidRPr="00177AA4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177AA4" w:rsidRPr="00177AA4">
        <w:rPr>
          <w:rFonts w:ascii="Source Sans Pro" w:hAnsi="Source Sans Pro" w:cs="Source Sans Pro"/>
          <w:sz w:val="22"/>
          <w:szCs w:val="22"/>
        </w:rPr>
        <w:t>, Sprecher des Gewerbeimmobiliennetzwerkes German Property Partners (GPP)</w:t>
      </w:r>
      <w:r w:rsidR="003B63A8" w:rsidRPr="00177AA4">
        <w:rPr>
          <w:rFonts w:ascii="Source Sans Pro" w:hAnsi="Source Sans Pro" w:cs="Source Sans Pro"/>
          <w:sz w:val="22"/>
          <w:szCs w:val="22"/>
        </w:rPr>
        <w:t>.</w:t>
      </w:r>
      <w:r w:rsidR="0046528F">
        <w:rPr>
          <w:rFonts w:ascii="Source Sans Pro" w:hAnsi="Source Sans Pro" w:cs="Source Sans Pro"/>
          <w:sz w:val="22"/>
          <w:szCs w:val="22"/>
        </w:rPr>
        <w:t xml:space="preserve"> An einigen Standorten ergeben sich durch die aktuelle Situation auch neue </w:t>
      </w:r>
      <w:r w:rsidR="00396FE6">
        <w:rPr>
          <w:rFonts w:ascii="Source Sans Pro" w:hAnsi="Source Sans Pro" w:cs="Source Sans Pro"/>
          <w:sz w:val="22"/>
          <w:szCs w:val="22"/>
        </w:rPr>
        <w:t>I</w:t>
      </w:r>
      <w:r w:rsidR="0046528F">
        <w:rPr>
          <w:rFonts w:ascii="Source Sans Pro" w:hAnsi="Source Sans Pro" w:cs="Source Sans Pro"/>
          <w:sz w:val="22"/>
          <w:szCs w:val="22"/>
        </w:rPr>
        <w:t xml:space="preserve">mpulse: </w:t>
      </w:r>
      <w:r w:rsidR="0046528F" w:rsidRPr="00227F3A">
        <w:rPr>
          <w:rFonts w:ascii="Source Sans Pro" w:hAnsi="Source Sans Pro" w:cs="Source Sans Pro"/>
          <w:i/>
          <w:sz w:val="22"/>
          <w:szCs w:val="22"/>
        </w:rPr>
        <w:t xml:space="preserve">„Im Wirtschaftsraum Stuttgart beispielsweise </w:t>
      </w:r>
      <w:r w:rsidR="00227F3A" w:rsidRPr="00227F3A">
        <w:rPr>
          <w:rFonts w:ascii="Source Sans Pro" w:hAnsi="Source Sans Pro" w:cs="Source Sans Pro"/>
          <w:i/>
          <w:sz w:val="22"/>
          <w:szCs w:val="22"/>
        </w:rPr>
        <w:t>verzeichnen wir eine rege Nachfrage von</w:t>
      </w:r>
      <w:r w:rsidR="0046528F" w:rsidRPr="00227F3A">
        <w:rPr>
          <w:rFonts w:ascii="Source Sans Pro" w:hAnsi="Source Sans Pro" w:cs="Source Sans Pro"/>
          <w:i/>
          <w:sz w:val="22"/>
          <w:szCs w:val="22"/>
        </w:rPr>
        <w:t xml:space="preserve"> Produktionsunternehme</w:t>
      </w:r>
      <w:r w:rsidR="00227F3A" w:rsidRPr="00227F3A">
        <w:rPr>
          <w:rFonts w:ascii="Source Sans Pro" w:hAnsi="Source Sans Pro" w:cs="Source Sans Pro"/>
          <w:i/>
          <w:sz w:val="22"/>
          <w:szCs w:val="22"/>
        </w:rPr>
        <w:t xml:space="preserve">n nach Immobilien, in denen sie Rohwaren lagern </w:t>
      </w:r>
      <w:r w:rsidR="007805D8">
        <w:rPr>
          <w:rFonts w:ascii="Source Sans Pro" w:hAnsi="Source Sans Pro" w:cs="Source Sans Pro"/>
          <w:i/>
          <w:sz w:val="22"/>
          <w:szCs w:val="22"/>
        </w:rPr>
        <w:t>können</w:t>
      </w:r>
      <w:r w:rsidR="004D3F63">
        <w:rPr>
          <w:rFonts w:ascii="Source Sans Pro" w:hAnsi="Source Sans Pro" w:cs="Source Sans Pro"/>
          <w:i/>
          <w:sz w:val="22"/>
          <w:szCs w:val="22"/>
        </w:rPr>
        <w:t>,</w:t>
      </w:r>
      <w:r w:rsidR="007805D8">
        <w:rPr>
          <w:rFonts w:ascii="Source Sans Pro" w:hAnsi="Source Sans Pro" w:cs="Source Sans Pro"/>
          <w:i/>
          <w:sz w:val="22"/>
          <w:szCs w:val="22"/>
        </w:rPr>
        <w:t xml:space="preserve"> um u</w:t>
      </w:r>
      <w:r w:rsidR="00227F3A" w:rsidRPr="00227F3A">
        <w:rPr>
          <w:rFonts w:ascii="Source Sans Pro" w:hAnsi="Source Sans Pro" w:cs="Source Sans Pro"/>
          <w:i/>
          <w:sz w:val="22"/>
          <w:szCs w:val="22"/>
        </w:rPr>
        <w:t xml:space="preserve">nabhängig von störungsanfälligen </w:t>
      </w:r>
      <w:r w:rsidR="0046528F" w:rsidRPr="00227F3A">
        <w:rPr>
          <w:rFonts w:ascii="Source Sans Pro" w:hAnsi="Source Sans Pro" w:cs="Source Sans Pro"/>
          <w:i/>
          <w:sz w:val="22"/>
          <w:szCs w:val="22"/>
        </w:rPr>
        <w:t>Lieferketten</w:t>
      </w:r>
      <w:r w:rsidR="00227F3A" w:rsidRPr="00227F3A">
        <w:rPr>
          <w:rFonts w:ascii="Source Sans Pro" w:hAnsi="Source Sans Pro" w:cs="Source Sans Pro"/>
          <w:i/>
          <w:sz w:val="22"/>
          <w:szCs w:val="22"/>
        </w:rPr>
        <w:t xml:space="preserve"> zu </w:t>
      </w:r>
      <w:r w:rsidR="007805D8">
        <w:rPr>
          <w:rFonts w:ascii="Source Sans Pro" w:hAnsi="Source Sans Pro" w:cs="Source Sans Pro"/>
          <w:i/>
          <w:sz w:val="22"/>
          <w:szCs w:val="22"/>
        </w:rPr>
        <w:t>sei</w:t>
      </w:r>
      <w:r w:rsidR="00227F3A" w:rsidRPr="00227F3A">
        <w:rPr>
          <w:rFonts w:ascii="Source Sans Pro" w:hAnsi="Source Sans Pro" w:cs="Source Sans Pro"/>
          <w:i/>
          <w:sz w:val="22"/>
          <w:szCs w:val="22"/>
        </w:rPr>
        <w:t xml:space="preserve">n. Einige Nutzerbranchen, wie etwa die Automobil- und Pharmaindustrie, investieren derzeit an </w:t>
      </w:r>
      <w:r w:rsidR="004D3F63">
        <w:rPr>
          <w:rFonts w:ascii="Source Sans Pro" w:hAnsi="Source Sans Pro" w:cs="Source Sans Pro"/>
          <w:i/>
          <w:sz w:val="22"/>
          <w:szCs w:val="22"/>
        </w:rPr>
        <w:t>einige</w:t>
      </w:r>
      <w:r w:rsidR="00227F3A" w:rsidRPr="00227F3A">
        <w:rPr>
          <w:rFonts w:ascii="Source Sans Pro" w:hAnsi="Source Sans Pro" w:cs="Source Sans Pro"/>
          <w:i/>
          <w:sz w:val="22"/>
          <w:szCs w:val="22"/>
        </w:rPr>
        <w:t>n Standorten verstärkt in Produktionsanlagen und lösen damit neue Flächenbedarfe aus“</w:t>
      </w:r>
      <w:r w:rsidR="00227F3A">
        <w:rPr>
          <w:rFonts w:ascii="Source Sans Pro" w:hAnsi="Source Sans Pro" w:cs="Source Sans Pro"/>
          <w:sz w:val="22"/>
          <w:szCs w:val="22"/>
        </w:rPr>
        <w:t xml:space="preserve">, so der Experte. </w:t>
      </w:r>
      <w:r w:rsidR="0046528F">
        <w:rPr>
          <w:rFonts w:ascii="Source Sans Pro" w:hAnsi="Source Sans Pro" w:cs="Source Sans Pro"/>
          <w:sz w:val="22"/>
          <w:szCs w:val="22"/>
        </w:rPr>
        <w:t xml:space="preserve"> </w:t>
      </w:r>
      <w:r w:rsidR="003B63A8" w:rsidRPr="003B63A8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341AA78D" w14:textId="75EB58D7" w:rsidR="0046528F" w:rsidRDefault="0046528F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423D186" w14:textId="56F1FFE7" w:rsidR="00895E64" w:rsidRDefault="00227F3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 w:rsidRPr="00227F3A">
        <w:rPr>
          <w:rFonts w:ascii="Source Sans Pro" w:hAnsi="Source Sans Pro" w:cs="Arial"/>
          <w:bCs/>
          <w:sz w:val="22"/>
          <w:szCs w:val="22"/>
        </w:rPr>
        <w:t>Die aktuellen sowie bisherigen Spitzenmieten, Grundstückspreise</w:t>
      </w:r>
      <w:r w:rsidR="00F922F2">
        <w:rPr>
          <w:rFonts w:ascii="Source Sans Pro" w:hAnsi="Source Sans Pro" w:cs="Arial"/>
          <w:bCs/>
          <w:sz w:val="22"/>
          <w:szCs w:val="22"/>
        </w:rPr>
        <w:t xml:space="preserve"> und Spitzenrenditen</w:t>
      </w:r>
      <w:r w:rsidRPr="00227F3A">
        <w:rPr>
          <w:rFonts w:ascii="Source Sans Pro" w:hAnsi="Source Sans Pro" w:cs="Arial"/>
          <w:bCs/>
          <w:sz w:val="22"/>
          <w:szCs w:val="22"/>
        </w:rPr>
        <w:t xml:space="preserve"> an den Top-7-Standorten in Deutschland haben die GPP-Unternehmen Anteon Immobilien, E &amp; G Real Estate, GREIF &amp; CONTZEN Immobilien und Grossmann &amp; Berger in einer Datenübersicht zusammengestellt.</w:t>
      </w:r>
    </w:p>
    <w:p w14:paraId="043E0DDC" w14:textId="77777777" w:rsidR="00227F3A" w:rsidRDefault="00227F3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0E4CB111" w14:textId="0F72D097" w:rsidR="00A85640" w:rsidRPr="00895E64" w:rsidRDefault="007D2902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MIETEN und Grundstückspreise steigen weiter</w:t>
      </w:r>
    </w:p>
    <w:p w14:paraId="47D96FF5" w14:textId="1EDACC44" w:rsidR="00D760CF" w:rsidRDefault="0081355B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E</w:t>
      </w:r>
      <w:r w:rsidRPr="0081355B">
        <w:rPr>
          <w:rFonts w:ascii="Source Sans Pro" w:hAnsi="Source Sans Pro" w:cs="Source Sans Pro"/>
          <w:sz w:val="22"/>
          <w:szCs w:val="22"/>
        </w:rPr>
        <w:t>in gravierende</w:t>
      </w:r>
      <w:r>
        <w:rPr>
          <w:rFonts w:ascii="Source Sans Pro" w:hAnsi="Source Sans Pro" w:cs="Source Sans Pro"/>
          <w:sz w:val="22"/>
          <w:szCs w:val="22"/>
        </w:rPr>
        <w:t>r</w:t>
      </w:r>
      <w:r w:rsidRPr="0081355B">
        <w:rPr>
          <w:rFonts w:ascii="Source Sans Pro" w:hAnsi="Source Sans Pro" w:cs="Source Sans Pro"/>
          <w:sz w:val="22"/>
          <w:szCs w:val="22"/>
        </w:rPr>
        <w:t xml:space="preserve"> Flächenmangel</w:t>
      </w:r>
      <w:r>
        <w:rPr>
          <w:rFonts w:ascii="Source Sans Pro" w:hAnsi="Source Sans Pro" w:cs="Source Sans Pro"/>
          <w:sz w:val="22"/>
          <w:szCs w:val="22"/>
        </w:rPr>
        <w:t xml:space="preserve"> und </w:t>
      </w:r>
      <w:r w:rsidR="00EF512F">
        <w:rPr>
          <w:rFonts w:ascii="Source Sans Pro" w:hAnsi="Source Sans Pro" w:cs="Source Sans Pro"/>
          <w:sz w:val="22"/>
          <w:szCs w:val="22"/>
        </w:rPr>
        <w:t>höhere</w:t>
      </w:r>
      <w:r w:rsidRPr="0081355B">
        <w:rPr>
          <w:rFonts w:ascii="Source Sans Pro" w:hAnsi="Source Sans Pro" w:cs="Source Sans Pro"/>
          <w:sz w:val="22"/>
          <w:szCs w:val="22"/>
        </w:rPr>
        <w:t xml:space="preserve"> Baukosten </w:t>
      </w:r>
      <w:r>
        <w:rPr>
          <w:rFonts w:ascii="Source Sans Pro" w:hAnsi="Source Sans Pro" w:cs="Source Sans Pro"/>
          <w:sz w:val="22"/>
          <w:szCs w:val="22"/>
        </w:rPr>
        <w:t xml:space="preserve">führten </w:t>
      </w:r>
      <w:r w:rsidR="00546734">
        <w:rPr>
          <w:rFonts w:ascii="Source Sans Pro" w:hAnsi="Source Sans Pro" w:cs="Source Sans Pro"/>
          <w:sz w:val="22"/>
          <w:szCs w:val="22"/>
        </w:rPr>
        <w:t xml:space="preserve">im 1. Halbjahr 2022 </w:t>
      </w:r>
      <w:r>
        <w:rPr>
          <w:rFonts w:ascii="Source Sans Pro" w:hAnsi="Source Sans Pro" w:cs="Source Sans Pro"/>
          <w:sz w:val="22"/>
          <w:szCs w:val="22"/>
        </w:rPr>
        <w:t xml:space="preserve">an fünf der Top-7-Standorte zu </w:t>
      </w:r>
      <w:r w:rsidR="00575159">
        <w:rPr>
          <w:rFonts w:ascii="Source Sans Pro" w:hAnsi="Source Sans Pro" w:cs="Source Sans Pro"/>
          <w:sz w:val="22"/>
          <w:szCs w:val="22"/>
        </w:rPr>
        <w:t xml:space="preserve">mitunter deutlich </w:t>
      </w:r>
      <w:r>
        <w:rPr>
          <w:rFonts w:ascii="Source Sans Pro" w:hAnsi="Source Sans Pro" w:cs="Source Sans Pro"/>
          <w:sz w:val="22"/>
          <w:szCs w:val="22"/>
        </w:rPr>
        <w:t>steigenden Spitz</w:t>
      </w:r>
      <w:r w:rsidRPr="0081355B">
        <w:rPr>
          <w:rFonts w:ascii="Source Sans Pro" w:hAnsi="Source Sans Pro" w:cs="Source Sans Pro"/>
          <w:sz w:val="22"/>
          <w:szCs w:val="22"/>
        </w:rPr>
        <w:t xml:space="preserve">enmieten. Dies gilt insbesondere für die Logistikregion Köln, wo die Spitzenmiete im Vergleich zum Vorjahresquartal </w:t>
      </w:r>
      <w:r w:rsidR="00EF512F" w:rsidRPr="0081355B">
        <w:rPr>
          <w:rFonts w:ascii="Source Sans Pro" w:hAnsi="Source Sans Pro" w:cs="Source Sans Pro"/>
          <w:sz w:val="22"/>
          <w:szCs w:val="22"/>
        </w:rPr>
        <w:t xml:space="preserve">um über 20 % </w:t>
      </w:r>
      <w:r w:rsidR="00A5726A">
        <w:rPr>
          <w:rFonts w:ascii="Source Sans Pro" w:hAnsi="Source Sans Pro" w:cs="Source Sans Pro"/>
          <w:sz w:val="22"/>
          <w:szCs w:val="22"/>
        </w:rPr>
        <w:t xml:space="preserve">auf 7,20 </w:t>
      </w:r>
      <w:r w:rsidR="00A5726A" w:rsidRPr="0081355B">
        <w:rPr>
          <w:rFonts w:ascii="Source Sans Pro" w:hAnsi="Source Sans Pro" w:cs="Source Sans Pro"/>
          <w:sz w:val="22"/>
          <w:szCs w:val="22"/>
        </w:rPr>
        <w:t xml:space="preserve">€/m²/Monat </w:t>
      </w:r>
      <w:r w:rsidR="00EF512F" w:rsidRPr="0081355B">
        <w:rPr>
          <w:rFonts w:ascii="Source Sans Pro" w:hAnsi="Source Sans Pro" w:cs="Source Sans Pro"/>
          <w:sz w:val="22"/>
          <w:szCs w:val="22"/>
        </w:rPr>
        <w:t xml:space="preserve">nach oben </w:t>
      </w:r>
      <w:r w:rsidR="00546734">
        <w:rPr>
          <w:rFonts w:ascii="Source Sans Pro" w:hAnsi="Source Sans Pro" w:cs="Source Sans Pro"/>
          <w:sz w:val="22"/>
          <w:szCs w:val="22"/>
        </w:rPr>
        <w:t>schnellte</w:t>
      </w:r>
      <w:r w:rsidRPr="0081355B">
        <w:rPr>
          <w:rFonts w:ascii="Source Sans Pro" w:hAnsi="Source Sans Pro" w:cs="Source Sans Pro"/>
          <w:sz w:val="22"/>
          <w:szCs w:val="22"/>
        </w:rPr>
        <w:t xml:space="preserve">. Auch im Hamburger Umland nahm die Spitzenmiete </w:t>
      </w:r>
      <w:r w:rsidR="00EF512F">
        <w:rPr>
          <w:rFonts w:ascii="Source Sans Pro" w:hAnsi="Source Sans Pro" w:cs="Source Sans Pro"/>
          <w:sz w:val="22"/>
          <w:szCs w:val="22"/>
        </w:rPr>
        <w:t xml:space="preserve">mit </w:t>
      </w:r>
      <w:r w:rsidRPr="0081355B">
        <w:rPr>
          <w:rFonts w:ascii="Source Sans Pro" w:hAnsi="Source Sans Pro" w:cs="Source Sans Pro"/>
          <w:sz w:val="22"/>
          <w:szCs w:val="22"/>
        </w:rPr>
        <w:t xml:space="preserve">rund 15 % </w:t>
      </w:r>
      <w:r w:rsidR="00EF512F">
        <w:rPr>
          <w:rFonts w:ascii="Source Sans Pro" w:hAnsi="Source Sans Pro" w:cs="Source Sans Pro"/>
          <w:sz w:val="22"/>
          <w:szCs w:val="22"/>
        </w:rPr>
        <w:t xml:space="preserve">deutlich </w:t>
      </w:r>
      <w:r w:rsidRPr="0081355B">
        <w:rPr>
          <w:rFonts w:ascii="Source Sans Pro" w:hAnsi="Source Sans Pro" w:cs="Source Sans Pro"/>
          <w:sz w:val="22"/>
          <w:szCs w:val="22"/>
        </w:rPr>
        <w:t>zu</w:t>
      </w:r>
      <w:r>
        <w:rPr>
          <w:rFonts w:ascii="Source Sans Pro" w:hAnsi="Source Sans Pro" w:cs="Source Sans Pro"/>
          <w:sz w:val="22"/>
          <w:szCs w:val="22"/>
        </w:rPr>
        <w:t xml:space="preserve"> (auf 6,00 </w:t>
      </w:r>
      <w:r w:rsidRPr="0081355B">
        <w:rPr>
          <w:rFonts w:ascii="Source Sans Pro" w:hAnsi="Source Sans Pro" w:cs="Source Sans Pro"/>
          <w:sz w:val="22"/>
          <w:szCs w:val="22"/>
        </w:rPr>
        <w:t>€/m²/Monat</w:t>
      </w:r>
      <w:r>
        <w:rPr>
          <w:rFonts w:ascii="Source Sans Pro" w:hAnsi="Source Sans Pro" w:cs="Source Sans Pro"/>
          <w:sz w:val="22"/>
          <w:szCs w:val="22"/>
        </w:rPr>
        <w:t>)</w:t>
      </w:r>
      <w:r w:rsidRPr="0081355B">
        <w:rPr>
          <w:rFonts w:ascii="Source Sans Pro" w:hAnsi="Source Sans Pro" w:cs="Source Sans Pro"/>
          <w:sz w:val="22"/>
          <w:szCs w:val="22"/>
        </w:rPr>
        <w:t>.</w:t>
      </w:r>
      <w:r w:rsidR="003D34A9">
        <w:rPr>
          <w:rFonts w:ascii="Source Sans Pro" w:hAnsi="Source Sans Pro" w:cs="Source Sans Pro"/>
          <w:sz w:val="22"/>
          <w:szCs w:val="22"/>
        </w:rPr>
        <w:t xml:space="preserve"> </w:t>
      </w:r>
      <w:r w:rsidR="00396FE6">
        <w:rPr>
          <w:rFonts w:ascii="Source Sans Pro" w:hAnsi="Source Sans Pro" w:cs="Source Sans Pro"/>
          <w:sz w:val="22"/>
          <w:szCs w:val="22"/>
        </w:rPr>
        <w:t>Lediglich i</w:t>
      </w:r>
      <w:r w:rsidR="00631271">
        <w:rPr>
          <w:rFonts w:ascii="Source Sans Pro" w:hAnsi="Source Sans Pro" w:cs="Source Sans Pro"/>
          <w:sz w:val="22"/>
          <w:szCs w:val="22"/>
        </w:rPr>
        <w:t>m Stadtgebiet von</w:t>
      </w:r>
      <w:r w:rsidR="003D34A9">
        <w:rPr>
          <w:rFonts w:ascii="Source Sans Pro" w:hAnsi="Source Sans Pro" w:cs="Source Sans Pro"/>
          <w:sz w:val="22"/>
          <w:szCs w:val="22"/>
        </w:rPr>
        <w:t xml:space="preserve"> Stuttgart und München </w:t>
      </w:r>
      <w:r w:rsidR="00546734">
        <w:rPr>
          <w:rFonts w:ascii="Source Sans Pro" w:hAnsi="Source Sans Pro" w:cs="Source Sans Pro"/>
          <w:sz w:val="22"/>
          <w:szCs w:val="22"/>
        </w:rPr>
        <w:t>stagnierte</w:t>
      </w:r>
      <w:r w:rsidR="00396FE6">
        <w:rPr>
          <w:rFonts w:ascii="Source Sans Pro" w:hAnsi="Source Sans Pro" w:cs="Source Sans Pro"/>
          <w:sz w:val="22"/>
          <w:szCs w:val="22"/>
        </w:rPr>
        <w:t xml:space="preserve"> sie</w:t>
      </w:r>
      <w:r w:rsidR="003D34A9">
        <w:rPr>
          <w:rFonts w:ascii="Source Sans Pro" w:hAnsi="Source Sans Pro" w:cs="Source Sans Pro"/>
          <w:sz w:val="22"/>
          <w:szCs w:val="22"/>
        </w:rPr>
        <w:t xml:space="preserve"> auf dem </w:t>
      </w:r>
      <w:r w:rsidR="00EF512F">
        <w:rPr>
          <w:rFonts w:ascii="Source Sans Pro" w:hAnsi="Source Sans Pro" w:cs="Source Sans Pro"/>
          <w:sz w:val="22"/>
          <w:szCs w:val="22"/>
        </w:rPr>
        <w:t xml:space="preserve">Niveau </w:t>
      </w:r>
      <w:r w:rsidR="00EF512F">
        <w:rPr>
          <w:rFonts w:ascii="Source Sans Pro" w:hAnsi="Source Sans Pro" w:cs="Source Sans Pro"/>
          <w:sz w:val="22"/>
          <w:szCs w:val="22"/>
        </w:rPr>
        <w:lastRenderedPageBreak/>
        <w:t>des Vorjahres</w:t>
      </w:r>
      <w:r w:rsidR="003D34A9">
        <w:rPr>
          <w:rFonts w:ascii="Source Sans Pro" w:hAnsi="Source Sans Pro" w:cs="Source Sans Pro"/>
          <w:sz w:val="22"/>
          <w:szCs w:val="22"/>
        </w:rPr>
        <w:t>.</w:t>
      </w:r>
      <w:r w:rsidR="00EF512F">
        <w:rPr>
          <w:rFonts w:ascii="Source Sans Pro" w:hAnsi="Source Sans Pro" w:cs="Source Sans Pro"/>
          <w:sz w:val="22"/>
          <w:szCs w:val="22"/>
        </w:rPr>
        <w:t xml:space="preserve"> </w:t>
      </w:r>
      <w:r w:rsidR="00396FE6">
        <w:rPr>
          <w:rFonts w:ascii="Source Sans Pro" w:hAnsi="Source Sans Pro" w:cs="Source Sans Pro"/>
          <w:sz w:val="22"/>
          <w:szCs w:val="22"/>
        </w:rPr>
        <w:t xml:space="preserve">Dennoch bleibt </w:t>
      </w:r>
      <w:r w:rsidR="00EF512F">
        <w:rPr>
          <w:rFonts w:ascii="Source Sans Pro" w:hAnsi="Source Sans Pro" w:cs="Source Sans Pro"/>
          <w:sz w:val="22"/>
          <w:szCs w:val="22"/>
        </w:rPr>
        <w:t xml:space="preserve">München </w:t>
      </w:r>
      <w:r w:rsidR="00396FE6">
        <w:rPr>
          <w:rFonts w:ascii="Source Sans Pro" w:hAnsi="Source Sans Pro" w:cs="Source Sans Pro"/>
          <w:sz w:val="22"/>
          <w:szCs w:val="22"/>
        </w:rPr>
        <w:t xml:space="preserve">mit </w:t>
      </w:r>
      <w:r w:rsidR="00EF512F">
        <w:rPr>
          <w:rFonts w:ascii="Source Sans Pro" w:hAnsi="Source Sans Pro" w:cs="Source Sans Pro"/>
          <w:sz w:val="22"/>
          <w:szCs w:val="22"/>
        </w:rPr>
        <w:t xml:space="preserve">8,20 </w:t>
      </w:r>
      <w:r w:rsidR="00EF512F" w:rsidRPr="0081355B">
        <w:rPr>
          <w:rFonts w:ascii="Source Sans Pro" w:hAnsi="Source Sans Pro" w:cs="Source Sans Pro"/>
          <w:sz w:val="22"/>
          <w:szCs w:val="22"/>
        </w:rPr>
        <w:t>€/m²/Monat</w:t>
      </w:r>
      <w:r w:rsidR="00EF512F">
        <w:rPr>
          <w:rFonts w:ascii="Source Sans Pro" w:hAnsi="Source Sans Pro" w:cs="Source Sans Pro"/>
          <w:sz w:val="22"/>
          <w:szCs w:val="22"/>
        </w:rPr>
        <w:t xml:space="preserve"> im Stadtgebiet und 7,10 </w:t>
      </w:r>
      <w:r w:rsidR="00EF512F" w:rsidRPr="0081355B">
        <w:rPr>
          <w:rFonts w:ascii="Source Sans Pro" w:hAnsi="Source Sans Pro" w:cs="Source Sans Pro"/>
          <w:sz w:val="22"/>
          <w:szCs w:val="22"/>
        </w:rPr>
        <w:t>€/m²/Monat</w:t>
      </w:r>
      <w:r w:rsidR="00EF512F">
        <w:rPr>
          <w:rFonts w:ascii="Source Sans Pro" w:hAnsi="Source Sans Pro" w:cs="Source Sans Pro"/>
          <w:sz w:val="22"/>
          <w:szCs w:val="22"/>
        </w:rPr>
        <w:t xml:space="preserve"> </w:t>
      </w:r>
      <w:r w:rsidR="000D1772">
        <w:rPr>
          <w:rFonts w:ascii="Source Sans Pro" w:hAnsi="Source Sans Pro" w:cs="Source Sans Pro"/>
          <w:sz w:val="22"/>
          <w:szCs w:val="22"/>
        </w:rPr>
        <w:t>im Umland</w:t>
      </w:r>
      <w:r w:rsidR="00396FE6">
        <w:rPr>
          <w:rFonts w:ascii="Source Sans Pro" w:hAnsi="Source Sans Pro" w:cs="Source Sans Pro"/>
          <w:sz w:val="22"/>
          <w:szCs w:val="22"/>
        </w:rPr>
        <w:t xml:space="preserve"> der Spitzenreiter unter den Top-7</w:t>
      </w:r>
      <w:r w:rsidR="00EF512F">
        <w:rPr>
          <w:rFonts w:ascii="Source Sans Pro" w:hAnsi="Source Sans Pro" w:cs="Source Sans Pro"/>
          <w:sz w:val="22"/>
          <w:szCs w:val="22"/>
        </w:rPr>
        <w:t xml:space="preserve">.  </w:t>
      </w:r>
      <w:r w:rsidR="003D34A9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6CEF7D96" w14:textId="77777777" w:rsidR="00A048AC" w:rsidRDefault="00A048AC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29BAAC73" w14:textId="713687AE" w:rsidR="007D2902" w:rsidRDefault="004D3F63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Das fehlende Flächenangebot beginnt bereits auf dem Grundstücksmarkt, entsprechend knapp ist das Neubaupotenzial. Die Preise für Gewerbebauland setzen </w:t>
      </w:r>
      <w:r w:rsidR="007D2902">
        <w:rPr>
          <w:rFonts w:ascii="Source Sans Pro" w:hAnsi="Source Sans Pro" w:cs="Source Sans Pro"/>
          <w:sz w:val="22"/>
          <w:szCs w:val="22"/>
        </w:rPr>
        <w:t xml:space="preserve">ihr Wachstum fort oder verbleiben </w:t>
      </w:r>
      <w:r w:rsidR="006016E1">
        <w:rPr>
          <w:rFonts w:ascii="Source Sans Pro" w:hAnsi="Source Sans Pro" w:cs="Source Sans Pro"/>
          <w:sz w:val="22"/>
          <w:szCs w:val="22"/>
        </w:rPr>
        <w:t xml:space="preserve">zumindest </w:t>
      </w:r>
      <w:r w:rsidR="007D2902">
        <w:rPr>
          <w:rFonts w:ascii="Source Sans Pro" w:hAnsi="Source Sans Pro" w:cs="Source Sans Pro"/>
          <w:sz w:val="22"/>
          <w:szCs w:val="22"/>
        </w:rPr>
        <w:t>auf dem hohen Niveau des Vorjahreszeitraums.</w:t>
      </w:r>
      <w:r w:rsidR="00575159">
        <w:rPr>
          <w:rFonts w:ascii="Source Sans Pro" w:hAnsi="Source Sans Pro" w:cs="Source Sans Pro"/>
          <w:sz w:val="22"/>
          <w:szCs w:val="22"/>
        </w:rPr>
        <w:t xml:space="preserve"> </w:t>
      </w:r>
      <w:r w:rsidR="007D2902" w:rsidRPr="007D2902">
        <w:rPr>
          <w:rFonts w:ascii="Source Sans Pro" w:hAnsi="Source Sans Pro" w:cs="Source Sans Pro"/>
          <w:sz w:val="22"/>
          <w:szCs w:val="22"/>
        </w:rPr>
        <w:t>In der Logistikregion Düsseldorf beispielsweise sind die Grundstückspreise im Stadtgebiet und im angrenzenden Umland um 11 bis 14 % gestiegen und im weiteren Großraum sogar um 25 bis 33 %.</w:t>
      </w:r>
      <w:r w:rsidR="007D2902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717F980D" w14:textId="77777777" w:rsidR="0081355B" w:rsidRDefault="0081355B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17748CD7" w14:textId="46B4A6A2" w:rsidR="00F922F2" w:rsidRDefault="004D3F63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EIGEN</w:t>
      </w:r>
      <w:r w:rsidR="00F922F2">
        <w:rPr>
          <w:rFonts w:ascii="Source Sans Pro" w:hAnsi="Source Sans Pro" w:cs="Source Sans Pro"/>
          <w:caps/>
          <w:color w:val="0086A8"/>
          <w:sz w:val="22"/>
          <w:szCs w:val="22"/>
        </w:rPr>
        <w:t>Kapitalstarke Investoren im Vorteil</w:t>
      </w:r>
    </w:p>
    <w:p w14:paraId="3118F518" w14:textId="0F563E54" w:rsidR="001C32DB" w:rsidRPr="00F922F2" w:rsidRDefault="00F922F2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Industrie- und Logistikimmobilien bleiben bei Investoren beliebt. </w:t>
      </w:r>
      <w:r w:rsidRPr="00A048AC">
        <w:rPr>
          <w:rFonts w:ascii="Source Sans Pro" w:hAnsi="Source Sans Pro" w:cs="Source Sans Pro"/>
          <w:sz w:val="22"/>
          <w:szCs w:val="22"/>
        </w:rPr>
        <w:t xml:space="preserve">Im 1. Halbjahr </w:t>
      </w:r>
      <w:r w:rsidR="00A048AC" w:rsidRPr="00A048AC">
        <w:rPr>
          <w:rFonts w:ascii="Source Sans Pro" w:hAnsi="Source Sans Pro" w:cs="Source Sans Pro"/>
          <w:sz w:val="22"/>
          <w:szCs w:val="22"/>
        </w:rPr>
        <w:t xml:space="preserve">verzeichneten die GPP-Experten </w:t>
      </w:r>
      <w:r w:rsidRPr="00A048AC">
        <w:rPr>
          <w:rFonts w:ascii="Source Sans Pro" w:hAnsi="Source Sans Pro" w:cs="Source Sans Pro"/>
          <w:sz w:val="22"/>
          <w:szCs w:val="22"/>
        </w:rPr>
        <w:t xml:space="preserve">bei manchen Top-Produkten nochmals niedrigere </w:t>
      </w:r>
      <w:r w:rsidR="004D3F63">
        <w:rPr>
          <w:rFonts w:ascii="Source Sans Pro" w:hAnsi="Source Sans Pro" w:cs="Source Sans Pro"/>
          <w:sz w:val="22"/>
          <w:szCs w:val="22"/>
        </w:rPr>
        <w:t>Logistikr</w:t>
      </w:r>
      <w:r w:rsidRPr="00A048AC">
        <w:rPr>
          <w:rFonts w:ascii="Source Sans Pro" w:hAnsi="Source Sans Pro" w:cs="Source Sans Pro"/>
          <w:sz w:val="22"/>
          <w:szCs w:val="22"/>
        </w:rPr>
        <w:t xml:space="preserve">enditen als </w:t>
      </w:r>
      <w:r w:rsidR="0021355F">
        <w:rPr>
          <w:rFonts w:ascii="Source Sans Pro" w:hAnsi="Source Sans Pro" w:cs="Source Sans Pro"/>
          <w:sz w:val="22"/>
          <w:szCs w:val="22"/>
        </w:rPr>
        <w:t>zu</w:t>
      </w:r>
      <w:r w:rsidR="00C34C0E">
        <w:rPr>
          <w:rFonts w:ascii="Source Sans Pro" w:hAnsi="Source Sans Pro" w:cs="Source Sans Pro"/>
          <w:sz w:val="22"/>
          <w:szCs w:val="22"/>
        </w:rPr>
        <w:t>m</w:t>
      </w:r>
      <w:r w:rsidRPr="00A048AC">
        <w:rPr>
          <w:rFonts w:ascii="Source Sans Pro" w:hAnsi="Source Sans Pro" w:cs="Source Sans Pro"/>
          <w:sz w:val="22"/>
          <w:szCs w:val="22"/>
        </w:rPr>
        <w:t xml:space="preserve"> Ende des </w:t>
      </w:r>
      <w:r w:rsidR="00A048AC" w:rsidRPr="00A048AC">
        <w:rPr>
          <w:rFonts w:ascii="Source Sans Pro" w:hAnsi="Source Sans Pro" w:cs="Source Sans Pro"/>
          <w:sz w:val="22"/>
          <w:szCs w:val="22"/>
        </w:rPr>
        <w:t>Vorj</w:t>
      </w:r>
      <w:r w:rsidRPr="00A048AC">
        <w:rPr>
          <w:rFonts w:ascii="Source Sans Pro" w:hAnsi="Source Sans Pro" w:cs="Source Sans Pro"/>
          <w:sz w:val="22"/>
          <w:szCs w:val="22"/>
        </w:rPr>
        <w:t xml:space="preserve">ahres. </w:t>
      </w:r>
      <w:r w:rsidR="004913F5">
        <w:rPr>
          <w:rFonts w:ascii="Source Sans Pro" w:hAnsi="Source Sans Pro" w:cs="Source Sans Pro"/>
          <w:sz w:val="22"/>
          <w:szCs w:val="22"/>
        </w:rPr>
        <w:t xml:space="preserve">Am stärksten sank </w:t>
      </w:r>
      <w:r w:rsidR="007805D8">
        <w:rPr>
          <w:rFonts w:ascii="Source Sans Pro" w:hAnsi="Source Sans Pro" w:cs="Source Sans Pro"/>
          <w:sz w:val="22"/>
          <w:szCs w:val="22"/>
        </w:rPr>
        <w:t>die Rendite</w:t>
      </w:r>
      <w:r w:rsidR="004913F5">
        <w:rPr>
          <w:rFonts w:ascii="Source Sans Pro" w:hAnsi="Source Sans Pro" w:cs="Source Sans Pro"/>
          <w:sz w:val="22"/>
          <w:szCs w:val="22"/>
        </w:rPr>
        <w:t xml:space="preserve"> in Düsseldorf um 0,4</w:t>
      </w:r>
      <w:r w:rsidR="004913F5" w:rsidRPr="004913F5">
        <w:rPr>
          <w:rFonts w:ascii="Source Sans Pro" w:hAnsi="Source Sans Pro" w:cs="Source Sans Pro"/>
          <w:sz w:val="22"/>
          <w:szCs w:val="22"/>
        </w:rPr>
        <w:t xml:space="preserve">0 %-Punkte </w:t>
      </w:r>
      <w:r w:rsidR="004913F5">
        <w:rPr>
          <w:rFonts w:ascii="Source Sans Pro" w:hAnsi="Source Sans Pro" w:cs="Source Sans Pro"/>
          <w:sz w:val="22"/>
          <w:szCs w:val="22"/>
        </w:rPr>
        <w:t xml:space="preserve">auf 3,15 %. </w:t>
      </w:r>
      <w:r w:rsidRPr="00A048AC">
        <w:rPr>
          <w:rFonts w:ascii="Source Sans Pro" w:hAnsi="Source Sans Pro" w:cs="Source Sans Pro"/>
          <w:sz w:val="22"/>
          <w:szCs w:val="22"/>
        </w:rPr>
        <w:t xml:space="preserve">Doch das </w:t>
      </w:r>
      <w:r w:rsidR="006016E1">
        <w:rPr>
          <w:rFonts w:ascii="Source Sans Pro" w:hAnsi="Source Sans Pro" w:cs="Source Sans Pro"/>
          <w:sz w:val="22"/>
          <w:szCs w:val="22"/>
        </w:rPr>
        <w:t xml:space="preserve">inzwischen </w:t>
      </w:r>
      <w:r w:rsidRPr="00A048AC">
        <w:rPr>
          <w:rFonts w:ascii="Source Sans Pro" w:hAnsi="Source Sans Pro" w:cs="Source Sans Pro"/>
          <w:sz w:val="22"/>
          <w:szCs w:val="22"/>
        </w:rPr>
        <w:t xml:space="preserve">gestiegene Zinsniveau </w:t>
      </w:r>
      <w:r w:rsidR="00B560D0">
        <w:rPr>
          <w:rFonts w:ascii="Source Sans Pro" w:hAnsi="Source Sans Pro" w:cs="Source Sans Pro"/>
          <w:sz w:val="22"/>
          <w:szCs w:val="22"/>
        </w:rPr>
        <w:t xml:space="preserve">steht einem weiteren Rückgang der Renditen entgegen und </w:t>
      </w:r>
      <w:r w:rsidRPr="00A048AC">
        <w:rPr>
          <w:rFonts w:ascii="Source Sans Pro" w:hAnsi="Source Sans Pro" w:cs="Source Sans Pro"/>
          <w:sz w:val="22"/>
          <w:szCs w:val="22"/>
        </w:rPr>
        <w:t>schmälert die Rentabilität</w:t>
      </w:r>
      <w:r w:rsidR="00B560D0">
        <w:rPr>
          <w:rFonts w:ascii="Source Sans Pro" w:hAnsi="Source Sans Pro" w:cs="Source Sans Pro"/>
          <w:sz w:val="22"/>
          <w:szCs w:val="22"/>
        </w:rPr>
        <w:t xml:space="preserve"> von Investments</w:t>
      </w:r>
      <w:r w:rsidRPr="00A048AC">
        <w:rPr>
          <w:rFonts w:ascii="Source Sans Pro" w:hAnsi="Source Sans Pro" w:cs="Source Sans Pro"/>
          <w:sz w:val="22"/>
          <w:szCs w:val="22"/>
        </w:rPr>
        <w:t>. Investoren mit hoher</w:t>
      </w:r>
      <w:r w:rsidRPr="00F922F2">
        <w:rPr>
          <w:rFonts w:ascii="Source Sans Pro" w:hAnsi="Source Sans Pro" w:cs="Source Sans Pro"/>
          <w:sz w:val="22"/>
          <w:szCs w:val="22"/>
        </w:rPr>
        <w:t xml:space="preserve"> Eigenkapital-Ausstattung sind </w:t>
      </w:r>
      <w:r>
        <w:rPr>
          <w:rFonts w:ascii="Source Sans Pro" w:hAnsi="Source Sans Pro" w:cs="Source Sans Pro"/>
          <w:sz w:val="22"/>
          <w:szCs w:val="22"/>
        </w:rPr>
        <w:t xml:space="preserve">daher </w:t>
      </w:r>
      <w:r w:rsidRPr="00F922F2">
        <w:rPr>
          <w:rFonts w:ascii="Source Sans Pro" w:hAnsi="Source Sans Pro" w:cs="Source Sans Pro"/>
          <w:sz w:val="22"/>
          <w:szCs w:val="22"/>
        </w:rPr>
        <w:t xml:space="preserve">im </w:t>
      </w:r>
      <w:r w:rsidRPr="008D60CA">
        <w:rPr>
          <w:rFonts w:ascii="Source Sans Pro" w:hAnsi="Source Sans Pro" w:cs="Source Sans Pro"/>
          <w:sz w:val="22"/>
          <w:szCs w:val="22"/>
        </w:rPr>
        <w:t xml:space="preserve">Vorteil. </w:t>
      </w:r>
      <w:r w:rsidR="001231FA" w:rsidRPr="008D60CA">
        <w:rPr>
          <w:rFonts w:ascii="Source Sans Pro" w:hAnsi="Source Sans Pro" w:cs="Source Sans Pro"/>
          <w:i/>
          <w:sz w:val="22"/>
          <w:szCs w:val="22"/>
        </w:rPr>
        <w:t>„Die zuletzt mitunter sehr hohen Kaufpreise werden in Verhandlungen zunehmend kritisch hinterfragt</w:t>
      </w:r>
      <w:r w:rsidR="004913F5">
        <w:rPr>
          <w:rFonts w:ascii="Source Sans Pro" w:hAnsi="Source Sans Pro" w:cs="Source Sans Pro"/>
          <w:i/>
          <w:sz w:val="22"/>
          <w:szCs w:val="22"/>
        </w:rPr>
        <w:t xml:space="preserve">“, </w:t>
      </w:r>
      <w:r w:rsidR="004913F5" w:rsidRPr="001B36F2">
        <w:rPr>
          <w:rFonts w:ascii="Source Sans Pro" w:hAnsi="Source Sans Pro" w:cs="Source Sans Pro"/>
          <w:sz w:val="22"/>
          <w:szCs w:val="22"/>
        </w:rPr>
        <w:t xml:space="preserve">berichtet </w:t>
      </w:r>
      <w:r w:rsidR="004913F5" w:rsidRPr="001B36F2">
        <w:rPr>
          <w:rFonts w:ascii="Source Sans Pro" w:hAnsi="Source Sans Pro" w:cs="Source Sans Pro"/>
          <w:b/>
          <w:sz w:val="22"/>
          <w:szCs w:val="22"/>
        </w:rPr>
        <w:t>Rehberg</w:t>
      </w:r>
      <w:r w:rsidR="001B36F2">
        <w:rPr>
          <w:rFonts w:ascii="Source Sans Pro" w:hAnsi="Source Sans Pro" w:cs="Source Sans Pro"/>
          <w:sz w:val="22"/>
          <w:szCs w:val="22"/>
        </w:rPr>
        <w:t>. Er ergänzt:</w:t>
      </w:r>
      <w:r w:rsidR="004913F5" w:rsidRPr="001B36F2">
        <w:rPr>
          <w:rFonts w:ascii="Source Sans Pro" w:hAnsi="Source Sans Pro" w:cs="Source Sans Pro"/>
          <w:sz w:val="22"/>
          <w:szCs w:val="22"/>
        </w:rPr>
        <w:t xml:space="preserve"> </w:t>
      </w:r>
      <w:r w:rsidR="004913F5">
        <w:rPr>
          <w:rFonts w:ascii="Source Sans Pro" w:hAnsi="Source Sans Pro" w:cs="Source Sans Pro"/>
          <w:i/>
          <w:sz w:val="22"/>
          <w:szCs w:val="22"/>
        </w:rPr>
        <w:t>„</w:t>
      </w:r>
      <w:r w:rsidRPr="008D60CA">
        <w:rPr>
          <w:rFonts w:ascii="Source Sans Pro" w:hAnsi="Source Sans Pro" w:cs="Source Sans Pro"/>
          <w:i/>
          <w:sz w:val="22"/>
          <w:szCs w:val="22"/>
        </w:rPr>
        <w:t xml:space="preserve">An manchen Standorten </w:t>
      </w:r>
      <w:r w:rsidR="004A1800" w:rsidRPr="008D60CA">
        <w:rPr>
          <w:rFonts w:ascii="Source Sans Pro" w:hAnsi="Source Sans Pro" w:cs="Source Sans Pro"/>
          <w:i/>
          <w:sz w:val="22"/>
          <w:szCs w:val="22"/>
        </w:rPr>
        <w:t>und bei manchen Produkten gehen wir</w:t>
      </w:r>
      <w:r w:rsidRPr="008D60CA">
        <w:rPr>
          <w:rFonts w:ascii="Source Sans Pro" w:hAnsi="Source Sans Pro" w:cs="Source Sans Pro"/>
          <w:i/>
          <w:sz w:val="22"/>
          <w:szCs w:val="22"/>
        </w:rPr>
        <w:t xml:space="preserve"> bereits von steigenden Renditen aus</w:t>
      </w:r>
      <w:r w:rsidR="004913F5">
        <w:rPr>
          <w:rFonts w:ascii="Source Sans Pro" w:hAnsi="Source Sans Pro" w:cs="Source Sans Pro"/>
          <w:i/>
          <w:sz w:val="22"/>
          <w:szCs w:val="22"/>
        </w:rPr>
        <w:t>.</w:t>
      </w:r>
      <w:r w:rsidR="001231FA" w:rsidRPr="008D60CA">
        <w:rPr>
          <w:rFonts w:ascii="Source Sans Pro" w:hAnsi="Source Sans Pro" w:cs="Source Sans Pro"/>
          <w:i/>
          <w:sz w:val="22"/>
          <w:szCs w:val="22"/>
        </w:rPr>
        <w:t>“</w:t>
      </w:r>
      <w:r w:rsidRPr="001231FA">
        <w:rPr>
          <w:rFonts w:ascii="Source Sans Pro" w:hAnsi="Source Sans Pro" w:cs="Source Sans Pro"/>
          <w:i/>
          <w:sz w:val="22"/>
          <w:szCs w:val="22"/>
        </w:rPr>
        <w:t xml:space="preserve"> </w:t>
      </w:r>
    </w:p>
    <w:p w14:paraId="7CB067C8" w14:textId="37769F4E" w:rsidR="001512C7" w:rsidRDefault="001512C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5CCA54F7" w14:textId="5D81106A" w:rsidR="001512C7" w:rsidRDefault="0021355F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PROGNOSE: </w:t>
      </w:r>
      <w:r w:rsidR="006016E1">
        <w:rPr>
          <w:rFonts w:ascii="Source Sans Pro" w:hAnsi="Source Sans Pro" w:cs="Source Sans Pro"/>
          <w:caps/>
          <w:color w:val="0086A8"/>
          <w:sz w:val="22"/>
          <w:szCs w:val="22"/>
        </w:rPr>
        <w:t>Voraussichtlich weiter</w:t>
      </w:r>
      <w:r w:rsidR="00631271">
        <w:rPr>
          <w:rFonts w:ascii="Source Sans Pro" w:hAnsi="Source Sans Pro" w:cs="Source Sans Pro"/>
          <w:caps/>
          <w:color w:val="0086A8"/>
          <w:sz w:val="22"/>
          <w:szCs w:val="22"/>
        </w:rPr>
        <w:t>hin</w:t>
      </w:r>
      <w:r w:rsidR="006016E1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hohe </w:t>
      </w:r>
      <w:r w:rsidR="004129F6">
        <w:rPr>
          <w:rFonts w:ascii="Source Sans Pro" w:hAnsi="Source Sans Pro" w:cs="Source Sans Pro"/>
          <w:caps/>
          <w:color w:val="0086A8"/>
          <w:sz w:val="22"/>
          <w:szCs w:val="22"/>
        </w:rPr>
        <w:t>Nachfrage</w:t>
      </w:r>
      <w:r w:rsidR="008D60C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F0F8ED2" w14:textId="123585AB" w:rsidR="009F396A" w:rsidRPr="009F396A" w:rsidRDefault="009F396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Wie sich der Markt in der zweiten Jahreshälfte entwickeln wird, ist angesichts vielfältiger Risikofaktoren wie Ukraine-Krieg, Inflation und Pandemie schwer vorherzusehen. </w:t>
      </w:r>
      <w:r w:rsidRPr="009F396A">
        <w:rPr>
          <w:rFonts w:ascii="Source Sans Pro" w:hAnsi="Source Sans Pro" w:cs="Source Sans Pro"/>
          <w:i/>
          <w:sz w:val="22"/>
          <w:szCs w:val="22"/>
        </w:rPr>
        <w:t xml:space="preserve">„Unter der Prämisse </w:t>
      </w:r>
      <w:r w:rsidR="006016E1">
        <w:rPr>
          <w:rFonts w:ascii="Source Sans Pro" w:hAnsi="Source Sans Pro" w:cs="Source Sans Pro"/>
          <w:i/>
          <w:sz w:val="22"/>
          <w:szCs w:val="22"/>
        </w:rPr>
        <w:t>d</w:t>
      </w:r>
      <w:r w:rsidRPr="009F396A">
        <w:rPr>
          <w:rFonts w:ascii="Source Sans Pro" w:hAnsi="Source Sans Pro" w:cs="Source Sans Pro"/>
          <w:i/>
          <w:sz w:val="22"/>
          <w:szCs w:val="22"/>
        </w:rPr>
        <w:t xml:space="preserve">es </w:t>
      </w:r>
      <w:r w:rsidR="004D3F63">
        <w:rPr>
          <w:rFonts w:ascii="Source Sans Pro" w:hAnsi="Source Sans Pro" w:cs="Source Sans Pro"/>
          <w:i/>
          <w:sz w:val="22"/>
          <w:szCs w:val="22"/>
        </w:rPr>
        <w:t xml:space="preserve">von Ökonomen </w:t>
      </w:r>
      <w:r w:rsidR="006016E1">
        <w:rPr>
          <w:rFonts w:ascii="Source Sans Pro" w:hAnsi="Source Sans Pro" w:cs="Source Sans Pro"/>
          <w:i/>
          <w:sz w:val="22"/>
          <w:szCs w:val="22"/>
        </w:rPr>
        <w:t xml:space="preserve">erwarteten </w:t>
      </w:r>
      <w:r w:rsidRPr="009F396A">
        <w:rPr>
          <w:rFonts w:ascii="Source Sans Pro" w:hAnsi="Source Sans Pro" w:cs="Source Sans Pro"/>
          <w:i/>
          <w:sz w:val="22"/>
          <w:szCs w:val="22"/>
        </w:rPr>
        <w:t>Wirtschaftswachstums in 2022 dürfte die Flächennachfrage das Angebot weiterhin übersteigen und die Mietpreise hochhalten“,</w:t>
      </w:r>
      <w:r>
        <w:rPr>
          <w:rFonts w:ascii="Source Sans Pro" w:hAnsi="Source Sans Pro" w:cs="Source Sans Pro"/>
          <w:sz w:val="22"/>
          <w:szCs w:val="22"/>
        </w:rPr>
        <w:t xml:space="preserve"> prognostiziert </w:t>
      </w:r>
      <w:r w:rsidRPr="009F396A">
        <w:rPr>
          <w:rFonts w:ascii="Source Sans Pro" w:hAnsi="Source Sans Pro" w:cs="Source Sans Pro"/>
          <w:b/>
          <w:sz w:val="22"/>
          <w:szCs w:val="22"/>
        </w:rPr>
        <w:t>Rehberg</w:t>
      </w:r>
      <w:r w:rsidR="004E5011" w:rsidRPr="004E5011">
        <w:rPr>
          <w:rFonts w:ascii="Source Sans Pro" w:hAnsi="Source Sans Pro" w:cs="Source Sans Pro"/>
          <w:sz w:val="22"/>
          <w:szCs w:val="22"/>
        </w:rPr>
        <w:t>.</w:t>
      </w:r>
      <w:r w:rsidR="004E5011">
        <w:rPr>
          <w:rFonts w:ascii="Source Sans Pro" w:hAnsi="Source Sans Pro" w:cs="Source Sans Pro"/>
          <w:sz w:val="22"/>
          <w:szCs w:val="22"/>
        </w:rPr>
        <w:t xml:space="preserve"> </w:t>
      </w:r>
      <w:r w:rsidR="004E5011" w:rsidRPr="004E5011">
        <w:rPr>
          <w:rFonts w:ascii="Source Sans Pro" w:hAnsi="Source Sans Pro" w:cs="Source Sans Pro"/>
          <w:i/>
          <w:sz w:val="22"/>
          <w:szCs w:val="22"/>
        </w:rPr>
        <w:t xml:space="preserve">„Die großen Themen Elektromobilität, Energiewende und Digitalisierung entfalten weiterhin </w:t>
      </w:r>
      <w:r w:rsidR="008D60CA">
        <w:rPr>
          <w:rFonts w:ascii="Source Sans Pro" w:hAnsi="Source Sans Pro" w:cs="Source Sans Pro"/>
          <w:i/>
          <w:sz w:val="22"/>
          <w:szCs w:val="22"/>
        </w:rPr>
        <w:t xml:space="preserve">ihre </w:t>
      </w:r>
      <w:r w:rsidR="004E5011" w:rsidRPr="004E5011">
        <w:rPr>
          <w:rFonts w:ascii="Source Sans Pro" w:hAnsi="Source Sans Pro" w:cs="Source Sans Pro"/>
          <w:i/>
          <w:sz w:val="22"/>
          <w:szCs w:val="22"/>
        </w:rPr>
        <w:t>Wirkung auf diverse Industriezweige und treiben dort Umstrukturierungen, Verlagerungen und Neubauten voran. Auch der Wachstumstrend im Online-Handel wird sich fortsetzen und weiteren Flächenbedarf auslösen.“</w:t>
      </w:r>
      <w:r w:rsidR="004E5011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5F07BB52" w14:textId="252BFEC1" w:rsidR="00970962" w:rsidRDefault="00970962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23D8FEFE" w14:textId="6F777F70" w:rsidR="00970962" w:rsidRDefault="00970962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 w:rsidRPr="00970962">
        <w:rPr>
          <w:rFonts w:ascii="Source Sans Pro" w:hAnsi="Source Sans Pro" w:cs="Source Sans Pro"/>
          <w:sz w:val="22"/>
          <w:szCs w:val="22"/>
        </w:rPr>
        <w:t xml:space="preserve">Das </w:t>
      </w:r>
      <w:hyperlink r:id="rId7" w:history="1">
        <w:r w:rsidRPr="00970962">
          <w:rPr>
            <w:rStyle w:val="Hyperlink"/>
            <w:rFonts w:ascii="Source Sans Pro" w:hAnsi="Source Sans Pro" w:cs="Source Sans Pro"/>
            <w:sz w:val="22"/>
            <w:szCs w:val="22"/>
          </w:rPr>
          <w:t>Fact Sheet zu den Top-7-Industrie- u</w:t>
        </w:r>
        <w:r w:rsidRPr="00970962">
          <w:rPr>
            <w:rStyle w:val="Hyperlink"/>
            <w:rFonts w:ascii="Source Sans Pro" w:hAnsi="Source Sans Pro" w:cs="Source Sans Pro"/>
            <w:sz w:val="22"/>
            <w:szCs w:val="22"/>
          </w:rPr>
          <w:t>n</w:t>
        </w:r>
        <w:r w:rsidRPr="00970962">
          <w:rPr>
            <w:rStyle w:val="Hyperlink"/>
            <w:rFonts w:ascii="Source Sans Pro" w:hAnsi="Source Sans Pro" w:cs="Source Sans Pro"/>
            <w:sz w:val="22"/>
            <w:szCs w:val="22"/>
          </w:rPr>
          <w:t>d Logistikimmobilienmärkten</w:t>
        </w:r>
      </w:hyperlink>
      <w:r w:rsidRPr="00970962">
        <w:rPr>
          <w:rFonts w:ascii="Source Sans Pro" w:hAnsi="Source Sans Pro" w:cs="Source Sans Pro"/>
          <w:sz w:val="22"/>
          <w:szCs w:val="22"/>
        </w:rPr>
        <w:t xml:space="preserve"> Hamburg, Berlin, Düsseldorf, Köln, Frankfurt, Stuttgart und München steht auf unserer Website zum Download bereit.</w:t>
      </w:r>
    </w:p>
    <w:p w14:paraId="384D0EB4" w14:textId="77777777" w:rsid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04CDDE4D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6C69B7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3D0C7E2" w14:textId="3FE1AD4D" w:rsidR="00DA733A" w:rsidRPr="006C69B7" w:rsidRDefault="00F40B12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</w:t>
      </w:r>
      <w:r w:rsidR="006C69B7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bookmarkStart w:id="0" w:name="_GoBack"/>
      <w:bookmarkEnd w:id="0"/>
    </w:p>
    <w:p w14:paraId="3267071B" w14:textId="05540F4C" w:rsidR="00D56A51" w:rsidRDefault="006C69B7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hyperlink r:id="rId9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468FAFF6" w14:textId="33FAAA60" w:rsidR="005C25D5" w:rsidRPr="00D56A51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D56A51" w:rsidSect="001B786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0CC7114D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C69B7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C69B7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64D43374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1406C3DE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7F06CE90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F0E7E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F0E7E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6F57D6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64DE11DF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1F24"/>
    <w:rsid w:val="000021F4"/>
    <w:rsid w:val="00003433"/>
    <w:rsid w:val="00004E93"/>
    <w:rsid w:val="000136D7"/>
    <w:rsid w:val="00013C9D"/>
    <w:rsid w:val="00013D73"/>
    <w:rsid w:val="00020AC9"/>
    <w:rsid w:val="00027EA3"/>
    <w:rsid w:val="00032028"/>
    <w:rsid w:val="000440EB"/>
    <w:rsid w:val="0005029E"/>
    <w:rsid w:val="000610DA"/>
    <w:rsid w:val="000663B5"/>
    <w:rsid w:val="00066A8A"/>
    <w:rsid w:val="00072A30"/>
    <w:rsid w:val="00073A63"/>
    <w:rsid w:val="00077E8A"/>
    <w:rsid w:val="00082C59"/>
    <w:rsid w:val="00091562"/>
    <w:rsid w:val="0009382E"/>
    <w:rsid w:val="000A4FBB"/>
    <w:rsid w:val="000A6A78"/>
    <w:rsid w:val="000B310B"/>
    <w:rsid w:val="000C3A22"/>
    <w:rsid w:val="000D1772"/>
    <w:rsid w:val="000D5A87"/>
    <w:rsid w:val="000D7B09"/>
    <w:rsid w:val="000D7FD3"/>
    <w:rsid w:val="000E194E"/>
    <w:rsid w:val="000E4F2C"/>
    <w:rsid w:val="000E6577"/>
    <w:rsid w:val="000E694E"/>
    <w:rsid w:val="000F57F1"/>
    <w:rsid w:val="001104E2"/>
    <w:rsid w:val="00110E37"/>
    <w:rsid w:val="00113D8C"/>
    <w:rsid w:val="00120624"/>
    <w:rsid w:val="0012156C"/>
    <w:rsid w:val="001231FA"/>
    <w:rsid w:val="00131DC5"/>
    <w:rsid w:val="001340F8"/>
    <w:rsid w:val="00146388"/>
    <w:rsid w:val="00150092"/>
    <w:rsid w:val="001512C7"/>
    <w:rsid w:val="001550FE"/>
    <w:rsid w:val="00155828"/>
    <w:rsid w:val="00156AF6"/>
    <w:rsid w:val="00161817"/>
    <w:rsid w:val="00162CC4"/>
    <w:rsid w:val="001647B3"/>
    <w:rsid w:val="00166ED2"/>
    <w:rsid w:val="00176433"/>
    <w:rsid w:val="00177AA4"/>
    <w:rsid w:val="0018092C"/>
    <w:rsid w:val="00184BB0"/>
    <w:rsid w:val="001963BB"/>
    <w:rsid w:val="001A22F5"/>
    <w:rsid w:val="001B36F2"/>
    <w:rsid w:val="001B786B"/>
    <w:rsid w:val="001C32DB"/>
    <w:rsid w:val="001C518B"/>
    <w:rsid w:val="001E1829"/>
    <w:rsid w:val="001E5503"/>
    <w:rsid w:val="001F218D"/>
    <w:rsid w:val="001F35E1"/>
    <w:rsid w:val="00200C83"/>
    <w:rsid w:val="002014F7"/>
    <w:rsid w:val="002027B6"/>
    <w:rsid w:val="00202DD3"/>
    <w:rsid w:val="0021355F"/>
    <w:rsid w:val="0022694F"/>
    <w:rsid w:val="00227F3A"/>
    <w:rsid w:val="00235393"/>
    <w:rsid w:val="00264A0A"/>
    <w:rsid w:val="00265CA3"/>
    <w:rsid w:val="0028070D"/>
    <w:rsid w:val="00282ED8"/>
    <w:rsid w:val="00290672"/>
    <w:rsid w:val="002A09C2"/>
    <w:rsid w:val="002A480D"/>
    <w:rsid w:val="002A7D58"/>
    <w:rsid w:val="002B63FD"/>
    <w:rsid w:val="002B749A"/>
    <w:rsid w:val="002C52C5"/>
    <w:rsid w:val="002E1C45"/>
    <w:rsid w:val="002E5673"/>
    <w:rsid w:val="002F461A"/>
    <w:rsid w:val="002F786B"/>
    <w:rsid w:val="00306932"/>
    <w:rsid w:val="003152C9"/>
    <w:rsid w:val="00315870"/>
    <w:rsid w:val="00316196"/>
    <w:rsid w:val="003250ED"/>
    <w:rsid w:val="00341D84"/>
    <w:rsid w:val="003424EC"/>
    <w:rsid w:val="0034454C"/>
    <w:rsid w:val="00355438"/>
    <w:rsid w:val="00355ED1"/>
    <w:rsid w:val="00363075"/>
    <w:rsid w:val="00366AF3"/>
    <w:rsid w:val="00371640"/>
    <w:rsid w:val="00374F87"/>
    <w:rsid w:val="00392E9E"/>
    <w:rsid w:val="003948FA"/>
    <w:rsid w:val="00396FE6"/>
    <w:rsid w:val="003A463F"/>
    <w:rsid w:val="003B63A8"/>
    <w:rsid w:val="003D34A9"/>
    <w:rsid w:val="003D36F0"/>
    <w:rsid w:val="003D5215"/>
    <w:rsid w:val="003D5D91"/>
    <w:rsid w:val="003E772C"/>
    <w:rsid w:val="003F293B"/>
    <w:rsid w:val="003F5E07"/>
    <w:rsid w:val="0040331F"/>
    <w:rsid w:val="00403C95"/>
    <w:rsid w:val="0041188F"/>
    <w:rsid w:val="004129F6"/>
    <w:rsid w:val="00423DAC"/>
    <w:rsid w:val="00425DBF"/>
    <w:rsid w:val="00430DA2"/>
    <w:rsid w:val="004329C6"/>
    <w:rsid w:val="004343B1"/>
    <w:rsid w:val="00434EB9"/>
    <w:rsid w:val="00436DD0"/>
    <w:rsid w:val="00453F14"/>
    <w:rsid w:val="00456442"/>
    <w:rsid w:val="00462200"/>
    <w:rsid w:val="0046528F"/>
    <w:rsid w:val="00474099"/>
    <w:rsid w:val="004913F5"/>
    <w:rsid w:val="00491CBC"/>
    <w:rsid w:val="004A1800"/>
    <w:rsid w:val="004A2A30"/>
    <w:rsid w:val="004A2D54"/>
    <w:rsid w:val="004A60FB"/>
    <w:rsid w:val="004B5CB6"/>
    <w:rsid w:val="004C616B"/>
    <w:rsid w:val="004D2CD0"/>
    <w:rsid w:val="004D30FB"/>
    <w:rsid w:val="004D3F63"/>
    <w:rsid w:val="004E5011"/>
    <w:rsid w:val="004F1EDD"/>
    <w:rsid w:val="004F77D4"/>
    <w:rsid w:val="00500981"/>
    <w:rsid w:val="00501428"/>
    <w:rsid w:val="005045E7"/>
    <w:rsid w:val="00510C33"/>
    <w:rsid w:val="005122A0"/>
    <w:rsid w:val="0054038E"/>
    <w:rsid w:val="0054593A"/>
    <w:rsid w:val="00546734"/>
    <w:rsid w:val="00554C9F"/>
    <w:rsid w:val="00557B57"/>
    <w:rsid w:val="005644BE"/>
    <w:rsid w:val="00575159"/>
    <w:rsid w:val="0057524E"/>
    <w:rsid w:val="00575A55"/>
    <w:rsid w:val="005A5999"/>
    <w:rsid w:val="005C25D5"/>
    <w:rsid w:val="005D0D0E"/>
    <w:rsid w:val="005D449F"/>
    <w:rsid w:val="005D73BE"/>
    <w:rsid w:val="005E1C97"/>
    <w:rsid w:val="005E6515"/>
    <w:rsid w:val="005F1F6B"/>
    <w:rsid w:val="005F3B7B"/>
    <w:rsid w:val="006016E1"/>
    <w:rsid w:val="0060257F"/>
    <w:rsid w:val="00604F63"/>
    <w:rsid w:val="00605989"/>
    <w:rsid w:val="00613713"/>
    <w:rsid w:val="006224FB"/>
    <w:rsid w:val="0063115F"/>
    <w:rsid w:val="00631271"/>
    <w:rsid w:val="00632159"/>
    <w:rsid w:val="006363DA"/>
    <w:rsid w:val="006432C0"/>
    <w:rsid w:val="006456EA"/>
    <w:rsid w:val="00653983"/>
    <w:rsid w:val="006609C2"/>
    <w:rsid w:val="0066478F"/>
    <w:rsid w:val="00675E89"/>
    <w:rsid w:val="00695F46"/>
    <w:rsid w:val="006A3C35"/>
    <w:rsid w:val="006A6D11"/>
    <w:rsid w:val="006B2259"/>
    <w:rsid w:val="006B3ECE"/>
    <w:rsid w:val="006C5754"/>
    <w:rsid w:val="006C69B7"/>
    <w:rsid w:val="006D6526"/>
    <w:rsid w:val="006E06BE"/>
    <w:rsid w:val="006E674D"/>
    <w:rsid w:val="006E6770"/>
    <w:rsid w:val="006F0E7E"/>
    <w:rsid w:val="006F154A"/>
    <w:rsid w:val="00701992"/>
    <w:rsid w:val="0070363C"/>
    <w:rsid w:val="00712023"/>
    <w:rsid w:val="007144E9"/>
    <w:rsid w:val="00714A1F"/>
    <w:rsid w:val="00717328"/>
    <w:rsid w:val="0072073D"/>
    <w:rsid w:val="00742C04"/>
    <w:rsid w:val="0074571D"/>
    <w:rsid w:val="00750A05"/>
    <w:rsid w:val="00767018"/>
    <w:rsid w:val="00771C92"/>
    <w:rsid w:val="007805D8"/>
    <w:rsid w:val="00795586"/>
    <w:rsid w:val="00797DA3"/>
    <w:rsid w:val="007A4844"/>
    <w:rsid w:val="007B33CE"/>
    <w:rsid w:val="007B7B81"/>
    <w:rsid w:val="007C1429"/>
    <w:rsid w:val="007C5441"/>
    <w:rsid w:val="007D1495"/>
    <w:rsid w:val="007D2902"/>
    <w:rsid w:val="007D5A52"/>
    <w:rsid w:val="007D5CA1"/>
    <w:rsid w:val="007D75C8"/>
    <w:rsid w:val="007E2C66"/>
    <w:rsid w:val="007F1021"/>
    <w:rsid w:val="007F2DBB"/>
    <w:rsid w:val="007F7E7C"/>
    <w:rsid w:val="0081355B"/>
    <w:rsid w:val="00821A81"/>
    <w:rsid w:val="00825F63"/>
    <w:rsid w:val="008322D8"/>
    <w:rsid w:val="00837E5B"/>
    <w:rsid w:val="00851067"/>
    <w:rsid w:val="00856A7C"/>
    <w:rsid w:val="008739E7"/>
    <w:rsid w:val="00874645"/>
    <w:rsid w:val="00881685"/>
    <w:rsid w:val="008844D9"/>
    <w:rsid w:val="00891C3A"/>
    <w:rsid w:val="00895E64"/>
    <w:rsid w:val="008A3A3B"/>
    <w:rsid w:val="008A7188"/>
    <w:rsid w:val="008D60CA"/>
    <w:rsid w:val="008E0A69"/>
    <w:rsid w:val="008F2058"/>
    <w:rsid w:val="00904B69"/>
    <w:rsid w:val="009064CE"/>
    <w:rsid w:val="00912233"/>
    <w:rsid w:val="00914021"/>
    <w:rsid w:val="00917410"/>
    <w:rsid w:val="009264D0"/>
    <w:rsid w:val="009326A4"/>
    <w:rsid w:val="0093360A"/>
    <w:rsid w:val="009358D3"/>
    <w:rsid w:val="00955433"/>
    <w:rsid w:val="00955764"/>
    <w:rsid w:val="00957A6F"/>
    <w:rsid w:val="009649C2"/>
    <w:rsid w:val="00965DEB"/>
    <w:rsid w:val="00966A04"/>
    <w:rsid w:val="00970962"/>
    <w:rsid w:val="009738DE"/>
    <w:rsid w:val="00980BEB"/>
    <w:rsid w:val="00980D94"/>
    <w:rsid w:val="00982F7B"/>
    <w:rsid w:val="009843D4"/>
    <w:rsid w:val="009867A7"/>
    <w:rsid w:val="0099076D"/>
    <w:rsid w:val="0099690F"/>
    <w:rsid w:val="00996D38"/>
    <w:rsid w:val="009A10C6"/>
    <w:rsid w:val="009A4503"/>
    <w:rsid w:val="009B008F"/>
    <w:rsid w:val="009C2D11"/>
    <w:rsid w:val="009C3FDE"/>
    <w:rsid w:val="009C4CE9"/>
    <w:rsid w:val="009F28F5"/>
    <w:rsid w:val="009F396A"/>
    <w:rsid w:val="00A048AC"/>
    <w:rsid w:val="00A07846"/>
    <w:rsid w:val="00A17CA6"/>
    <w:rsid w:val="00A22C2C"/>
    <w:rsid w:val="00A22FBF"/>
    <w:rsid w:val="00A346EF"/>
    <w:rsid w:val="00A54087"/>
    <w:rsid w:val="00A57024"/>
    <w:rsid w:val="00A5726A"/>
    <w:rsid w:val="00A61757"/>
    <w:rsid w:val="00A63939"/>
    <w:rsid w:val="00A65690"/>
    <w:rsid w:val="00A65FB0"/>
    <w:rsid w:val="00A66A23"/>
    <w:rsid w:val="00A743C6"/>
    <w:rsid w:val="00A8148C"/>
    <w:rsid w:val="00A831E7"/>
    <w:rsid w:val="00A85640"/>
    <w:rsid w:val="00A91DC1"/>
    <w:rsid w:val="00A9412B"/>
    <w:rsid w:val="00AB69AD"/>
    <w:rsid w:val="00AC6B15"/>
    <w:rsid w:val="00AD2569"/>
    <w:rsid w:val="00AD4124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3444"/>
    <w:rsid w:val="00B04F23"/>
    <w:rsid w:val="00B14C16"/>
    <w:rsid w:val="00B14E68"/>
    <w:rsid w:val="00B23669"/>
    <w:rsid w:val="00B24860"/>
    <w:rsid w:val="00B33789"/>
    <w:rsid w:val="00B46BC1"/>
    <w:rsid w:val="00B560D0"/>
    <w:rsid w:val="00B56AFB"/>
    <w:rsid w:val="00B576A5"/>
    <w:rsid w:val="00B862DB"/>
    <w:rsid w:val="00B922EE"/>
    <w:rsid w:val="00B9596E"/>
    <w:rsid w:val="00BA2FA0"/>
    <w:rsid w:val="00BA3D8E"/>
    <w:rsid w:val="00BA40B4"/>
    <w:rsid w:val="00BA49EB"/>
    <w:rsid w:val="00BB0F85"/>
    <w:rsid w:val="00BC0132"/>
    <w:rsid w:val="00BC0598"/>
    <w:rsid w:val="00BD0526"/>
    <w:rsid w:val="00BD2784"/>
    <w:rsid w:val="00BD46B2"/>
    <w:rsid w:val="00BF11C6"/>
    <w:rsid w:val="00C11004"/>
    <w:rsid w:val="00C111FE"/>
    <w:rsid w:val="00C1497F"/>
    <w:rsid w:val="00C20B9C"/>
    <w:rsid w:val="00C2509E"/>
    <w:rsid w:val="00C2778C"/>
    <w:rsid w:val="00C27F6A"/>
    <w:rsid w:val="00C3159C"/>
    <w:rsid w:val="00C34C0E"/>
    <w:rsid w:val="00C35841"/>
    <w:rsid w:val="00C41C74"/>
    <w:rsid w:val="00C43C76"/>
    <w:rsid w:val="00C47B63"/>
    <w:rsid w:val="00C47F8B"/>
    <w:rsid w:val="00C50567"/>
    <w:rsid w:val="00C742DD"/>
    <w:rsid w:val="00C846F6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C7B66"/>
    <w:rsid w:val="00CD7E39"/>
    <w:rsid w:val="00CE2EFB"/>
    <w:rsid w:val="00CE5A10"/>
    <w:rsid w:val="00D02FD8"/>
    <w:rsid w:val="00D10832"/>
    <w:rsid w:val="00D11A3A"/>
    <w:rsid w:val="00D3104C"/>
    <w:rsid w:val="00D42152"/>
    <w:rsid w:val="00D43D89"/>
    <w:rsid w:val="00D50FDD"/>
    <w:rsid w:val="00D513E4"/>
    <w:rsid w:val="00D53B8E"/>
    <w:rsid w:val="00D56A51"/>
    <w:rsid w:val="00D602AC"/>
    <w:rsid w:val="00D70824"/>
    <w:rsid w:val="00D760A9"/>
    <w:rsid w:val="00D760CF"/>
    <w:rsid w:val="00D925B8"/>
    <w:rsid w:val="00D949D0"/>
    <w:rsid w:val="00DA3B66"/>
    <w:rsid w:val="00DA4453"/>
    <w:rsid w:val="00DA6836"/>
    <w:rsid w:val="00DA733A"/>
    <w:rsid w:val="00DB2417"/>
    <w:rsid w:val="00DC05A3"/>
    <w:rsid w:val="00DC6A0C"/>
    <w:rsid w:val="00E03DB3"/>
    <w:rsid w:val="00E06757"/>
    <w:rsid w:val="00E1280F"/>
    <w:rsid w:val="00E178A3"/>
    <w:rsid w:val="00E17B2C"/>
    <w:rsid w:val="00E26EA1"/>
    <w:rsid w:val="00E27DEF"/>
    <w:rsid w:val="00E30081"/>
    <w:rsid w:val="00E32743"/>
    <w:rsid w:val="00E342C7"/>
    <w:rsid w:val="00E354F6"/>
    <w:rsid w:val="00E4317C"/>
    <w:rsid w:val="00E53D4C"/>
    <w:rsid w:val="00E609ED"/>
    <w:rsid w:val="00E63703"/>
    <w:rsid w:val="00E64DDC"/>
    <w:rsid w:val="00E704C6"/>
    <w:rsid w:val="00E775AC"/>
    <w:rsid w:val="00E77A47"/>
    <w:rsid w:val="00E77B98"/>
    <w:rsid w:val="00E8471E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3DC1"/>
    <w:rsid w:val="00EC4845"/>
    <w:rsid w:val="00EC6CC2"/>
    <w:rsid w:val="00ED1C27"/>
    <w:rsid w:val="00ED5CDF"/>
    <w:rsid w:val="00ED6DCA"/>
    <w:rsid w:val="00EF0944"/>
    <w:rsid w:val="00EF512F"/>
    <w:rsid w:val="00EF7BE7"/>
    <w:rsid w:val="00F05141"/>
    <w:rsid w:val="00F07267"/>
    <w:rsid w:val="00F1080C"/>
    <w:rsid w:val="00F167CB"/>
    <w:rsid w:val="00F16AA1"/>
    <w:rsid w:val="00F2164E"/>
    <w:rsid w:val="00F22F9A"/>
    <w:rsid w:val="00F240EB"/>
    <w:rsid w:val="00F315FE"/>
    <w:rsid w:val="00F31FE6"/>
    <w:rsid w:val="00F40B12"/>
    <w:rsid w:val="00F45BB8"/>
    <w:rsid w:val="00F53F80"/>
    <w:rsid w:val="00F5697E"/>
    <w:rsid w:val="00F673A2"/>
    <w:rsid w:val="00F71A10"/>
    <w:rsid w:val="00F72A3E"/>
    <w:rsid w:val="00F74B67"/>
    <w:rsid w:val="00F7577B"/>
    <w:rsid w:val="00F8369F"/>
    <w:rsid w:val="00F91726"/>
    <w:rsid w:val="00F922F2"/>
    <w:rsid w:val="00F97DA9"/>
    <w:rsid w:val="00FB3B53"/>
    <w:rsid w:val="00FB551B"/>
    <w:rsid w:val="00FC69D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researc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70</cp:revision>
  <cp:lastPrinted>2022-03-30T15:12:00Z</cp:lastPrinted>
  <dcterms:created xsi:type="dcterms:W3CDTF">2022-01-11T08:02:00Z</dcterms:created>
  <dcterms:modified xsi:type="dcterms:W3CDTF">2022-06-16T11:13:00Z</dcterms:modified>
</cp:coreProperties>
</file>