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714434CD" w:rsidR="00CA79D7" w:rsidRPr="006456EA" w:rsidRDefault="00161817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</w:t>
      </w:r>
      <w:r w:rsidR="00530455">
        <w:rPr>
          <w:rFonts w:ascii="Source Sans Pro" w:hAnsi="Source Sans Pro" w:cs="Source Sans Pro"/>
          <w:caps/>
          <w:color w:val="0086A8"/>
          <w:sz w:val="22"/>
          <w:szCs w:val="22"/>
        </w:rPr>
        <w:t>Industrie-</w:t>
      </w:r>
      <w:r w:rsidR="00D80BE8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  <w:r w:rsidR="00530455">
        <w:rPr>
          <w:rFonts w:ascii="Source Sans Pro" w:hAnsi="Source Sans Pro" w:cs="Source Sans Pro"/>
          <w:caps/>
          <w:color w:val="0086A8"/>
          <w:sz w:val="22"/>
          <w:szCs w:val="22"/>
        </w:rPr>
        <w:t>und logistikmÄ</w:t>
      </w:r>
      <w:r w:rsidR="00EB0C34">
        <w:rPr>
          <w:rFonts w:ascii="Source Sans Pro" w:hAnsi="Source Sans Pro" w:cs="Source Sans Pro"/>
          <w:caps/>
          <w:color w:val="0086A8"/>
          <w:sz w:val="22"/>
          <w:szCs w:val="22"/>
        </w:rPr>
        <w:t>rkt</w:t>
      </w:r>
      <w:r w:rsidR="00530455">
        <w:rPr>
          <w:rFonts w:ascii="Source Sans Pro" w:hAnsi="Source Sans Pro" w:cs="Source Sans Pro"/>
          <w:caps/>
          <w:color w:val="0086A8"/>
          <w:sz w:val="22"/>
          <w:szCs w:val="22"/>
        </w:rPr>
        <w:t>e</w:t>
      </w:r>
      <w:r w:rsidR="006C7D7B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2776D38C" w14:textId="48F1840A" w:rsidR="006C7D7B" w:rsidRDefault="00727C84" w:rsidP="006C7D7B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Trotz Hindernissen chancenreich</w:t>
      </w:r>
      <w:r w:rsidR="006C7D7B">
        <w:rPr>
          <w:rFonts w:ascii="Source Sans Pro" w:hAnsi="Source Sans Pro" w:cs="Source Sans Pro"/>
          <w:sz w:val="36"/>
          <w:szCs w:val="36"/>
        </w:rPr>
        <w:t xml:space="preserve"> </w:t>
      </w:r>
    </w:p>
    <w:p w14:paraId="743073FD" w14:textId="6AAC371C" w:rsidR="003152C9" w:rsidRPr="00814CEF" w:rsidRDefault="00BD3228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16"/>
          <w:szCs w:val="16"/>
        </w:rPr>
      </w:pPr>
      <w:r>
        <w:rPr>
          <w:rFonts w:ascii="Source Sans Pro" w:hAnsi="Source Sans Pro" w:cs="Source Sans Pro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E2866E" wp14:editId="359C48C1">
            <wp:simplePos x="0" y="0"/>
            <wp:positionH relativeFrom="column">
              <wp:posOffset>57048</wp:posOffset>
            </wp:positionH>
            <wp:positionV relativeFrom="paragraph">
              <wp:posOffset>127508</wp:posOffset>
            </wp:positionV>
            <wp:extent cx="3223895" cy="24447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aktionsvolumen Industrie &amp; Logistik_2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7083E" w14:textId="0F8A6C4E" w:rsidR="00CA79D7" w:rsidRPr="00CA79D7" w:rsidRDefault="00CA79D7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</w:p>
    <w:p w14:paraId="09C3BDF2" w14:textId="1A792D57" w:rsidR="00CA79D7" w:rsidRDefault="00CA79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680D2E69" w14:textId="1E268EB8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010CA7C6" w14:textId="0013BB00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02DC4F3F" w14:textId="148A5D2F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79E44119" w14:textId="7F2F0314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56BCC1C4" w14:textId="7B2A5F9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6B97A1F6" w14:textId="57A1865B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18FAE75E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5DEAFF61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54C6DC07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758C4C67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7A98A878" w14:textId="77777777" w:rsidR="006C7D7B" w:rsidRDefault="006C7D7B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sz w:val="18"/>
          <w:szCs w:val="22"/>
        </w:rPr>
      </w:pPr>
    </w:p>
    <w:p w14:paraId="45EC360F" w14:textId="77777777" w:rsidR="006C7D7B" w:rsidRDefault="006C7D7B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sz w:val="18"/>
          <w:szCs w:val="22"/>
        </w:rPr>
      </w:pPr>
    </w:p>
    <w:p w14:paraId="6EF3F7BE" w14:textId="77777777" w:rsidR="006C7D7B" w:rsidRDefault="006C7D7B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sz w:val="18"/>
          <w:szCs w:val="22"/>
        </w:rPr>
      </w:pPr>
    </w:p>
    <w:p w14:paraId="6250007D" w14:textId="12B12448" w:rsidR="007959C9" w:rsidRDefault="00962CFF" w:rsidP="0023708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i/>
          <w:sz w:val="22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14</w:t>
      </w:r>
      <w:r w:rsidR="006C7D7B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6C7D7B">
        <w:rPr>
          <w:rFonts w:ascii="Source Sans Pro" w:hAnsi="Source Sans Pro" w:cs="Source Sans Pro"/>
          <w:color w:val="0087A8"/>
          <w:sz w:val="22"/>
          <w:szCs w:val="22"/>
        </w:rPr>
        <w:t>Februar</w:t>
      </w:r>
      <w:r w:rsidR="006C7D7B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 202</w:t>
      </w:r>
      <w:r w:rsidR="008245EC">
        <w:rPr>
          <w:rFonts w:ascii="Source Sans Pro" w:hAnsi="Source Sans Pro" w:cs="Source Sans Pro"/>
          <w:color w:val="0087A8"/>
          <w:sz w:val="22"/>
          <w:szCs w:val="22"/>
        </w:rPr>
        <w:t>3</w:t>
      </w:r>
      <w:r w:rsidR="006C7D7B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6C7D7B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445D87">
        <w:rPr>
          <w:rFonts w:ascii="Source Sans Pro" w:hAnsi="Source Sans Pro" w:cs="Arial"/>
          <w:sz w:val="22"/>
        </w:rPr>
        <w:t>Industrie- und Logistikimmobilien s</w:t>
      </w:r>
      <w:r w:rsidR="00965A06">
        <w:rPr>
          <w:rFonts w:ascii="Source Sans Pro" w:hAnsi="Source Sans Pro" w:cs="Arial"/>
          <w:sz w:val="22"/>
        </w:rPr>
        <w:t>ind</w:t>
      </w:r>
      <w:r w:rsidR="00445D87">
        <w:rPr>
          <w:rFonts w:ascii="Source Sans Pro" w:hAnsi="Source Sans Pro" w:cs="Arial"/>
          <w:sz w:val="22"/>
        </w:rPr>
        <w:t xml:space="preserve"> b</w:t>
      </w:r>
      <w:r w:rsidR="004A64EE" w:rsidRPr="00445D87">
        <w:rPr>
          <w:rFonts w:ascii="Source Sans Pro" w:hAnsi="Source Sans Pro" w:cs="Arial"/>
          <w:color w:val="auto"/>
          <w:sz w:val="22"/>
          <w:szCs w:val="20"/>
        </w:rPr>
        <w:t xml:space="preserve">ei Nutzern </w:t>
      </w:r>
      <w:r w:rsidR="00814CEF">
        <w:rPr>
          <w:rFonts w:ascii="Source Sans Pro" w:hAnsi="Source Sans Pro" w:cs="Arial"/>
          <w:color w:val="auto"/>
          <w:sz w:val="22"/>
          <w:szCs w:val="20"/>
        </w:rPr>
        <w:t xml:space="preserve">und Investoren </w:t>
      </w:r>
      <w:r w:rsidR="004A64EE" w:rsidRPr="00445D87">
        <w:rPr>
          <w:rFonts w:ascii="Source Sans Pro" w:hAnsi="Source Sans Pro" w:cs="Arial"/>
          <w:color w:val="auto"/>
          <w:sz w:val="22"/>
          <w:szCs w:val="20"/>
        </w:rPr>
        <w:t>weiter</w:t>
      </w:r>
      <w:r w:rsidR="00965A06">
        <w:rPr>
          <w:rFonts w:ascii="Source Sans Pro" w:hAnsi="Source Sans Pro" w:cs="Arial"/>
          <w:color w:val="auto"/>
          <w:sz w:val="22"/>
          <w:szCs w:val="20"/>
        </w:rPr>
        <w:t>hin gefragt</w:t>
      </w:r>
      <w:r w:rsidR="004A64EE" w:rsidRPr="00445D87">
        <w:rPr>
          <w:rFonts w:ascii="Source Sans Pro" w:hAnsi="Source Sans Pro" w:cs="Arial"/>
          <w:color w:val="auto"/>
          <w:sz w:val="22"/>
          <w:szCs w:val="20"/>
        </w:rPr>
        <w:t xml:space="preserve"> – auch wenn </w:t>
      </w:r>
      <w:r w:rsidR="00445D87">
        <w:rPr>
          <w:rFonts w:ascii="Source Sans Pro" w:hAnsi="Source Sans Pro" w:cs="Arial"/>
          <w:sz w:val="22"/>
        </w:rPr>
        <w:t xml:space="preserve">das Umsatzgeschehen </w:t>
      </w:r>
      <w:r w:rsidR="0035006E">
        <w:rPr>
          <w:rFonts w:ascii="Source Sans Pro" w:hAnsi="Source Sans Pro" w:cs="Arial"/>
          <w:sz w:val="22"/>
        </w:rPr>
        <w:t xml:space="preserve">an den Top-7-Standorten </w:t>
      </w:r>
      <w:r w:rsidR="00445D87">
        <w:rPr>
          <w:rFonts w:ascii="Source Sans Pro" w:hAnsi="Source Sans Pro" w:cs="Arial"/>
          <w:sz w:val="22"/>
        </w:rPr>
        <w:t>i</w:t>
      </w:r>
      <w:r w:rsidR="00814CEF">
        <w:rPr>
          <w:rFonts w:ascii="Source Sans Pro" w:hAnsi="Source Sans Pro" w:cs="Arial"/>
          <w:sz w:val="22"/>
        </w:rPr>
        <w:t xml:space="preserve">m vergangenen Jahr aufgrund </w:t>
      </w:r>
      <w:r w:rsidR="00445D87">
        <w:rPr>
          <w:rFonts w:ascii="Source Sans Pro" w:hAnsi="Source Sans Pro" w:cs="Arial"/>
          <w:sz w:val="22"/>
        </w:rPr>
        <w:t>d</w:t>
      </w:r>
      <w:r w:rsidR="004A64EE" w:rsidRPr="00445D87">
        <w:rPr>
          <w:rFonts w:ascii="Source Sans Pro" w:hAnsi="Source Sans Pro" w:cs="Arial"/>
          <w:color w:val="auto"/>
          <w:sz w:val="22"/>
          <w:szCs w:val="20"/>
        </w:rPr>
        <w:t xml:space="preserve">es knappen Angebots </w:t>
      </w:r>
      <w:r w:rsidR="00814CEF">
        <w:rPr>
          <w:rFonts w:ascii="Source Sans Pro" w:hAnsi="Source Sans Pro" w:cs="Arial"/>
          <w:color w:val="auto"/>
          <w:sz w:val="22"/>
          <w:szCs w:val="20"/>
        </w:rPr>
        <w:t xml:space="preserve">und der Zinswende </w:t>
      </w:r>
      <w:r w:rsidR="00445D87">
        <w:rPr>
          <w:rFonts w:ascii="Source Sans Pro" w:hAnsi="Source Sans Pro" w:cs="Arial"/>
          <w:sz w:val="22"/>
        </w:rPr>
        <w:t>rückläufig war</w:t>
      </w:r>
      <w:r w:rsidR="004A64EE" w:rsidRPr="00445D87">
        <w:rPr>
          <w:rFonts w:ascii="Source Sans Pro" w:hAnsi="Source Sans Pro" w:cs="Arial"/>
          <w:color w:val="auto"/>
          <w:sz w:val="22"/>
          <w:szCs w:val="20"/>
        </w:rPr>
        <w:t>.</w:t>
      </w:r>
      <w:r w:rsidR="004A64EE">
        <w:rPr>
          <w:rFonts w:ascii="Source Sans Pro" w:hAnsi="Source Sans Pro" w:cs="Arial"/>
          <w:sz w:val="22"/>
        </w:rPr>
        <w:t xml:space="preserve"> </w:t>
      </w:r>
      <w:r w:rsidR="00814CEF">
        <w:rPr>
          <w:rFonts w:ascii="Source Sans Pro" w:hAnsi="Source Sans Pro" w:cs="Arial"/>
          <w:sz w:val="22"/>
        </w:rPr>
        <w:t xml:space="preserve">So ist </w:t>
      </w:r>
      <w:r w:rsidR="00AC696F" w:rsidRPr="00541CB3">
        <w:rPr>
          <w:rFonts w:ascii="Source Sans Pro" w:hAnsi="Source Sans Pro" w:cs="Arial"/>
          <w:color w:val="auto"/>
          <w:sz w:val="22"/>
          <w:szCs w:val="20"/>
        </w:rPr>
        <w:t xml:space="preserve">der Flächenumsatz auf dem Vermietungsmarkt </w:t>
      </w:r>
      <w:r w:rsidR="00587D0E" w:rsidRPr="00541CB3">
        <w:rPr>
          <w:rFonts w:ascii="Source Sans Pro" w:hAnsi="Source Sans Pro" w:cs="Arial"/>
          <w:color w:val="auto"/>
          <w:sz w:val="22"/>
          <w:szCs w:val="20"/>
        </w:rPr>
        <w:t xml:space="preserve">um durchschnittlich 19 % gegenüber dem </w:t>
      </w:r>
      <w:r w:rsidR="00587D0E">
        <w:rPr>
          <w:rFonts w:ascii="Source Sans Pro" w:hAnsi="Source Sans Pro" w:cs="Arial"/>
          <w:color w:val="auto"/>
          <w:sz w:val="22"/>
          <w:szCs w:val="20"/>
        </w:rPr>
        <w:t>Rekordergebnis des Vorjahres</w:t>
      </w:r>
      <w:r w:rsidR="00587D0E" w:rsidRPr="00541CB3">
        <w:rPr>
          <w:rFonts w:ascii="Source Sans Pro" w:hAnsi="Source Sans Pro" w:cs="Arial"/>
          <w:color w:val="auto"/>
          <w:sz w:val="22"/>
          <w:szCs w:val="20"/>
        </w:rPr>
        <w:t xml:space="preserve"> </w:t>
      </w:r>
      <w:r w:rsidR="00587D0E">
        <w:rPr>
          <w:rFonts w:ascii="Source Sans Pro" w:hAnsi="Source Sans Pro" w:cs="Arial"/>
          <w:color w:val="auto"/>
          <w:sz w:val="22"/>
          <w:szCs w:val="20"/>
        </w:rPr>
        <w:t>auf</w:t>
      </w:r>
      <w:r w:rsidR="00AC696F" w:rsidRPr="00541CB3">
        <w:rPr>
          <w:rFonts w:ascii="Source Sans Pro" w:hAnsi="Source Sans Pro" w:cs="Arial"/>
          <w:color w:val="auto"/>
          <w:sz w:val="22"/>
          <w:szCs w:val="20"/>
        </w:rPr>
        <w:t xml:space="preserve"> rund 2,8 Mio. m² </w:t>
      </w:r>
      <w:r w:rsidR="00727C84">
        <w:rPr>
          <w:rFonts w:ascii="Source Sans Pro" w:hAnsi="Source Sans Pro" w:cs="Arial"/>
          <w:color w:val="auto"/>
          <w:sz w:val="22"/>
          <w:szCs w:val="20"/>
        </w:rPr>
        <w:t>gesunk</w:t>
      </w:r>
      <w:r w:rsidR="00AC696F" w:rsidRPr="00541CB3">
        <w:rPr>
          <w:rFonts w:ascii="Source Sans Pro" w:hAnsi="Source Sans Pro" w:cs="Arial"/>
          <w:color w:val="auto"/>
          <w:sz w:val="22"/>
          <w:szCs w:val="20"/>
        </w:rPr>
        <w:t xml:space="preserve">en. </w:t>
      </w:r>
      <w:r w:rsidR="00344A02">
        <w:rPr>
          <w:rFonts w:ascii="Source Sans Pro" w:hAnsi="Source Sans Pro" w:cs="Arial"/>
          <w:color w:val="auto"/>
          <w:sz w:val="22"/>
          <w:szCs w:val="20"/>
        </w:rPr>
        <w:t>D</w:t>
      </w:r>
      <w:r w:rsidR="00814CEF">
        <w:rPr>
          <w:rFonts w:ascii="Source Sans Pro" w:hAnsi="Source Sans Pro" w:cs="Arial"/>
          <w:color w:val="auto"/>
          <w:sz w:val="22"/>
          <w:szCs w:val="20"/>
        </w:rPr>
        <w:t>as</w:t>
      </w:r>
      <w:r w:rsidR="00814CEF">
        <w:rPr>
          <w:rFonts w:ascii="Source Sans Pro" w:hAnsi="Source Sans Pro" w:cs="Arial"/>
          <w:sz w:val="22"/>
        </w:rPr>
        <w:t xml:space="preserve"> Top-7-</w:t>
      </w:r>
      <w:r w:rsidR="00814CEF" w:rsidRPr="00223D21">
        <w:rPr>
          <w:rFonts w:ascii="Source Sans Pro" w:hAnsi="Source Sans Pro" w:cs="Arial"/>
          <w:sz w:val="22"/>
        </w:rPr>
        <w:t xml:space="preserve">Transaktionsvolumen </w:t>
      </w:r>
      <w:r w:rsidR="00814CEF">
        <w:rPr>
          <w:rFonts w:ascii="Source Sans Pro" w:hAnsi="Source Sans Pro" w:cs="Arial"/>
          <w:sz w:val="22"/>
        </w:rPr>
        <w:t>für Industrie- und Logistikimmobilien lag bei rund</w:t>
      </w:r>
      <w:r w:rsidR="00814CEF" w:rsidRPr="00223D21">
        <w:rPr>
          <w:rFonts w:ascii="Source Sans Pro" w:hAnsi="Source Sans Pro" w:cs="Arial"/>
          <w:sz w:val="22"/>
        </w:rPr>
        <w:t xml:space="preserve"> 2,</w:t>
      </w:r>
      <w:r w:rsidR="00814CEF">
        <w:rPr>
          <w:rFonts w:ascii="Source Sans Pro" w:hAnsi="Source Sans Pro" w:cs="Arial"/>
          <w:sz w:val="22"/>
        </w:rPr>
        <w:t>29</w:t>
      </w:r>
      <w:r w:rsidR="00814CEF" w:rsidRPr="00223D21">
        <w:rPr>
          <w:rFonts w:ascii="Source Sans Pro" w:hAnsi="Source Sans Pro" w:cs="Arial"/>
          <w:sz w:val="22"/>
        </w:rPr>
        <w:t xml:space="preserve"> Mrd. € </w:t>
      </w:r>
      <w:r w:rsidR="00814CEF">
        <w:rPr>
          <w:rFonts w:ascii="Source Sans Pro" w:hAnsi="Source Sans Pro" w:cs="Arial"/>
          <w:sz w:val="22"/>
        </w:rPr>
        <w:t>und damit sowohl unter dem Vorjahresniveau (-18 %) als auch leicht unter dem Fünf-Jahres-Mittel (2,33 Mrd. €). T</w:t>
      </w:r>
      <w:r w:rsidR="004A64EE">
        <w:rPr>
          <w:rFonts w:ascii="Source Sans Pro" w:hAnsi="Source Sans Pro" w:cs="Arial"/>
          <w:sz w:val="22"/>
        </w:rPr>
        <w:t xml:space="preserve">rotzdem ist </w:t>
      </w:r>
      <w:r w:rsidR="004A64EE" w:rsidRPr="00E421EE">
        <w:rPr>
          <w:rFonts w:ascii="Source Sans Pro" w:hAnsi="Source Sans Pro" w:cs="Arial"/>
          <w:b/>
          <w:sz w:val="22"/>
        </w:rPr>
        <w:t>Andreas Rehberg</w:t>
      </w:r>
      <w:r w:rsidR="004A64EE" w:rsidRPr="00B9058F">
        <w:rPr>
          <w:rFonts w:ascii="Source Sans Pro" w:hAnsi="Source Sans Pro" w:cs="Arial"/>
          <w:sz w:val="22"/>
        </w:rPr>
        <w:t xml:space="preserve">, Sprecher </w:t>
      </w:r>
      <w:r w:rsidR="004A64EE">
        <w:rPr>
          <w:rFonts w:ascii="Source Sans Pro" w:hAnsi="Source Sans Pro" w:cs="Arial"/>
          <w:sz w:val="22"/>
        </w:rPr>
        <w:t>des Gewerbeimmobiliennetzwerkes</w:t>
      </w:r>
      <w:r w:rsidR="004A64EE" w:rsidRPr="00B9058F">
        <w:rPr>
          <w:rFonts w:ascii="Source Sans Pro" w:hAnsi="Source Sans Pro" w:cs="Arial"/>
          <w:sz w:val="22"/>
        </w:rPr>
        <w:t xml:space="preserve"> </w:t>
      </w:r>
      <w:r w:rsidR="004A64EE">
        <w:rPr>
          <w:rFonts w:ascii="Source Sans Pro" w:hAnsi="Source Sans Pro" w:cs="Arial"/>
          <w:sz w:val="22"/>
        </w:rPr>
        <w:t xml:space="preserve">German Property Partners (GPP), überzeugt: </w:t>
      </w:r>
      <w:r w:rsidR="004A64EE" w:rsidRPr="00962CFF">
        <w:rPr>
          <w:rFonts w:ascii="Source Sans Pro" w:hAnsi="Source Sans Pro" w:cs="Arial"/>
          <w:i/>
          <w:sz w:val="22"/>
        </w:rPr>
        <w:t>„</w:t>
      </w:r>
      <w:r w:rsidRPr="00962CFF">
        <w:rPr>
          <w:rFonts w:ascii="Source Sans Pro" w:hAnsi="Source Sans Pro" w:cs="Arial"/>
          <w:i/>
          <w:sz w:val="22"/>
        </w:rPr>
        <w:t xml:space="preserve">Aufgrund von </w:t>
      </w:r>
      <w:r w:rsidR="004A64EE" w:rsidRPr="00962CFF">
        <w:rPr>
          <w:rFonts w:ascii="Source Sans Pro" w:hAnsi="Source Sans Pro" w:cs="Arial"/>
          <w:i/>
          <w:sz w:val="22"/>
        </w:rPr>
        <w:t>Nachfrageüberhang</w:t>
      </w:r>
      <w:r w:rsidR="00445D87" w:rsidRPr="00962CFF">
        <w:rPr>
          <w:rFonts w:ascii="Source Sans Pro" w:hAnsi="Source Sans Pro" w:cs="Arial"/>
          <w:i/>
          <w:sz w:val="22"/>
        </w:rPr>
        <w:t xml:space="preserve"> </w:t>
      </w:r>
      <w:r w:rsidR="004A64EE" w:rsidRPr="00962CFF">
        <w:rPr>
          <w:rFonts w:ascii="Source Sans Pro" w:hAnsi="Source Sans Pro" w:cs="Arial"/>
          <w:i/>
          <w:sz w:val="22"/>
        </w:rPr>
        <w:t>und steigende</w:t>
      </w:r>
      <w:r w:rsidRPr="00962CFF">
        <w:rPr>
          <w:rFonts w:ascii="Source Sans Pro" w:hAnsi="Source Sans Pro" w:cs="Arial"/>
          <w:i/>
          <w:sz w:val="22"/>
        </w:rPr>
        <w:t>n</w:t>
      </w:r>
      <w:r w:rsidR="004A64EE" w:rsidRPr="00962CFF">
        <w:rPr>
          <w:rFonts w:ascii="Source Sans Pro" w:hAnsi="Source Sans Pro" w:cs="Arial"/>
          <w:i/>
          <w:sz w:val="22"/>
        </w:rPr>
        <w:t xml:space="preserve"> Mieten </w:t>
      </w:r>
      <w:r w:rsidRPr="00962CFF">
        <w:rPr>
          <w:rFonts w:ascii="Source Sans Pro" w:hAnsi="Source Sans Pro" w:cs="Arial"/>
          <w:i/>
          <w:sz w:val="22"/>
        </w:rPr>
        <w:t xml:space="preserve">ist </w:t>
      </w:r>
      <w:r w:rsidR="006862FF" w:rsidRPr="00962CFF">
        <w:rPr>
          <w:rFonts w:ascii="Source Sans Pro" w:hAnsi="Source Sans Pro" w:cs="Arial"/>
          <w:i/>
          <w:sz w:val="22"/>
        </w:rPr>
        <w:t>die Assetklasse</w:t>
      </w:r>
      <w:r w:rsidR="004A64EE" w:rsidRPr="00962CFF">
        <w:rPr>
          <w:rFonts w:ascii="Source Sans Pro" w:hAnsi="Source Sans Pro" w:cs="Arial"/>
          <w:i/>
          <w:sz w:val="22"/>
        </w:rPr>
        <w:t xml:space="preserve"> der Industrie- und Logistikimmobilien weiterhin </w:t>
      </w:r>
      <w:r w:rsidRPr="00962CFF">
        <w:rPr>
          <w:rFonts w:ascii="Source Sans Pro" w:hAnsi="Source Sans Pro" w:cs="Arial"/>
          <w:i/>
          <w:sz w:val="22"/>
        </w:rPr>
        <w:t xml:space="preserve">äußerst </w:t>
      </w:r>
      <w:r w:rsidR="004A64EE" w:rsidRPr="00962CFF">
        <w:rPr>
          <w:rFonts w:ascii="Source Sans Pro" w:hAnsi="Source Sans Pro" w:cs="Arial"/>
          <w:i/>
          <w:sz w:val="22"/>
        </w:rPr>
        <w:t>attraktiv.“</w:t>
      </w:r>
      <w:r w:rsidR="00445D87">
        <w:rPr>
          <w:rFonts w:ascii="Source Sans Pro" w:hAnsi="Source Sans Pro" w:cs="Arial"/>
          <w:i/>
          <w:sz w:val="22"/>
        </w:rPr>
        <w:t xml:space="preserve"> </w:t>
      </w:r>
    </w:p>
    <w:p w14:paraId="582ECE15" w14:textId="77777777" w:rsidR="007959C9" w:rsidRDefault="007959C9" w:rsidP="0023708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i/>
          <w:sz w:val="22"/>
        </w:rPr>
      </w:pPr>
    </w:p>
    <w:p w14:paraId="0E01F861" w14:textId="3BB6357D" w:rsidR="006C7D7B" w:rsidRPr="007959C9" w:rsidRDefault="00B04493" w:rsidP="0023708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sz w:val="22"/>
        </w:rPr>
      </w:pPr>
      <w:r>
        <w:rPr>
          <w:rFonts w:ascii="Source Sans Pro" w:hAnsi="Source Sans Pro" w:cs="Arial"/>
          <w:sz w:val="22"/>
        </w:rPr>
        <w:t>Zu dem Maklerverbund</w:t>
      </w:r>
      <w:r w:rsidR="006C7D7B" w:rsidRPr="00B9058F">
        <w:rPr>
          <w:rFonts w:ascii="Source Sans Pro" w:hAnsi="Source Sans Pro" w:cs="Arial"/>
          <w:sz w:val="22"/>
        </w:rPr>
        <w:t xml:space="preserve"> gehören Grossmann &amp; Berger, Anteon Immobilien, GREIF &amp; CONTZEN Immobilien, blackolive und E &amp; G Real Estate.</w:t>
      </w:r>
      <w:r w:rsidR="006C7D7B">
        <w:rPr>
          <w:rFonts w:ascii="Source Sans Pro" w:hAnsi="Source Sans Pro" w:cs="Arial"/>
          <w:sz w:val="22"/>
        </w:rPr>
        <w:t xml:space="preserve"> </w:t>
      </w:r>
    </w:p>
    <w:p w14:paraId="7CA25D8D" w14:textId="77777777" w:rsidR="006C7D7B" w:rsidRDefault="006C7D7B" w:rsidP="00237082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Arial"/>
          <w:sz w:val="22"/>
        </w:rPr>
      </w:pPr>
    </w:p>
    <w:p w14:paraId="7CFA9DAB" w14:textId="77777777" w:rsidR="004D467B" w:rsidRDefault="004D467B" w:rsidP="0023708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VERMIETUNGSMARKT: MANGELFAKTOR FLÄCHENANGEBOT</w:t>
      </w:r>
    </w:p>
    <w:p w14:paraId="357FAD4C" w14:textId="25FBB61E" w:rsidR="004D467B" w:rsidRDefault="004D467B" w:rsidP="00237082">
      <w:pPr>
        <w:overflowPunct/>
        <w:autoSpaceDE/>
        <w:autoSpaceDN/>
        <w:adjustRightInd/>
        <w:jc w:val="both"/>
        <w:textAlignment w:val="auto"/>
        <w:rPr>
          <w:rFonts w:ascii="Source Sans Pro" w:hAnsi="Source Sans Pro" w:cs="Arial"/>
          <w:sz w:val="22"/>
        </w:rPr>
      </w:pPr>
      <w:r w:rsidRPr="00BA7136">
        <w:rPr>
          <w:rFonts w:ascii="Source Sans Pro" w:hAnsi="Source Sans Pro" w:cs="Arial"/>
          <w:sz w:val="22"/>
        </w:rPr>
        <w:t>Der Angebotsmangel dominierte das Umsatzgeschehen auf dem Vermietungsmarkt.</w:t>
      </w:r>
      <w:r>
        <w:rPr>
          <w:rFonts w:ascii="Source Sans Pro" w:hAnsi="Source Sans Pro" w:cs="Arial"/>
          <w:sz w:val="22"/>
        </w:rPr>
        <w:t xml:space="preserve"> Lediglich Berlin (+24 %) und Stuttgart (+2 %) konnten den Flächenumsatz des Vorjahres übertreffen. Das Top-7-Ergebnis </w:t>
      </w:r>
      <w:r w:rsidR="0020665D">
        <w:rPr>
          <w:rFonts w:ascii="Source Sans Pro" w:hAnsi="Source Sans Pro" w:cs="Arial"/>
          <w:sz w:val="22"/>
        </w:rPr>
        <w:t>(</w:t>
      </w:r>
      <w:r>
        <w:rPr>
          <w:rFonts w:ascii="Source Sans Pro" w:hAnsi="Source Sans Pro" w:cs="Arial"/>
          <w:sz w:val="22"/>
        </w:rPr>
        <w:t>2,79 Mio</w:t>
      </w:r>
      <w:r w:rsidR="0020665D">
        <w:rPr>
          <w:rFonts w:ascii="Source Sans Pro" w:hAnsi="Source Sans Pro" w:cs="Arial"/>
          <w:sz w:val="22"/>
        </w:rPr>
        <w:t>.</w:t>
      </w:r>
      <w:r>
        <w:rPr>
          <w:rFonts w:ascii="Source Sans Pro" w:hAnsi="Source Sans Pro" w:cs="Arial"/>
          <w:sz w:val="22"/>
        </w:rPr>
        <w:t xml:space="preserve"> m²</w:t>
      </w:r>
      <w:r w:rsidR="0020665D">
        <w:rPr>
          <w:rFonts w:ascii="Source Sans Pro" w:hAnsi="Source Sans Pro" w:cs="Arial"/>
          <w:sz w:val="22"/>
        </w:rPr>
        <w:t>)</w:t>
      </w:r>
      <w:r>
        <w:rPr>
          <w:rFonts w:ascii="Source Sans Pro" w:hAnsi="Source Sans Pro" w:cs="Arial"/>
          <w:sz w:val="22"/>
        </w:rPr>
        <w:t xml:space="preserve"> entspricht dennoch in etwa dem Fünf-Jahres-Mittel (2,73 Mio. m²). Der flächendeckend niedrige Leerstand ließ die Spitzenmieten weiter steigen: </w:t>
      </w:r>
      <w:r w:rsidRPr="00541CB3">
        <w:rPr>
          <w:rFonts w:ascii="Source Sans Pro" w:hAnsi="Source Sans Pro" w:cs="Arial"/>
          <w:sz w:val="22"/>
        </w:rPr>
        <w:t>Köln,</w:t>
      </w:r>
      <w:r>
        <w:rPr>
          <w:rFonts w:ascii="Source Sans Pro" w:hAnsi="Source Sans Pro" w:cs="Arial"/>
          <w:sz w:val="22"/>
        </w:rPr>
        <w:t xml:space="preserve"> </w:t>
      </w:r>
      <w:r w:rsidRPr="00541CB3">
        <w:rPr>
          <w:rFonts w:ascii="Source Sans Pro" w:hAnsi="Source Sans Pro" w:cs="Arial"/>
          <w:sz w:val="22"/>
        </w:rPr>
        <w:t>Hamburg, Düss</w:t>
      </w:r>
      <w:r>
        <w:rPr>
          <w:rFonts w:ascii="Source Sans Pro" w:hAnsi="Source Sans Pro" w:cs="Arial"/>
          <w:sz w:val="22"/>
        </w:rPr>
        <w:t xml:space="preserve">eldorf und Stuttgart erreichten </w:t>
      </w:r>
      <w:r w:rsidRPr="00541CB3">
        <w:rPr>
          <w:rFonts w:ascii="Source Sans Pro" w:hAnsi="Source Sans Pro" w:cs="Arial"/>
          <w:sz w:val="22"/>
        </w:rPr>
        <w:t>Zuwachsraten von 14 % bis 34 %.</w:t>
      </w:r>
      <w:r>
        <w:rPr>
          <w:rFonts w:ascii="Source Sans Pro" w:hAnsi="Source Sans Pro" w:cs="Arial"/>
          <w:sz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 xml:space="preserve">Dennoch </w:t>
      </w:r>
      <w:r w:rsidR="002963F4">
        <w:rPr>
          <w:rFonts w:ascii="Source Sans Pro" w:hAnsi="Source Sans Pro" w:cs="Source Sans Pro"/>
          <w:sz w:val="22"/>
          <w:szCs w:val="22"/>
        </w:rPr>
        <w:t>blieb</w:t>
      </w:r>
      <w:r>
        <w:rPr>
          <w:rFonts w:ascii="Source Sans Pro" w:hAnsi="Source Sans Pro" w:cs="Source Sans Pro"/>
          <w:sz w:val="22"/>
          <w:szCs w:val="22"/>
        </w:rPr>
        <w:t xml:space="preserve"> München mit 8,60 </w:t>
      </w:r>
      <w:r w:rsidRPr="0081355B">
        <w:rPr>
          <w:rFonts w:ascii="Source Sans Pro" w:hAnsi="Source Sans Pro" w:cs="Source Sans Pro"/>
          <w:sz w:val="22"/>
          <w:szCs w:val="22"/>
        </w:rPr>
        <w:t>€/m²/Monat</w:t>
      </w:r>
      <w:r>
        <w:rPr>
          <w:rFonts w:ascii="Source Sans Pro" w:hAnsi="Source Sans Pro" w:cs="Source Sans Pro"/>
          <w:sz w:val="22"/>
          <w:szCs w:val="22"/>
        </w:rPr>
        <w:t xml:space="preserve"> im Stadtgebiet der Spitzenreiter unter den Top-7. </w:t>
      </w:r>
      <w:r>
        <w:rPr>
          <w:rFonts w:ascii="Source Sans Pro" w:hAnsi="Source Sans Pro" w:cs="Arial"/>
          <w:sz w:val="22"/>
        </w:rPr>
        <w:t xml:space="preserve"> Auch perspektivisch könnten d</w:t>
      </w:r>
      <w:r w:rsidRPr="00B04493">
        <w:rPr>
          <w:rFonts w:ascii="Source Sans Pro" w:hAnsi="Source Sans Pro" w:cs="Arial"/>
          <w:sz w:val="22"/>
        </w:rPr>
        <w:t xml:space="preserve">as geringe Flächenangebot und die hohen Baukosten </w:t>
      </w:r>
      <w:r>
        <w:rPr>
          <w:rFonts w:ascii="Source Sans Pro" w:hAnsi="Source Sans Pro" w:cs="Arial"/>
          <w:sz w:val="22"/>
        </w:rPr>
        <w:t>an einigen Standorten</w:t>
      </w:r>
      <w:r w:rsidRPr="00B04493">
        <w:rPr>
          <w:rFonts w:ascii="Source Sans Pro" w:hAnsi="Source Sans Pro" w:cs="Arial"/>
          <w:sz w:val="22"/>
        </w:rPr>
        <w:t xml:space="preserve"> zu weiteren Mietpreiserhöhungen führen.</w:t>
      </w:r>
      <w:r>
        <w:rPr>
          <w:rFonts w:ascii="Source Sans Pro" w:hAnsi="Source Sans Pro" w:cs="Arial"/>
          <w:sz w:val="22"/>
        </w:rPr>
        <w:t xml:space="preserve"> </w:t>
      </w:r>
    </w:p>
    <w:p w14:paraId="7E27FFF7" w14:textId="77777777" w:rsidR="004D467B" w:rsidRDefault="004D467B" w:rsidP="00237082">
      <w:pPr>
        <w:overflowPunct/>
        <w:autoSpaceDE/>
        <w:autoSpaceDN/>
        <w:adjustRightInd/>
        <w:jc w:val="both"/>
        <w:textAlignment w:val="auto"/>
        <w:rPr>
          <w:rFonts w:ascii="Source Sans Pro" w:hAnsi="Source Sans Pro" w:cs="Arial"/>
          <w:sz w:val="22"/>
        </w:rPr>
      </w:pPr>
    </w:p>
    <w:p w14:paraId="5F93B23F" w14:textId="77777777" w:rsidR="004D467B" w:rsidRPr="00142E6E" w:rsidRDefault="004D467B" w:rsidP="00237082">
      <w:pPr>
        <w:overflowPunct/>
        <w:autoSpaceDE/>
        <w:autoSpaceDN/>
        <w:adjustRightInd/>
        <w:jc w:val="both"/>
        <w:textAlignment w:val="auto"/>
        <w:rPr>
          <w:rFonts w:ascii="Source Sans Pro" w:hAnsi="Source Sans Pro" w:cs="Source Sans Pro"/>
          <w:caps/>
          <w:color w:val="0086A8"/>
          <w:sz w:val="22"/>
          <w:szCs w:val="22"/>
        </w:rPr>
      </w:pPr>
      <w:r w:rsidRPr="00142E6E">
        <w:rPr>
          <w:rFonts w:ascii="Source Sans Pro" w:hAnsi="Source Sans Pro" w:cs="Source Sans Pro"/>
          <w:caps/>
          <w:color w:val="0086A8"/>
          <w:sz w:val="22"/>
          <w:szCs w:val="22"/>
        </w:rPr>
        <w:t>NACHFRAGE AUCH PERSPEKTIVISCH ÜBER ANGEBOT</w:t>
      </w:r>
    </w:p>
    <w:p w14:paraId="4029FD1E" w14:textId="0EB5A410" w:rsidR="004D467B" w:rsidRPr="00B04493" w:rsidRDefault="001C13A8" w:rsidP="00237082">
      <w:pPr>
        <w:overflowPunct/>
        <w:autoSpaceDE/>
        <w:autoSpaceDN/>
        <w:adjustRightInd/>
        <w:jc w:val="both"/>
        <w:textAlignment w:val="auto"/>
        <w:rPr>
          <w:rFonts w:ascii="Source Sans Pro" w:hAnsi="Source Sans Pro" w:cs="Arial"/>
          <w:sz w:val="22"/>
        </w:rPr>
      </w:pPr>
      <w:r w:rsidRPr="00AC696F">
        <w:rPr>
          <w:rFonts w:ascii="Source Sans Pro" w:hAnsi="Source Sans Pro" w:cs="Arial"/>
          <w:b/>
          <w:sz w:val="22"/>
        </w:rPr>
        <w:t>Rehberg:</w:t>
      </w:r>
      <w:r>
        <w:rPr>
          <w:rFonts w:ascii="Source Sans Pro" w:hAnsi="Source Sans Pro" w:cs="Arial"/>
          <w:b/>
          <w:sz w:val="22"/>
        </w:rPr>
        <w:t xml:space="preserve"> </w:t>
      </w:r>
      <w:r w:rsidRPr="001C13A8">
        <w:rPr>
          <w:rFonts w:ascii="Source Sans Pro" w:hAnsi="Source Sans Pro" w:cs="Arial"/>
          <w:b/>
          <w:i/>
          <w:sz w:val="22"/>
        </w:rPr>
        <w:t>„</w:t>
      </w:r>
      <w:r w:rsidR="004D467B" w:rsidRPr="001C13A8">
        <w:rPr>
          <w:rFonts w:ascii="Source Sans Pro" w:hAnsi="Source Sans Pro" w:cs="Arial"/>
          <w:i/>
          <w:sz w:val="22"/>
        </w:rPr>
        <w:t xml:space="preserve">Das Jahr </w:t>
      </w:r>
      <w:r w:rsidRPr="001C13A8">
        <w:rPr>
          <w:rFonts w:ascii="Source Sans Pro" w:hAnsi="Source Sans Pro" w:cs="Arial"/>
          <w:i/>
          <w:sz w:val="22"/>
        </w:rPr>
        <w:t xml:space="preserve">hat </w:t>
      </w:r>
      <w:r w:rsidR="004D467B" w:rsidRPr="001C13A8">
        <w:rPr>
          <w:rFonts w:ascii="Source Sans Pro" w:hAnsi="Source Sans Pro" w:cs="Arial"/>
          <w:i/>
          <w:sz w:val="22"/>
        </w:rPr>
        <w:t>in mehreren Märkten mit einer guten Flächennachfrage begonnen.</w:t>
      </w:r>
      <w:r>
        <w:rPr>
          <w:rFonts w:ascii="Source Sans Pro" w:hAnsi="Source Sans Pro" w:cs="Arial"/>
          <w:i/>
          <w:sz w:val="22"/>
        </w:rPr>
        <w:t xml:space="preserve"> </w:t>
      </w:r>
      <w:r w:rsidR="004D467B" w:rsidRPr="001C13A8">
        <w:rPr>
          <w:rFonts w:ascii="Source Sans Pro" w:hAnsi="Source Sans Pro" w:cs="Arial"/>
          <w:i/>
          <w:sz w:val="22"/>
        </w:rPr>
        <w:t>Konjunkturelle Unsicherheiten und das limitierte Flächenangebot dämpfen zwar das</w:t>
      </w:r>
      <w:r w:rsidR="004D467B" w:rsidRPr="00B04493">
        <w:rPr>
          <w:rFonts w:ascii="Source Sans Pro" w:hAnsi="Source Sans Pro" w:cs="Arial"/>
          <w:i/>
          <w:sz w:val="22"/>
        </w:rPr>
        <w:t xml:space="preserve"> </w:t>
      </w:r>
      <w:r w:rsidR="004D467B" w:rsidRPr="00B04493">
        <w:rPr>
          <w:rFonts w:ascii="Source Sans Pro" w:hAnsi="Source Sans Pro" w:cs="Arial"/>
          <w:i/>
          <w:sz w:val="22"/>
        </w:rPr>
        <w:lastRenderedPageBreak/>
        <w:t>Flächen</w:t>
      </w:r>
      <w:r w:rsidR="004D467B">
        <w:rPr>
          <w:rFonts w:ascii="Source Sans Pro" w:hAnsi="Source Sans Pro" w:cs="Arial"/>
          <w:i/>
          <w:sz w:val="22"/>
        </w:rPr>
        <w:t>u</w:t>
      </w:r>
      <w:r w:rsidR="004D467B" w:rsidRPr="00B04493">
        <w:rPr>
          <w:rFonts w:ascii="Source Sans Pro" w:hAnsi="Source Sans Pro" w:cs="Arial"/>
          <w:i/>
          <w:sz w:val="22"/>
        </w:rPr>
        <w:t>msatzpotenzial</w:t>
      </w:r>
      <w:r w:rsidR="00F479B2">
        <w:rPr>
          <w:rFonts w:ascii="Source Sans Pro" w:hAnsi="Source Sans Pro" w:cs="Arial"/>
          <w:i/>
          <w:sz w:val="22"/>
        </w:rPr>
        <w:t>,</w:t>
      </w:r>
      <w:r w:rsidR="004D467B" w:rsidRPr="00B04493">
        <w:rPr>
          <w:rFonts w:ascii="Source Sans Pro" w:hAnsi="Source Sans Pro" w:cs="Arial"/>
          <w:i/>
          <w:sz w:val="22"/>
        </w:rPr>
        <w:t xml:space="preserve"> </w:t>
      </w:r>
      <w:r w:rsidR="00F479B2">
        <w:rPr>
          <w:rFonts w:ascii="Source Sans Pro" w:hAnsi="Source Sans Pro" w:cs="Arial"/>
          <w:i/>
          <w:sz w:val="22"/>
        </w:rPr>
        <w:t>i</w:t>
      </w:r>
      <w:r w:rsidR="004D467B" w:rsidRPr="00B04493">
        <w:rPr>
          <w:rFonts w:ascii="Source Sans Pro" w:hAnsi="Source Sans Pro" w:cs="Arial"/>
          <w:i/>
          <w:sz w:val="22"/>
        </w:rPr>
        <w:t>nsgesamt </w:t>
      </w:r>
      <w:r w:rsidR="004D467B">
        <w:rPr>
          <w:rFonts w:ascii="Source Sans Pro" w:hAnsi="Source Sans Pro" w:cs="Arial"/>
          <w:i/>
          <w:sz w:val="22"/>
        </w:rPr>
        <w:t>dürfte dies aber ohne weitreichende Folgen für</w:t>
      </w:r>
      <w:r w:rsidR="004D467B" w:rsidRPr="00B04493">
        <w:rPr>
          <w:rFonts w:ascii="Source Sans Pro" w:hAnsi="Source Sans Pro" w:cs="Arial"/>
          <w:i/>
          <w:sz w:val="22"/>
        </w:rPr>
        <w:t xml:space="preserve"> den Industrie- und Logistikmarkt </w:t>
      </w:r>
      <w:r w:rsidR="004D467B">
        <w:rPr>
          <w:rFonts w:ascii="Source Sans Pro" w:hAnsi="Source Sans Pro" w:cs="Arial"/>
          <w:i/>
          <w:sz w:val="22"/>
        </w:rPr>
        <w:t>bleiben</w:t>
      </w:r>
      <w:r w:rsidR="004D467B" w:rsidRPr="00B04493">
        <w:rPr>
          <w:rFonts w:ascii="Source Sans Pro" w:hAnsi="Source Sans Pro" w:cs="Arial"/>
          <w:i/>
          <w:sz w:val="22"/>
        </w:rPr>
        <w:t>.</w:t>
      </w:r>
      <w:r w:rsidR="004D467B" w:rsidRPr="00AC696F">
        <w:rPr>
          <w:rFonts w:ascii="Source Sans Pro" w:hAnsi="Source Sans Pro" w:cs="Arial"/>
          <w:i/>
          <w:sz w:val="22"/>
        </w:rPr>
        <w:t>“</w:t>
      </w:r>
      <w:r w:rsidR="004D467B" w:rsidRPr="00B04493">
        <w:rPr>
          <w:rFonts w:ascii="Source Sans Pro" w:hAnsi="Source Sans Pro" w:cs="Arial"/>
          <w:sz w:val="22"/>
        </w:rPr>
        <w:t xml:space="preserve"> Der Konjunkturrückgang wird den Prognosen zufolge nur moderat ausfallen und eine Erholung ist für die zweite Jahreshälfte </w:t>
      </w:r>
      <w:r w:rsidR="004D467B">
        <w:rPr>
          <w:rFonts w:ascii="Source Sans Pro" w:hAnsi="Source Sans Pro" w:cs="Arial"/>
          <w:sz w:val="22"/>
        </w:rPr>
        <w:t>zu erwarten</w:t>
      </w:r>
      <w:r w:rsidR="004D467B" w:rsidRPr="00B04493">
        <w:rPr>
          <w:rFonts w:ascii="Source Sans Pro" w:hAnsi="Source Sans Pro" w:cs="Arial"/>
          <w:sz w:val="22"/>
        </w:rPr>
        <w:t>.</w:t>
      </w:r>
      <w:r w:rsidR="004D467B">
        <w:rPr>
          <w:rFonts w:ascii="Source Sans Pro" w:hAnsi="Source Sans Pro" w:cs="Arial"/>
          <w:sz w:val="22"/>
        </w:rPr>
        <w:t xml:space="preserve"> </w:t>
      </w:r>
      <w:r w:rsidR="004D467B" w:rsidRPr="00B04493">
        <w:rPr>
          <w:rFonts w:ascii="Source Sans Pro" w:hAnsi="Source Sans Pro" w:cs="Arial"/>
          <w:sz w:val="22"/>
        </w:rPr>
        <w:t>Risikofaktoren wie die weitere Entwicklung im Ukraine-Krieg, die Inflation und die Versorgungslage bei Energie, Rohstoffen und Baumaterialien bestehen aber fort.</w:t>
      </w:r>
      <w:r w:rsidR="004D467B">
        <w:rPr>
          <w:rFonts w:ascii="Source Sans Pro" w:hAnsi="Source Sans Pro" w:cs="Arial"/>
          <w:sz w:val="22"/>
        </w:rPr>
        <w:t xml:space="preserve"> </w:t>
      </w:r>
    </w:p>
    <w:p w14:paraId="685AC313" w14:textId="77777777" w:rsidR="004D467B" w:rsidRDefault="004D467B" w:rsidP="00237082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Arial"/>
          <w:sz w:val="22"/>
        </w:rPr>
      </w:pPr>
    </w:p>
    <w:p w14:paraId="0389D32E" w14:textId="08540A70" w:rsidR="006C7D7B" w:rsidRDefault="00F925D8" w:rsidP="0023708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ZINSWENDE</w:t>
      </w:r>
      <w:r w:rsidR="00E56D2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BREMST INVESTMENTMARKT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  <w:r w:rsidR="0026668A">
        <w:rPr>
          <w:rFonts w:ascii="Source Sans Pro" w:hAnsi="Source Sans Pro" w:cs="Source Sans Pro"/>
          <w:caps/>
          <w:color w:val="0086A8"/>
          <w:sz w:val="22"/>
          <w:szCs w:val="22"/>
        </w:rPr>
        <w:t>FÜR INDUSTRIE- UND LOGISTIKIMMOBILIEN</w:t>
      </w:r>
    </w:p>
    <w:p w14:paraId="62FBA5F7" w14:textId="77777777" w:rsidR="003F2300" w:rsidRDefault="00962CFF" w:rsidP="00237082">
      <w:pPr>
        <w:overflowPunct/>
        <w:autoSpaceDE/>
        <w:autoSpaceDN/>
        <w:adjustRightInd/>
        <w:jc w:val="both"/>
        <w:textAlignment w:val="auto"/>
        <w:rPr>
          <w:rFonts w:ascii="Source Sans Pro" w:hAnsi="Source Sans Pro" w:cs="Arial"/>
          <w:i/>
          <w:sz w:val="22"/>
        </w:rPr>
      </w:pPr>
      <w:r w:rsidRPr="00962CFF">
        <w:rPr>
          <w:rFonts w:ascii="Source Sans Pro" w:hAnsi="Source Sans Pro" w:cs="Arial"/>
          <w:sz w:val="22"/>
        </w:rPr>
        <w:t xml:space="preserve">Viele Investoren wechselten </w:t>
      </w:r>
      <w:r w:rsidR="00727C84">
        <w:rPr>
          <w:rFonts w:ascii="Source Sans Pro" w:hAnsi="Source Sans Pro" w:cs="Arial"/>
          <w:sz w:val="22"/>
        </w:rPr>
        <w:t xml:space="preserve">im vergangenen Jahr </w:t>
      </w:r>
      <w:r w:rsidRPr="00962CFF">
        <w:rPr>
          <w:rFonts w:ascii="Source Sans Pro" w:hAnsi="Source Sans Pro" w:cs="Arial"/>
          <w:sz w:val="22"/>
        </w:rPr>
        <w:t xml:space="preserve">aufgrund der massiv verschlechterten Finanzierungskonditionen in eine beobachtende Haltung. </w:t>
      </w:r>
      <w:r w:rsidR="00727C84" w:rsidRPr="00B04493">
        <w:rPr>
          <w:rFonts w:ascii="Source Sans Pro" w:hAnsi="Source Sans Pro" w:cs="Arial"/>
          <w:sz w:val="22"/>
        </w:rPr>
        <w:t xml:space="preserve">Die Kaufpreiserwartungen von Verkäufern und Käufern liefen auseinander, </w:t>
      </w:r>
      <w:r w:rsidR="00727C84">
        <w:rPr>
          <w:rFonts w:ascii="Source Sans Pro" w:hAnsi="Source Sans Pro" w:cs="Arial"/>
          <w:sz w:val="22"/>
        </w:rPr>
        <w:t xml:space="preserve">einige </w:t>
      </w:r>
      <w:r w:rsidR="00727C84" w:rsidRPr="00B04493">
        <w:rPr>
          <w:rFonts w:ascii="Source Sans Pro" w:hAnsi="Source Sans Pro" w:cs="Arial"/>
          <w:sz w:val="22"/>
        </w:rPr>
        <w:t>Transaktionen wurden abgebrochen.</w:t>
      </w:r>
      <w:r w:rsidR="00727C84">
        <w:rPr>
          <w:rFonts w:ascii="Source Sans Pro" w:hAnsi="Source Sans Pro" w:cs="Arial"/>
          <w:sz w:val="22"/>
        </w:rPr>
        <w:t xml:space="preserve"> </w:t>
      </w:r>
      <w:r w:rsidR="000373BE">
        <w:rPr>
          <w:rFonts w:ascii="Source Sans Pro" w:hAnsi="Source Sans Pro" w:cs="Arial"/>
          <w:sz w:val="22"/>
        </w:rPr>
        <w:t>Die Zurückhaltung spiegelt sich auch im Transaktionsvolumen wider. Mit Ausnahme von Köln und Frankfurt ver</w:t>
      </w:r>
      <w:r w:rsidR="005E4A59">
        <w:rPr>
          <w:rFonts w:ascii="Source Sans Pro" w:hAnsi="Source Sans Pro" w:cs="Arial"/>
          <w:sz w:val="22"/>
        </w:rPr>
        <w:t>zeichnet</w:t>
      </w:r>
      <w:r w:rsidR="000373BE">
        <w:rPr>
          <w:rFonts w:ascii="Source Sans Pro" w:hAnsi="Source Sans Pro" w:cs="Arial"/>
          <w:sz w:val="22"/>
        </w:rPr>
        <w:t xml:space="preserve">en </w:t>
      </w:r>
      <w:r w:rsidR="005E4A59">
        <w:rPr>
          <w:rFonts w:ascii="Source Sans Pro" w:hAnsi="Source Sans Pro" w:cs="Arial"/>
          <w:sz w:val="22"/>
        </w:rPr>
        <w:t>die</w:t>
      </w:r>
      <w:r w:rsidR="000373BE">
        <w:rPr>
          <w:rFonts w:ascii="Source Sans Pro" w:hAnsi="Source Sans Pro" w:cs="Arial"/>
          <w:sz w:val="22"/>
        </w:rPr>
        <w:t xml:space="preserve"> Top-7-Standorte deutliche Umsatzrückgänge gegenüber dem Vorjahr. </w:t>
      </w:r>
      <w:r w:rsidR="00727C84" w:rsidRPr="00727C84">
        <w:rPr>
          <w:rFonts w:ascii="Source Sans Pro" w:hAnsi="Source Sans Pro" w:cs="Arial"/>
          <w:b/>
          <w:sz w:val="22"/>
        </w:rPr>
        <w:t>Rehberg</w:t>
      </w:r>
      <w:r w:rsidR="00727C84">
        <w:rPr>
          <w:rFonts w:ascii="Source Sans Pro" w:hAnsi="Source Sans Pro" w:cs="Arial"/>
          <w:sz w:val="22"/>
        </w:rPr>
        <w:t xml:space="preserve">: </w:t>
      </w:r>
      <w:r w:rsidRPr="00962CFF">
        <w:rPr>
          <w:rFonts w:ascii="Source Sans Pro" w:hAnsi="Source Sans Pro" w:cs="Arial"/>
          <w:i/>
          <w:sz w:val="22"/>
        </w:rPr>
        <w:t>„</w:t>
      </w:r>
      <w:r w:rsidR="009E6DF7">
        <w:rPr>
          <w:rFonts w:ascii="Source Sans Pro" w:hAnsi="Source Sans Pro" w:cs="Arial"/>
          <w:i/>
          <w:sz w:val="22"/>
        </w:rPr>
        <w:t>D</w:t>
      </w:r>
      <w:r w:rsidRPr="00962CFF">
        <w:rPr>
          <w:rFonts w:ascii="Source Sans Pro" w:hAnsi="Source Sans Pro" w:cs="Arial"/>
          <w:i/>
          <w:sz w:val="22"/>
        </w:rPr>
        <w:t xml:space="preserve">ennoch </w:t>
      </w:r>
      <w:r w:rsidR="009E6DF7">
        <w:rPr>
          <w:rFonts w:ascii="Source Sans Pro" w:hAnsi="Source Sans Pro" w:cs="Arial"/>
          <w:i/>
          <w:sz w:val="22"/>
        </w:rPr>
        <w:t xml:space="preserve">haben </w:t>
      </w:r>
      <w:r w:rsidRPr="00962CFF">
        <w:rPr>
          <w:rFonts w:ascii="Source Sans Pro" w:hAnsi="Source Sans Pro" w:cs="Arial"/>
          <w:i/>
          <w:sz w:val="22"/>
        </w:rPr>
        <w:t xml:space="preserve">auch </w:t>
      </w:r>
      <w:r w:rsidR="00541CB3">
        <w:rPr>
          <w:rFonts w:ascii="Source Sans Pro" w:hAnsi="Source Sans Pro" w:cs="Arial"/>
          <w:i/>
          <w:sz w:val="22"/>
        </w:rPr>
        <w:t>i</w:t>
      </w:r>
      <w:r w:rsidRPr="00962CFF">
        <w:rPr>
          <w:rFonts w:ascii="Source Sans Pro" w:hAnsi="Source Sans Pro" w:cs="Arial"/>
          <w:i/>
          <w:sz w:val="22"/>
        </w:rPr>
        <w:t xml:space="preserve">m zweiten Halbjahr </w:t>
      </w:r>
      <w:r w:rsidR="009E6DF7">
        <w:rPr>
          <w:rFonts w:ascii="Source Sans Pro" w:hAnsi="Source Sans Pro" w:cs="Arial"/>
          <w:i/>
          <w:sz w:val="22"/>
        </w:rPr>
        <w:t xml:space="preserve">einige </w:t>
      </w:r>
      <w:r w:rsidRPr="00962CFF">
        <w:rPr>
          <w:rFonts w:ascii="Source Sans Pro" w:hAnsi="Source Sans Pro" w:cs="Arial"/>
          <w:i/>
          <w:sz w:val="22"/>
        </w:rPr>
        <w:t>Veräußerungen statt</w:t>
      </w:r>
      <w:r w:rsidR="009E6DF7">
        <w:rPr>
          <w:rFonts w:ascii="Source Sans Pro" w:hAnsi="Source Sans Pro" w:cs="Arial"/>
          <w:i/>
          <w:sz w:val="22"/>
        </w:rPr>
        <w:t>ge</w:t>
      </w:r>
      <w:r w:rsidRPr="00962CFF">
        <w:rPr>
          <w:rFonts w:ascii="Source Sans Pro" w:hAnsi="Source Sans Pro" w:cs="Arial"/>
          <w:i/>
          <w:sz w:val="22"/>
        </w:rPr>
        <w:t>f</w:t>
      </w:r>
      <w:r w:rsidR="009E6DF7">
        <w:rPr>
          <w:rFonts w:ascii="Source Sans Pro" w:hAnsi="Source Sans Pro" w:cs="Arial"/>
          <w:i/>
          <w:sz w:val="22"/>
        </w:rPr>
        <w:t>u</w:t>
      </w:r>
      <w:r w:rsidRPr="00962CFF">
        <w:rPr>
          <w:rFonts w:ascii="Source Sans Pro" w:hAnsi="Source Sans Pro" w:cs="Arial"/>
          <w:i/>
          <w:sz w:val="22"/>
        </w:rPr>
        <w:t>nden</w:t>
      </w:r>
      <w:r w:rsidR="009E6DF7">
        <w:rPr>
          <w:rFonts w:ascii="Source Sans Pro" w:hAnsi="Source Sans Pro" w:cs="Arial"/>
          <w:i/>
          <w:sz w:val="22"/>
        </w:rPr>
        <w:t xml:space="preserve">, was </w:t>
      </w:r>
      <w:r w:rsidRPr="00962CFF">
        <w:rPr>
          <w:rFonts w:ascii="Source Sans Pro" w:hAnsi="Source Sans Pro" w:cs="Arial"/>
          <w:i/>
          <w:sz w:val="22"/>
        </w:rPr>
        <w:t xml:space="preserve">unterstreicht, </w:t>
      </w:r>
      <w:r w:rsidRPr="00B04493">
        <w:rPr>
          <w:rFonts w:ascii="Source Sans Pro" w:hAnsi="Source Sans Pro" w:cs="Arial"/>
          <w:i/>
          <w:sz w:val="22"/>
        </w:rPr>
        <w:t xml:space="preserve">dass </w:t>
      </w:r>
      <w:r w:rsidR="009E6DF7">
        <w:rPr>
          <w:rFonts w:ascii="Source Sans Pro" w:hAnsi="Source Sans Pro" w:cs="Arial"/>
          <w:i/>
          <w:sz w:val="22"/>
        </w:rPr>
        <w:t xml:space="preserve">viele Investoren </w:t>
      </w:r>
      <w:r w:rsidRPr="00B04493">
        <w:rPr>
          <w:rFonts w:ascii="Source Sans Pro" w:hAnsi="Source Sans Pro" w:cs="Arial"/>
          <w:i/>
          <w:sz w:val="22"/>
        </w:rPr>
        <w:t xml:space="preserve">die Assetklasse </w:t>
      </w:r>
      <w:r w:rsidR="009E6DF7">
        <w:rPr>
          <w:rFonts w:ascii="Source Sans Pro" w:hAnsi="Source Sans Pro" w:cs="Arial"/>
          <w:i/>
          <w:sz w:val="22"/>
        </w:rPr>
        <w:t>weiterhin als lukrativ einstufen</w:t>
      </w:r>
      <w:r w:rsidRPr="00B04493">
        <w:rPr>
          <w:rFonts w:ascii="Source Sans Pro" w:hAnsi="Source Sans Pro" w:cs="Arial"/>
          <w:i/>
          <w:sz w:val="22"/>
        </w:rPr>
        <w:t>.</w:t>
      </w:r>
      <w:r w:rsidR="00136D6C">
        <w:rPr>
          <w:rFonts w:ascii="Source Sans Pro" w:hAnsi="Source Sans Pro" w:cs="Arial"/>
          <w:i/>
          <w:sz w:val="22"/>
        </w:rPr>
        <w:t xml:space="preserve"> Verkäufer müssen allerdings deutliche Abschläge gegenüber dem früheren Preisniveau hinnehmen.</w:t>
      </w:r>
      <w:r w:rsidR="006862FF">
        <w:rPr>
          <w:rFonts w:ascii="Source Sans Pro" w:hAnsi="Source Sans Pro" w:cs="Arial"/>
          <w:i/>
          <w:sz w:val="22"/>
        </w:rPr>
        <w:t xml:space="preserve">“ </w:t>
      </w:r>
      <w:r w:rsidR="00727C84">
        <w:rPr>
          <w:rFonts w:ascii="Source Sans Pro" w:hAnsi="Source Sans Pro" w:cs="Arial"/>
          <w:sz w:val="22"/>
        </w:rPr>
        <w:t>Auch d</w:t>
      </w:r>
      <w:r w:rsidR="006862FF">
        <w:rPr>
          <w:rFonts w:ascii="Source Sans Pro" w:hAnsi="Source Sans Pro" w:cs="Arial"/>
          <w:sz w:val="22"/>
        </w:rPr>
        <w:t>er Nachfrage</w:t>
      </w:r>
      <w:r w:rsidR="00136D6C">
        <w:rPr>
          <w:rFonts w:ascii="Source Sans Pro" w:hAnsi="Source Sans Pro" w:cs="Arial"/>
          <w:sz w:val="22"/>
        </w:rPr>
        <w:t>schwerpunkt</w:t>
      </w:r>
      <w:r w:rsidR="006862FF">
        <w:rPr>
          <w:rFonts w:ascii="Source Sans Pro" w:hAnsi="Source Sans Pro" w:cs="Arial"/>
          <w:sz w:val="22"/>
        </w:rPr>
        <w:t xml:space="preserve"> habe sich verschoben: </w:t>
      </w:r>
      <w:r w:rsidR="006862FF" w:rsidRPr="006862FF">
        <w:rPr>
          <w:rFonts w:ascii="Source Sans Pro" w:hAnsi="Source Sans Pro" w:cs="Arial"/>
          <w:i/>
          <w:sz w:val="22"/>
        </w:rPr>
        <w:t>„</w:t>
      </w:r>
      <w:r w:rsidR="00814CEF">
        <w:rPr>
          <w:rFonts w:ascii="Source Sans Pro" w:hAnsi="Source Sans Pro" w:cs="Arial"/>
          <w:i/>
          <w:sz w:val="22"/>
        </w:rPr>
        <w:t xml:space="preserve">Die Käufer wünschen eine höhere Rentabilität ihrer Anlagen, da sie höhere Kreditzinsen zahlen und viele auch mehr Eigenkapital einsetzen müssen als früher. </w:t>
      </w:r>
      <w:r w:rsidR="00136D6C">
        <w:rPr>
          <w:rFonts w:ascii="Source Sans Pro" w:hAnsi="Source Sans Pro" w:cs="Arial"/>
          <w:i/>
          <w:sz w:val="22"/>
        </w:rPr>
        <w:t>Das Investoreninteresse fokussiert sich</w:t>
      </w:r>
      <w:r w:rsidR="006862FF" w:rsidRPr="006862FF">
        <w:rPr>
          <w:rFonts w:ascii="Source Sans Pro" w:hAnsi="Source Sans Pro" w:cs="Arial"/>
          <w:i/>
          <w:sz w:val="22"/>
        </w:rPr>
        <w:t xml:space="preserve"> </w:t>
      </w:r>
      <w:r w:rsidR="00814CEF">
        <w:rPr>
          <w:rFonts w:ascii="Source Sans Pro" w:hAnsi="Source Sans Pro" w:cs="Arial"/>
          <w:i/>
          <w:sz w:val="22"/>
        </w:rPr>
        <w:t xml:space="preserve">daher </w:t>
      </w:r>
      <w:r w:rsidR="00136D6C">
        <w:rPr>
          <w:rFonts w:ascii="Source Sans Pro" w:hAnsi="Source Sans Pro" w:cs="Arial"/>
          <w:i/>
          <w:sz w:val="22"/>
        </w:rPr>
        <w:t>auf I</w:t>
      </w:r>
      <w:r w:rsidR="006862FF" w:rsidRPr="006862FF">
        <w:rPr>
          <w:rFonts w:ascii="Source Sans Pro" w:hAnsi="Source Sans Pro" w:cs="Arial"/>
          <w:i/>
          <w:sz w:val="22"/>
        </w:rPr>
        <w:t xml:space="preserve">mmobilien, die den Risikoklassen </w:t>
      </w:r>
      <w:r w:rsidRPr="00B04493">
        <w:rPr>
          <w:rFonts w:ascii="Source Sans Pro" w:hAnsi="Source Sans Pro" w:cs="Arial"/>
          <w:i/>
          <w:sz w:val="22"/>
        </w:rPr>
        <w:t>Value add oder zumindest Core</w:t>
      </w:r>
      <w:r w:rsidR="006862FF" w:rsidRPr="006862FF">
        <w:rPr>
          <w:rFonts w:ascii="Source Sans Pro" w:hAnsi="Source Sans Pro" w:cs="Arial"/>
          <w:i/>
          <w:sz w:val="22"/>
        </w:rPr>
        <w:t xml:space="preserve"> Plus</w:t>
      </w:r>
      <w:r w:rsidRPr="00B04493">
        <w:rPr>
          <w:rFonts w:ascii="Source Sans Pro" w:hAnsi="Source Sans Pro" w:cs="Arial"/>
          <w:i/>
          <w:sz w:val="22"/>
        </w:rPr>
        <w:t xml:space="preserve"> zuzu</w:t>
      </w:r>
      <w:r w:rsidR="006862FF" w:rsidRPr="006862FF">
        <w:rPr>
          <w:rFonts w:ascii="Source Sans Pro" w:hAnsi="Source Sans Pro" w:cs="Arial"/>
          <w:i/>
          <w:sz w:val="22"/>
        </w:rPr>
        <w:t>ordnen</w:t>
      </w:r>
      <w:r w:rsidRPr="00B04493">
        <w:rPr>
          <w:rFonts w:ascii="Source Sans Pro" w:hAnsi="Source Sans Pro" w:cs="Arial"/>
          <w:i/>
          <w:sz w:val="22"/>
        </w:rPr>
        <w:t xml:space="preserve"> sind. Reine Core-Produkte sind wenig</w:t>
      </w:r>
      <w:r w:rsidR="00727C84">
        <w:rPr>
          <w:rFonts w:ascii="Source Sans Pro" w:hAnsi="Source Sans Pro" w:cs="Arial"/>
          <w:i/>
          <w:sz w:val="22"/>
        </w:rPr>
        <w:t>er</w:t>
      </w:r>
      <w:r w:rsidRPr="00B04493">
        <w:rPr>
          <w:rFonts w:ascii="Source Sans Pro" w:hAnsi="Source Sans Pro" w:cs="Arial"/>
          <w:i/>
          <w:sz w:val="22"/>
        </w:rPr>
        <w:t> gefragt</w:t>
      </w:r>
      <w:r w:rsidR="00814CEF">
        <w:rPr>
          <w:rFonts w:ascii="Source Sans Pro" w:hAnsi="Source Sans Pro" w:cs="Arial"/>
          <w:i/>
          <w:sz w:val="22"/>
        </w:rPr>
        <w:t>.“</w:t>
      </w:r>
      <w:r w:rsidR="00F925D8">
        <w:rPr>
          <w:rFonts w:ascii="Source Sans Pro" w:hAnsi="Source Sans Pro" w:cs="Arial"/>
          <w:i/>
          <w:sz w:val="22"/>
        </w:rPr>
        <w:t xml:space="preserve"> </w:t>
      </w:r>
    </w:p>
    <w:p w14:paraId="71884E83" w14:textId="77777777" w:rsidR="003F2300" w:rsidRDefault="003F2300" w:rsidP="00237082">
      <w:pPr>
        <w:overflowPunct/>
        <w:autoSpaceDE/>
        <w:autoSpaceDN/>
        <w:adjustRightInd/>
        <w:jc w:val="both"/>
        <w:textAlignment w:val="auto"/>
        <w:rPr>
          <w:rFonts w:ascii="Source Sans Pro" w:hAnsi="Source Sans Pro" w:cs="Arial"/>
          <w:i/>
          <w:sz w:val="22"/>
        </w:rPr>
      </w:pPr>
    </w:p>
    <w:p w14:paraId="68E8F626" w14:textId="29350187" w:rsidR="00E56D2A" w:rsidRPr="00BE5653" w:rsidRDefault="0035006E" w:rsidP="00237082">
      <w:pPr>
        <w:overflowPunct/>
        <w:autoSpaceDE/>
        <w:autoSpaceDN/>
        <w:adjustRightInd/>
        <w:jc w:val="both"/>
        <w:textAlignment w:val="auto"/>
        <w:rPr>
          <w:rFonts w:ascii="Source Sans Pro" w:hAnsi="Source Sans Pro" w:cs="Arial"/>
          <w:i/>
          <w:sz w:val="22"/>
        </w:rPr>
      </w:pPr>
      <w:r w:rsidRPr="0035006E">
        <w:rPr>
          <w:rFonts w:ascii="Source Sans Pro" w:hAnsi="Source Sans Pro" w:cs="Arial"/>
          <w:sz w:val="22"/>
        </w:rPr>
        <w:t>Die Grundstückspreise sind an den meisten Standorten</w:t>
      </w:r>
      <w:r w:rsidR="00727C84">
        <w:rPr>
          <w:rFonts w:ascii="Source Sans Pro" w:hAnsi="Source Sans Pro" w:cs="Arial"/>
          <w:sz w:val="22"/>
        </w:rPr>
        <w:t xml:space="preserve"> sowohl in den Stadtgebieten als auch im Umland</w:t>
      </w:r>
      <w:r w:rsidRPr="0035006E">
        <w:rPr>
          <w:rFonts w:ascii="Source Sans Pro" w:hAnsi="Source Sans Pro" w:cs="Arial"/>
          <w:sz w:val="22"/>
        </w:rPr>
        <w:t xml:space="preserve"> gestiegen, die Entwicklung zeigt aber räumlich unterschiedliche Dynamiken. </w:t>
      </w:r>
      <w:r w:rsidR="00727C84">
        <w:rPr>
          <w:rFonts w:ascii="Source Sans Pro" w:hAnsi="Source Sans Pro" w:cs="Arial"/>
          <w:sz w:val="22"/>
        </w:rPr>
        <w:t>Besonders deutlich fiel der Anstieg mit +6</w:t>
      </w:r>
      <w:r w:rsidR="00B66324">
        <w:rPr>
          <w:rFonts w:ascii="Source Sans Pro" w:hAnsi="Source Sans Pro" w:cs="Arial"/>
          <w:sz w:val="22"/>
        </w:rPr>
        <w:t>7</w:t>
      </w:r>
      <w:r w:rsidR="00727C84">
        <w:rPr>
          <w:rFonts w:ascii="Source Sans Pro" w:hAnsi="Source Sans Pro" w:cs="Arial"/>
          <w:sz w:val="22"/>
        </w:rPr>
        <w:t xml:space="preserve"> % gegenüber dem Vorjahr auf </w:t>
      </w:r>
      <w:r w:rsidR="00B66324">
        <w:rPr>
          <w:rFonts w:ascii="Source Sans Pro" w:hAnsi="Source Sans Pro" w:cs="Arial"/>
          <w:sz w:val="22"/>
        </w:rPr>
        <w:t xml:space="preserve">nunmehr </w:t>
      </w:r>
      <w:r w:rsidR="00727C84">
        <w:rPr>
          <w:rFonts w:ascii="Source Sans Pro" w:hAnsi="Source Sans Pro" w:cs="Arial"/>
          <w:sz w:val="22"/>
        </w:rPr>
        <w:t xml:space="preserve">600 €/m² in Düsseldorf aus. Teuerster Standort bleibt dennoch München mit 800 €/m². </w:t>
      </w:r>
      <w:r>
        <w:rPr>
          <w:rFonts w:ascii="Source Sans Pro" w:hAnsi="Source Sans Pro" w:cs="Arial"/>
          <w:sz w:val="22"/>
        </w:rPr>
        <w:t xml:space="preserve">Auch </w:t>
      </w:r>
      <w:r w:rsidR="00B04493" w:rsidRPr="00B04493">
        <w:rPr>
          <w:rFonts w:ascii="Source Sans Pro" w:hAnsi="Source Sans Pro" w:cs="Arial"/>
          <w:sz w:val="22"/>
        </w:rPr>
        <w:t xml:space="preserve">die Spitzenrenditen </w:t>
      </w:r>
      <w:r>
        <w:rPr>
          <w:rFonts w:ascii="Source Sans Pro" w:hAnsi="Source Sans Pro" w:cs="Arial"/>
          <w:sz w:val="22"/>
        </w:rPr>
        <w:t xml:space="preserve">haben aufgrund von Preisabschlägen </w:t>
      </w:r>
      <w:r w:rsidR="00B66324">
        <w:rPr>
          <w:rFonts w:ascii="Source Sans Pro" w:hAnsi="Source Sans Pro" w:cs="Arial"/>
          <w:sz w:val="22"/>
        </w:rPr>
        <w:t xml:space="preserve">im vergangenen Jahr </w:t>
      </w:r>
      <w:r>
        <w:rPr>
          <w:rFonts w:ascii="Source Sans Pro" w:hAnsi="Source Sans Pro" w:cs="Arial"/>
          <w:sz w:val="22"/>
        </w:rPr>
        <w:t xml:space="preserve">deutlich angezogen (im Mittel um </w:t>
      </w:r>
      <w:r w:rsidR="00B66324">
        <w:rPr>
          <w:rFonts w:ascii="Source Sans Pro" w:hAnsi="Source Sans Pro" w:cs="Arial"/>
          <w:sz w:val="22"/>
        </w:rPr>
        <w:t>+</w:t>
      </w:r>
      <w:r w:rsidRPr="0035006E">
        <w:rPr>
          <w:rFonts w:ascii="Source Sans Pro" w:hAnsi="Source Sans Pro" w:cs="Arial"/>
          <w:sz w:val="22"/>
        </w:rPr>
        <w:t>0,50 %-Punkte</w:t>
      </w:r>
      <w:r>
        <w:rPr>
          <w:rFonts w:ascii="Source Sans Pro" w:hAnsi="Source Sans Pro" w:cs="Arial"/>
          <w:sz w:val="22"/>
        </w:rPr>
        <w:t xml:space="preserve"> auf </w:t>
      </w:r>
      <w:r w:rsidRPr="0035006E">
        <w:rPr>
          <w:rFonts w:ascii="Source Sans Pro" w:hAnsi="Source Sans Pro" w:cs="Arial"/>
          <w:sz w:val="22"/>
        </w:rPr>
        <w:t>3,83 %</w:t>
      </w:r>
      <w:r>
        <w:rPr>
          <w:rFonts w:ascii="Source Sans Pro" w:hAnsi="Source Sans Pro" w:cs="Arial"/>
          <w:sz w:val="22"/>
        </w:rPr>
        <w:t>)</w:t>
      </w:r>
      <w:r w:rsidR="00F925D8">
        <w:rPr>
          <w:rFonts w:ascii="Source Sans Pro" w:hAnsi="Source Sans Pro" w:cs="Arial"/>
          <w:sz w:val="22"/>
        </w:rPr>
        <w:t xml:space="preserve"> und könnten auch perspektivisch weiter steigen.</w:t>
      </w:r>
    </w:p>
    <w:p w14:paraId="62EEBED0" w14:textId="77777777" w:rsidR="00AC696F" w:rsidRDefault="00AC696F" w:rsidP="00237082">
      <w:pPr>
        <w:overflowPunct/>
        <w:autoSpaceDE/>
        <w:autoSpaceDN/>
        <w:adjustRightInd/>
        <w:jc w:val="both"/>
        <w:textAlignment w:val="auto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76436043" w14:textId="656EA379" w:rsidR="00E56D2A" w:rsidRPr="00E56D2A" w:rsidRDefault="009862FC" w:rsidP="00237082">
      <w:pPr>
        <w:overflowPunct/>
        <w:autoSpaceDE/>
        <w:autoSpaceDN/>
        <w:adjustRightInd/>
        <w:jc w:val="both"/>
        <w:textAlignment w:val="auto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WEITERHIN </w:t>
      </w:r>
      <w:r w:rsidR="00780DC2">
        <w:rPr>
          <w:rFonts w:ascii="Source Sans Pro" w:hAnsi="Source Sans Pro" w:cs="Source Sans Pro"/>
          <w:caps/>
          <w:color w:val="0086A8"/>
          <w:sz w:val="22"/>
          <w:szCs w:val="22"/>
        </w:rPr>
        <w:t>Potenziale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FÜR INVESTOREN</w:t>
      </w:r>
    </w:p>
    <w:p w14:paraId="79E1F949" w14:textId="5F435355" w:rsidR="000373BE" w:rsidRDefault="00B04493" w:rsidP="00237082">
      <w:pPr>
        <w:overflowPunct/>
        <w:autoSpaceDE/>
        <w:autoSpaceDN/>
        <w:adjustRightInd/>
        <w:jc w:val="both"/>
        <w:textAlignment w:val="auto"/>
        <w:rPr>
          <w:rFonts w:ascii="Source Sans Pro" w:hAnsi="Source Sans Pro" w:cs="Arial"/>
          <w:sz w:val="22"/>
        </w:rPr>
      </w:pPr>
      <w:r w:rsidRPr="00B04493">
        <w:rPr>
          <w:rFonts w:ascii="Source Sans Pro" w:hAnsi="Source Sans Pro" w:cs="Arial"/>
          <w:sz w:val="22"/>
        </w:rPr>
        <w:t xml:space="preserve"> </w:t>
      </w:r>
      <w:r w:rsidR="00F925D8" w:rsidRPr="00F925D8">
        <w:rPr>
          <w:rFonts w:ascii="Source Sans Pro" w:hAnsi="Source Sans Pro" w:cs="Arial"/>
          <w:i/>
          <w:sz w:val="22"/>
        </w:rPr>
        <w:t>„</w:t>
      </w:r>
      <w:r w:rsidR="00F925D8" w:rsidRPr="00B04493">
        <w:rPr>
          <w:rFonts w:ascii="Source Sans Pro" w:hAnsi="Source Sans Pro" w:cs="Arial"/>
          <w:i/>
          <w:sz w:val="22"/>
        </w:rPr>
        <w:t>Wenn das Zinsumfeld eine höh</w:t>
      </w:r>
      <w:r w:rsidR="000373BE">
        <w:rPr>
          <w:rFonts w:ascii="Source Sans Pro" w:hAnsi="Source Sans Pro" w:cs="Arial"/>
          <w:i/>
          <w:sz w:val="22"/>
        </w:rPr>
        <w:t xml:space="preserve">ere Planungssicherheit erlaubt, werden auch </w:t>
      </w:r>
      <w:r w:rsidR="005E4A59">
        <w:rPr>
          <w:rFonts w:ascii="Source Sans Pro" w:hAnsi="Source Sans Pro" w:cs="Arial"/>
          <w:i/>
          <w:sz w:val="22"/>
        </w:rPr>
        <w:t xml:space="preserve">die </w:t>
      </w:r>
      <w:r w:rsidR="00F925D8" w:rsidRPr="00B04493">
        <w:rPr>
          <w:rFonts w:ascii="Source Sans Pro" w:hAnsi="Source Sans Pro" w:cs="Arial"/>
          <w:i/>
          <w:sz w:val="22"/>
        </w:rPr>
        <w:t>Investmentaktivitäten wieder deutlich zunehmen</w:t>
      </w:r>
      <w:r w:rsidR="000373BE">
        <w:rPr>
          <w:rFonts w:ascii="Source Sans Pro" w:hAnsi="Source Sans Pro" w:cs="Arial"/>
          <w:i/>
          <w:sz w:val="22"/>
        </w:rPr>
        <w:t xml:space="preserve">. Dies dürfte </w:t>
      </w:r>
      <w:r w:rsidR="00344495">
        <w:rPr>
          <w:rFonts w:ascii="Source Sans Pro" w:hAnsi="Source Sans Pro" w:cs="Arial"/>
          <w:i/>
          <w:sz w:val="22"/>
        </w:rPr>
        <w:t>wahrscheinlich</w:t>
      </w:r>
      <w:r w:rsidR="000373BE">
        <w:rPr>
          <w:rFonts w:ascii="Source Sans Pro" w:hAnsi="Source Sans Pro" w:cs="Arial"/>
          <w:i/>
          <w:sz w:val="22"/>
        </w:rPr>
        <w:t xml:space="preserve"> zur Jahresmitte der Fall sein</w:t>
      </w:r>
      <w:r w:rsidR="00F925D8" w:rsidRPr="00F925D8">
        <w:rPr>
          <w:rFonts w:ascii="Source Sans Pro" w:hAnsi="Source Sans Pro" w:cs="Arial"/>
          <w:i/>
          <w:sz w:val="22"/>
        </w:rPr>
        <w:t>“</w:t>
      </w:r>
      <w:r w:rsidR="00F925D8" w:rsidRPr="00F925D8">
        <w:rPr>
          <w:rFonts w:ascii="Source Sans Pro" w:hAnsi="Source Sans Pro" w:cs="Arial"/>
          <w:sz w:val="22"/>
        </w:rPr>
        <w:t xml:space="preserve">, prognostiziert </w:t>
      </w:r>
      <w:r w:rsidR="00F925D8" w:rsidRPr="00F925D8">
        <w:rPr>
          <w:rFonts w:ascii="Source Sans Pro" w:hAnsi="Source Sans Pro" w:cs="Arial"/>
          <w:b/>
          <w:sz w:val="22"/>
        </w:rPr>
        <w:t>Rehberg</w:t>
      </w:r>
      <w:r w:rsidR="00F925D8" w:rsidRPr="00B04493">
        <w:rPr>
          <w:rFonts w:ascii="Source Sans Pro" w:hAnsi="Source Sans Pro" w:cs="Arial"/>
          <w:sz w:val="22"/>
        </w:rPr>
        <w:t>.</w:t>
      </w:r>
      <w:r w:rsidR="00F925D8">
        <w:rPr>
          <w:rFonts w:ascii="Source Sans Pro" w:hAnsi="Source Sans Pro" w:cs="Arial"/>
          <w:sz w:val="22"/>
        </w:rPr>
        <w:t xml:space="preserve"> Die Zukunftsaussichten dieser Assetklasse schätzt er aufgrund verschiedener Faktoren als grundsätzlich positiv ein: </w:t>
      </w:r>
      <w:r w:rsidR="000373BE" w:rsidRPr="000373BE">
        <w:rPr>
          <w:rFonts w:ascii="Source Sans Pro" w:hAnsi="Source Sans Pro" w:cs="Arial"/>
          <w:i/>
          <w:sz w:val="22"/>
        </w:rPr>
        <w:t>„</w:t>
      </w:r>
      <w:r w:rsidR="00E56D2A" w:rsidRPr="000373BE">
        <w:rPr>
          <w:rFonts w:ascii="Source Sans Pro" w:hAnsi="Source Sans Pro" w:cs="Arial"/>
          <w:i/>
          <w:sz w:val="22"/>
        </w:rPr>
        <w:t>Ei</w:t>
      </w:r>
      <w:r w:rsidR="00F925D8" w:rsidRPr="000373BE">
        <w:rPr>
          <w:rFonts w:ascii="Source Sans Pro" w:hAnsi="Source Sans Pro" w:cs="Arial"/>
          <w:i/>
          <w:sz w:val="22"/>
        </w:rPr>
        <w:t xml:space="preserve">gentümer und Investoren </w:t>
      </w:r>
      <w:r w:rsidR="000373BE" w:rsidRPr="000373BE">
        <w:rPr>
          <w:rFonts w:ascii="Source Sans Pro" w:hAnsi="Source Sans Pro" w:cs="Arial"/>
          <w:i/>
          <w:sz w:val="22"/>
        </w:rPr>
        <w:t xml:space="preserve">profitieren </w:t>
      </w:r>
      <w:r w:rsidR="00F925D8" w:rsidRPr="000373BE">
        <w:rPr>
          <w:rFonts w:ascii="Source Sans Pro" w:hAnsi="Source Sans Pro" w:cs="Arial"/>
          <w:i/>
          <w:sz w:val="22"/>
        </w:rPr>
        <w:t>von dem überregional niedrigen Flächenangebot</w:t>
      </w:r>
      <w:r w:rsidR="000373BE" w:rsidRPr="000373BE">
        <w:rPr>
          <w:rFonts w:ascii="Source Sans Pro" w:hAnsi="Source Sans Pro" w:cs="Arial"/>
          <w:i/>
          <w:sz w:val="22"/>
        </w:rPr>
        <w:t>;</w:t>
      </w:r>
      <w:r w:rsidR="00E56D2A" w:rsidRPr="000373BE">
        <w:rPr>
          <w:rFonts w:ascii="Source Sans Pro" w:hAnsi="Source Sans Pro" w:cs="Arial"/>
          <w:i/>
          <w:sz w:val="22"/>
        </w:rPr>
        <w:t xml:space="preserve"> </w:t>
      </w:r>
      <w:r w:rsidR="00F925D8" w:rsidRPr="000373BE">
        <w:rPr>
          <w:rFonts w:ascii="Source Sans Pro" w:hAnsi="Source Sans Pro" w:cs="Arial"/>
          <w:i/>
          <w:sz w:val="22"/>
        </w:rPr>
        <w:t>die Leerstände sind gering und </w:t>
      </w:r>
      <w:r w:rsidR="00344495">
        <w:rPr>
          <w:rFonts w:ascii="Source Sans Pro" w:hAnsi="Source Sans Pro" w:cs="Arial"/>
          <w:i/>
          <w:sz w:val="22"/>
        </w:rPr>
        <w:t>insbesondere</w:t>
      </w:r>
      <w:r w:rsidR="00344495" w:rsidRPr="000373BE">
        <w:rPr>
          <w:rFonts w:ascii="Source Sans Pro" w:hAnsi="Source Sans Pro" w:cs="Arial"/>
          <w:i/>
          <w:sz w:val="22"/>
        </w:rPr>
        <w:t xml:space="preserve"> </w:t>
      </w:r>
      <w:r w:rsidR="00F925D8" w:rsidRPr="000373BE">
        <w:rPr>
          <w:rFonts w:ascii="Source Sans Pro" w:hAnsi="Source Sans Pro" w:cs="Arial"/>
          <w:i/>
          <w:sz w:val="22"/>
        </w:rPr>
        <w:t xml:space="preserve">moderne Flächen finden Nutzer. </w:t>
      </w:r>
      <w:r w:rsidR="00E56D2A" w:rsidRPr="000373BE">
        <w:rPr>
          <w:rFonts w:ascii="Source Sans Pro" w:hAnsi="Source Sans Pro" w:cs="Arial"/>
          <w:i/>
          <w:sz w:val="22"/>
        </w:rPr>
        <w:t xml:space="preserve">Auch die deutlich gestiegenen Mieten und </w:t>
      </w:r>
      <w:r w:rsidR="005E4A59">
        <w:rPr>
          <w:rFonts w:ascii="Source Sans Pro" w:hAnsi="Source Sans Pro" w:cs="Arial"/>
          <w:i/>
          <w:sz w:val="22"/>
        </w:rPr>
        <w:t xml:space="preserve">verbreiteten </w:t>
      </w:r>
      <w:r w:rsidR="00E56D2A" w:rsidRPr="000373BE">
        <w:rPr>
          <w:rFonts w:ascii="Source Sans Pro" w:hAnsi="Source Sans Pro" w:cs="Arial"/>
          <w:i/>
          <w:sz w:val="22"/>
        </w:rPr>
        <w:t>Indexmietverträge</w:t>
      </w:r>
      <w:r w:rsidR="000373BE" w:rsidRPr="000373BE">
        <w:rPr>
          <w:rFonts w:ascii="Source Sans Pro" w:hAnsi="Source Sans Pro" w:cs="Arial"/>
          <w:i/>
          <w:sz w:val="22"/>
        </w:rPr>
        <w:t xml:space="preserve"> </w:t>
      </w:r>
      <w:r w:rsidR="00E56D2A" w:rsidRPr="000373BE">
        <w:rPr>
          <w:rFonts w:ascii="Source Sans Pro" w:hAnsi="Source Sans Pro" w:cs="Arial"/>
          <w:i/>
          <w:sz w:val="22"/>
        </w:rPr>
        <w:t xml:space="preserve">bieten </w:t>
      </w:r>
      <w:r w:rsidR="000373BE" w:rsidRPr="000373BE">
        <w:rPr>
          <w:rFonts w:ascii="Source Sans Pro" w:hAnsi="Source Sans Pro" w:cs="Arial"/>
          <w:i/>
          <w:sz w:val="22"/>
        </w:rPr>
        <w:t>Anlegern Sicherheit</w:t>
      </w:r>
      <w:r w:rsidR="00E56D2A" w:rsidRPr="000373BE">
        <w:rPr>
          <w:rFonts w:ascii="Source Sans Pro" w:hAnsi="Source Sans Pro" w:cs="Arial"/>
          <w:i/>
          <w:sz w:val="22"/>
        </w:rPr>
        <w:t>.</w:t>
      </w:r>
      <w:r w:rsidR="000373BE" w:rsidRPr="000373BE">
        <w:rPr>
          <w:rFonts w:ascii="Source Sans Pro" w:hAnsi="Source Sans Pro" w:cs="Arial"/>
          <w:i/>
          <w:sz w:val="22"/>
        </w:rPr>
        <w:t>“</w:t>
      </w:r>
      <w:r w:rsidR="00E56D2A">
        <w:rPr>
          <w:rFonts w:ascii="Source Sans Pro" w:hAnsi="Source Sans Pro" w:cs="Arial"/>
          <w:sz w:val="22"/>
        </w:rPr>
        <w:t xml:space="preserve"> </w:t>
      </w:r>
      <w:r w:rsidR="00F925D8" w:rsidRPr="00B04493">
        <w:rPr>
          <w:rFonts w:ascii="Source Sans Pro" w:hAnsi="Source Sans Pro" w:cs="Arial"/>
          <w:sz w:val="22"/>
        </w:rPr>
        <w:t>Vor allem im Logistiksegment könn</w:t>
      </w:r>
      <w:r w:rsidR="00E56D2A">
        <w:rPr>
          <w:rFonts w:ascii="Source Sans Pro" w:hAnsi="Source Sans Pro" w:cs="Arial"/>
          <w:sz w:val="22"/>
        </w:rPr>
        <w:t xml:space="preserve">en </w:t>
      </w:r>
      <w:r w:rsidR="005E4A59">
        <w:rPr>
          <w:rFonts w:ascii="Source Sans Pro" w:hAnsi="Source Sans Pro" w:cs="Arial"/>
          <w:sz w:val="22"/>
        </w:rPr>
        <w:t xml:space="preserve">Nutzer </w:t>
      </w:r>
      <w:r w:rsidR="00E56D2A">
        <w:rPr>
          <w:rFonts w:ascii="Source Sans Pro" w:hAnsi="Source Sans Pro" w:cs="Arial"/>
          <w:sz w:val="22"/>
        </w:rPr>
        <w:t xml:space="preserve">die </w:t>
      </w:r>
      <w:r w:rsidR="005E4A59">
        <w:rPr>
          <w:rFonts w:ascii="Source Sans Pro" w:hAnsi="Source Sans Pro" w:cs="Arial"/>
          <w:sz w:val="22"/>
        </w:rPr>
        <w:t xml:space="preserve">hohen </w:t>
      </w:r>
      <w:r w:rsidR="00E56D2A">
        <w:rPr>
          <w:rFonts w:ascii="Source Sans Pro" w:hAnsi="Source Sans Pro" w:cs="Arial"/>
          <w:sz w:val="22"/>
        </w:rPr>
        <w:t>Miet</w:t>
      </w:r>
      <w:r w:rsidR="005E4A59">
        <w:rPr>
          <w:rFonts w:ascii="Source Sans Pro" w:hAnsi="Source Sans Pro" w:cs="Arial"/>
          <w:sz w:val="22"/>
        </w:rPr>
        <w:t>preise</w:t>
      </w:r>
      <w:r w:rsidR="00E56D2A">
        <w:rPr>
          <w:rFonts w:ascii="Source Sans Pro" w:hAnsi="Source Sans Pro" w:cs="Arial"/>
          <w:sz w:val="22"/>
        </w:rPr>
        <w:t xml:space="preserve"> </w:t>
      </w:r>
      <w:r w:rsidR="00F925D8" w:rsidRPr="00B04493">
        <w:rPr>
          <w:rFonts w:ascii="Source Sans Pro" w:hAnsi="Source Sans Pro" w:cs="Arial"/>
          <w:sz w:val="22"/>
        </w:rPr>
        <w:t xml:space="preserve">an nachgelagerte </w:t>
      </w:r>
      <w:r w:rsidR="00344495">
        <w:rPr>
          <w:rFonts w:ascii="Source Sans Pro" w:hAnsi="Source Sans Pro" w:cs="Arial"/>
          <w:sz w:val="22"/>
        </w:rPr>
        <w:t xml:space="preserve">Stufen der </w:t>
      </w:r>
      <w:r w:rsidR="00F925D8" w:rsidRPr="00B04493">
        <w:rPr>
          <w:rFonts w:ascii="Source Sans Pro" w:hAnsi="Source Sans Pro" w:cs="Arial"/>
          <w:sz w:val="22"/>
        </w:rPr>
        <w:t>Wertschöpfungskette oder den Endverbraucher weiterleite</w:t>
      </w:r>
      <w:r w:rsidR="005E4A59">
        <w:rPr>
          <w:rFonts w:ascii="Source Sans Pro" w:hAnsi="Source Sans Pro" w:cs="Arial"/>
          <w:sz w:val="22"/>
        </w:rPr>
        <w:t>n</w:t>
      </w:r>
      <w:r w:rsidR="00F925D8" w:rsidRPr="00B04493">
        <w:rPr>
          <w:rFonts w:ascii="Source Sans Pro" w:hAnsi="Source Sans Pro" w:cs="Arial"/>
          <w:sz w:val="22"/>
        </w:rPr>
        <w:t>.</w:t>
      </w:r>
      <w:r w:rsidR="00E56D2A">
        <w:rPr>
          <w:rFonts w:ascii="Source Sans Pro" w:hAnsi="Source Sans Pro" w:cs="Arial"/>
          <w:sz w:val="22"/>
        </w:rPr>
        <w:t xml:space="preserve"> </w:t>
      </w:r>
      <w:r w:rsidR="00541CB3">
        <w:rPr>
          <w:rFonts w:ascii="Source Sans Pro" w:hAnsi="Source Sans Pro" w:cs="Arial"/>
          <w:sz w:val="22"/>
        </w:rPr>
        <w:t>Schließlich biete</w:t>
      </w:r>
      <w:r w:rsidR="00E56D2A">
        <w:rPr>
          <w:rFonts w:ascii="Source Sans Pro" w:hAnsi="Source Sans Pro" w:cs="Arial"/>
          <w:sz w:val="22"/>
        </w:rPr>
        <w:t xml:space="preserve"> </w:t>
      </w:r>
      <w:r w:rsidR="000373BE">
        <w:rPr>
          <w:rFonts w:ascii="Source Sans Pro" w:hAnsi="Source Sans Pro" w:cs="Arial"/>
          <w:sz w:val="22"/>
        </w:rPr>
        <w:t xml:space="preserve">auch </w:t>
      </w:r>
      <w:r w:rsidR="00E56D2A">
        <w:rPr>
          <w:rFonts w:ascii="Source Sans Pro" w:hAnsi="Source Sans Pro" w:cs="Arial"/>
          <w:sz w:val="22"/>
        </w:rPr>
        <w:t xml:space="preserve">der geringere Wettbewerb Chancen für </w:t>
      </w:r>
      <w:r w:rsidR="000373BE">
        <w:rPr>
          <w:rFonts w:ascii="Source Sans Pro" w:hAnsi="Source Sans Pro" w:cs="Arial"/>
          <w:sz w:val="22"/>
        </w:rPr>
        <w:t xml:space="preserve">eigenkapitalstarke </w:t>
      </w:r>
      <w:r w:rsidR="00E56D2A">
        <w:rPr>
          <w:rFonts w:ascii="Source Sans Pro" w:hAnsi="Source Sans Pro" w:cs="Arial"/>
          <w:sz w:val="22"/>
        </w:rPr>
        <w:t>Investoren</w:t>
      </w:r>
      <w:r w:rsidR="000373BE">
        <w:rPr>
          <w:rFonts w:ascii="Source Sans Pro" w:hAnsi="Source Sans Pro" w:cs="Arial"/>
          <w:sz w:val="22"/>
        </w:rPr>
        <w:t>.</w:t>
      </w:r>
    </w:p>
    <w:p w14:paraId="6773A290" w14:textId="03057E90" w:rsidR="006C7D7B" w:rsidRPr="00814CEF" w:rsidRDefault="000373BE" w:rsidP="00237082">
      <w:pPr>
        <w:overflowPunct/>
        <w:autoSpaceDE/>
        <w:autoSpaceDN/>
        <w:adjustRightInd/>
        <w:jc w:val="both"/>
        <w:textAlignment w:val="auto"/>
        <w:rPr>
          <w:rFonts w:ascii="Source Sans Pro" w:hAnsi="Source Sans Pro" w:cs="Source Sans Pro"/>
          <w:caps/>
          <w:color w:val="0086A8"/>
          <w:sz w:val="22"/>
          <w:szCs w:val="22"/>
        </w:rPr>
      </w:pPr>
      <w:r w:rsidRPr="00B04493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5A305A6F" w14:textId="3E580BE1" w:rsidR="006C7D7B" w:rsidRDefault="006C7D7B" w:rsidP="00237082">
      <w:pPr>
        <w:overflowPunct/>
        <w:autoSpaceDE/>
        <w:autoSpaceDN/>
        <w:adjustRightInd/>
        <w:jc w:val="both"/>
        <w:textAlignment w:val="auto"/>
        <w:rPr>
          <w:rFonts w:ascii="Source Sans Pro" w:hAnsi="Source Sans Pro" w:cs="Arial"/>
          <w:bCs/>
          <w:sz w:val="22"/>
          <w:szCs w:val="22"/>
        </w:rPr>
      </w:pPr>
      <w:r w:rsidRPr="0056137E">
        <w:rPr>
          <w:rFonts w:ascii="Source Sans Pro" w:hAnsi="Source Sans Pro" w:cs="Arial"/>
          <w:bCs/>
          <w:sz w:val="22"/>
          <w:szCs w:val="22"/>
        </w:rPr>
        <w:t>D</w:t>
      </w:r>
      <w:r>
        <w:rPr>
          <w:rFonts w:ascii="Source Sans Pro" w:hAnsi="Source Sans Pro" w:cs="Arial"/>
          <w:bCs/>
          <w:sz w:val="22"/>
          <w:szCs w:val="22"/>
        </w:rPr>
        <w:t xml:space="preserve">er </w:t>
      </w:r>
      <w:hyperlink r:id="rId8" w:history="1">
        <w:r w:rsidRPr="003F2300">
          <w:rPr>
            <w:rStyle w:val="Hyperlink"/>
            <w:rFonts w:ascii="Source Sans Pro" w:hAnsi="Source Sans Pro" w:cs="Arial"/>
            <w:bCs/>
            <w:sz w:val="22"/>
            <w:szCs w:val="22"/>
          </w:rPr>
          <w:t>detaillierte M</w:t>
        </w:r>
        <w:r w:rsidRPr="003F2300">
          <w:rPr>
            <w:rStyle w:val="Hyperlink"/>
            <w:rFonts w:ascii="Source Sans Pro" w:hAnsi="Source Sans Pro" w:cs="Arial"/>
            <w:bCs/>
            <w:sz w:val="22"/>
            <w:szCs w:val="22"/>
          </w:rPr>
          <w:t>a</w:t>
        </w:r>
        <w:r w:rsidRPr="003F2300">
          <w:rPr>
            <w:rStyle w:val="Hyperlink"/>
            <w:rFonts w:ascii="Source Sans Pro" w:hAnsi="Source Sans Pro" w:cs="Arial"/>
            <w:bCs/>
            <w:sz w:val="22"/>
            <w:szCs w:val="22"/>
          </w:rPr>
          <w:t>rktber</w:t>
        </w:r>
        <w:r w:rsidRPr="003F2300">
          <w:rPr>
            <w:rStyle w:val="Hyperlink"/>
            <w:rFonts w:ascii="Source Sans Pro" w:hAnsi="Source Sans Pro" w:cs="Arial"/>
            <w:bCs/>
            <w:sz w:val="22"/>
            <w:szCs w:val="22"/>
          </w:rPr>
          <w:t>i</w:t>
        </w:r>
        <w:r w:rsidRPr="003F2300">
          <w:rPr>
            <w:rStyle w:val="Hyperlink"/>
            <w:rFonts w:ascii="Source Sans Pro" w:hAnsi="Source Sans Pro" w:cs="Arial"/>
            <w:bCs/>
            <w:sz w:val="22"/>
            <w:szCs w:val="22"/>
          </w:rPr>
          <w:t>cht</w:t>
        </w:r>
      </w:hyperlink>
      <w:r>
        <w:rPr>
          <w:rFonts w:ascii="Source Sans Pro" w:hAnsi="Source Sans Pro" w:cs="Arial"/>
          <w:bCs/>
          <w:sz w:val="22"/>
          <w:szCs w:val="22"/>
        </w:rPr>
        <w:t xml:space="preserve"> für </w:t>
      </w:r>
      <w:r w:rsidRPr="0056137E">
        <w:rPr>
          <w:rFonts w:ascii="Source Sans Pro" w:hAnsi="Source Sans Pro" w:cs="Arial"/>
          <w:bCs/>
          <w:sz w:val="22"/>
          <w:szCs w:val="22"/>
        </w:rPr>
        <w:t xml:space="preserve">Hamburg, Berlin, Düsseldorf, Köln, Frankfurt, Stuttgart und München </w:t>
      </w:r>
      <w:r w:rsidRPr="003F2300">
        <w:rPr>
          <w:rFonts w:ascii="Source Sans Pro" w:hAnsi="Source Sans Pro" w:cs="Arial"/>
          <w:bCs/>
          <w:sz w:val="22"/>
          <w:szCs w:val="22"/>
        </w:rPr>
        <w:t>steht auf unserer Website zum Download</w:t>
      </w:r>
      <w:r w:rsidRPr="0056137E">
        <w:rPr>
          <w:rFonts w:ascii="Source Sans Pro" w:hAnsi="Source Sans Pro" w:cs="Arial"/>
          <w:bCs/>
          <w:sz w:val="22"/>
          <w:szCs w:val="22"/>
        </w:rPr>
        <w:t xml:space="preserve"> bereit.</w:t>
      </w:r>
    </w:p>
    <w:p w14:paraId="50B0AF24" w14:textId="274A3C9C" w:rsidR="00DA733A" w:rsidRPr="006456EA" w:rsidRDefault="00814CEF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/>
      </w: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/>
      </w:r>
      <w:r w:rsidR="002B63FD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>ÜBER GERMAN PROPERTY PARTNERS</w:t>
      </w:r>
      <w:r w:rsidR="00DA733A"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47B60849" w14:textId="77777777" w:rsidR="00E1280F" w:rsidRPr="00E1280F" w:rsidRDefault="001B6B94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9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lastRenderedPageBreak/>
        <w:t xml:space="preserve">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08E7143A" w14:textId="77777777" w:rsidR="008245EC" w:rsidRPr="00E1280F" w:rsidRDefault="008245EC" w:rsidP="008245EC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580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00 m² Gewerbefläche und betreute ein Transaktionsvolumen in Höhe von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</w:p>
    <w:p w14:paraId="03D0C7E2" w14:textId="4584B443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7B90D4EE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</w:p>
    <w:p w14:paraId="7E45B8A0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9E935E2" w14:textId="75CBB9CD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468FAFF6" w14:textId="7B9B7DCB" w:rsidR="005C25D5" w:rsidRPr="00D53B8E" w:rsidRDefault="00290672" w:rsidP="00D53B8E">
      <w:pPr>
        <w:pStyle w:val="EinfAbs"/>
        <w:tabs>
          <w:tab w:val="left" w:pos="200"/>
        </w:tabs>
        <w:spacing w:line="18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  <w:bookmarkStart w:id="0" w:name="_GoBack"/>
      <w:bookmarkEnd w:id="0"/>
    </w:p>
    <w:sectPr w:rsidR="005C25D5" w:rsidRPr="00D53B8E" w:rsidSect="001B786B">
      <w:headerReference w:type="default" r:id="rId10"/>
      <w:footerReference w:type="default" r:id="rId11"/>
      <w:headerReference w:type="first" r:id="rId12"/>
      <w:footerReference w:type="first" r:id="rId13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4D467B" w:rsidRDefault="004D467B">
      <w:r>
        <w:separator/>
      </w:r>
    </w:p>
  </w:endnote>
  <w:endnote w:type="continuationSeparator" w:id="0">
    <w:p w14:paraId="63E8188B" w14:textId="77777777" w:rsidR="004D467B" w:rsidRDefault="004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4D467B" w:rsidRDefault="004D467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4D467B" w:rsidRDefault="004D467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4D467B" w:rsidRPr="006456EA" w:rsidRDefault="004D467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70E4CDC8" w:rsidR="004D467B" w:rsidRPr="006456EA" w:rsidRDefault="004D467B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1B6B94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1B6B94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6BA7DE9C" w:rsidR="004D467B" w:rsidRPr="006456EA" w:rsidRDefault="004D467B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>
      <w:rPr>
        <w:rFonts w:ascii="Source Sans Pro" w:hAnsi="Source Sans Pro" w:cs="Source Sans Pro"/>
        <w:color w:val="0087A8"/>
        <w:sz w:val="18"/>
        <w:szCs w:val="18"/>
      </w:rPr>
      <w:t>T  +49 40 350802-588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45242CBE" w:rsidR="004D467B" w:rsidRPr="005644BE" w:rsidRDefault="004D467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 w:cs="Source Sans Pro"/>
        <w:color w:val="0087A8"/>
        <w:sz w:val="18"/>
        <w:szCs w:val="18"/>
      </w:rPr>
      <w:t>Corinna Fühner</w:t>
    </w:r>
    <w:r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>
      <w:rPr>
        <w:rStyle w:val="Seitenzahl"/>
      </w:rPr>
      <w:tab/>
    </w: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4D467B" w:rsidRPr="001B786B" w:rsidRDefault="004D467B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6D060465" w:rsidR="004D467B" w:rsidRPr="006456EA" w:rsidRDefault="004D467B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3F2300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3F2300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647A1973" w:rsidR="004D467B" w:rsidRPr="006456EA" w:rsidRDefault="004D467B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Pr="006456EA">
      <w:rPr>
        <w:rFonts w:ascii="Source Sans Pro" w:hAnsi="Source Sans Pro" w:cs="Source Sans Pro"/>
        <w:color w:val="0087A8"/>
        <w:sz w:val="18"/>
        <w:szCs w:val="18"/>
      </w:rPr>
      <w:t>T  +</w:t>
    </w:r>
    <w:r>
      <w:rPr>
        <w:rFonts w:ascii="Source Sans Pro" w:hAnsi="Source Sans Pro" w:cs="Source Sans Pro"/>
        <w:color w:val="0087A8"/>
        <w:sz w:val="18"/>
        <w:szCs w:val="18"/>
      </w:rPr>
      <w:t>49 40 350802-588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20938C22" w:rsidR="004D467B" w:rsidRPr="006456EA" w:rsidRDefault="004D467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 w:cs="Source Sans Pro"/>
        <w:color w:val="0087A8"/>
        <w:sz w:val="18"/>
        <w:szCs w:val="18"/>
      </w:rPr>
      <w:t>Corinna Fühner</w:t>
    </w:r>
    <w:r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4D467B" w:rsidRDefault="004D467B">
      <w:r>
        <w:separator/>
      </w:r>
    </w:p>
  </w:footnote>
  <w:footnote w:type="continuationSeparator" w:id="0">
    <w:p w14:paraId="76B94CF8" w14:textId="77777777" w:rsidR="004D467B" w:rsidRDefault="004D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467B" w:rsidRDefault="004D467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736273E" w14:textId="0051BB57" w:rsidR="004D467B" w:rsidRDefault="004D467B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4D467B" w:rsidRDefault="004D467B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4D467B" w:rsidRDefault="004D467B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4D467B" w:rsidRDefault="004D467B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4D467B" w:rsidRPr="00B922EE" w:rsidRDefault="004D467B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tab/>
    </w:r>
  </w:p>
  <w:p w14:paraId="3EAD45CF" w14:textId="5FC2DEDD" w:rsidR="004D467B" w:rsidRDefault="004D467B" w:rsidP="0005029E">
    <w:r>
      <w:tab/>
    </w:r>
  </w:p>
  <w:p w14:paraId="185BEDCB" w14:textId="4F512084" w:rsidR="004D467B" w:rsidRDefault="004D467B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467B" w:rsidRDefault="004D467B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4D467B" w:rsidRPr="00DA6836" w:rsidRDefault="004D467B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4D467B" w:rsidRDefault="004D467B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0AB1"/>
    <w:multiLevelType w:val="multilevel"/>
    <w:tmpl w:val="C3DE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14998"/>
    <w:multiLevelType w:val="multilevel"/>
    <w:tmpl w:val="3872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96704"/>
    <w:multiLevelType w:val="multilevel"/>
    <w:tmpl w:val="7E9C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96799"/>
    <w:multiLevelType w:val="multilevel"/>
    <w:tmpl w:val="559C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8677B"/>
    <w:multiLevelType w:val="multilevel"/>
    <w:tmpl w:val="5332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24326"/>
    <w:multiLevelType w:val="multilevel"/>
    <w:tmpl w:val="A2E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4E93"/>
    <w:rsid w:val="000136D7"/>
    <w:rsid w:val="00013D73"/>
    <w:rsid w:val="00020AC9"/>
    <w:rsid w:val="00027EA3"/>
    <w:rsid w:val="00032028"/>
    <w:rsid w:val="00036302"/>
    <w:rsid w:val="000373BE"/>
    <w:rsid w:val="000416A9"/>
    <w:rsid w:val="000440EB"/>
    <w:rsid w:val="0005029E"/>
    <w:rsid w:val="000663B5"/>
    <w:rsid w:val="00066A8A"/>
    <w:rsid w:val="00077E8A"/>
    <w:rsid w:val="00082C59"/>
    <w:rsid w:val="00091562"/>
    <w:rsid w:val="0009382E"/>
    <w:rsid w:val="000A4FBB"/>
    <w:rsid w:val="000A6A78"/>
    <w:rsid w:val="000B310B"/>
    <w:rsid w:val="000C3A22"/>
    <w:rsid w:val="000C700E"/>
    <w:rsid w:val="000D5A87"/>
    <w:rsid w:val="000D7B09"/>
    <w:rsid w:val="000D7FD3"/>
    <w:rsid w:val="000E194E"/>
    <w:rsid w:val="000E4F2C"/>
    <w:rsid w:val="000E6577"/>
    <w:rsid w:val="000F57F1"/>
    <w:rsid w:val="00113D8C"/>
    <w:rsid w:val="00120624"/>
    <w:rsid w:val="0012156C"/>
    <w:rsid w:val="00136D6C"/>
    <w:rsid w:val="00142E6E"/>
    <w:rsid w:val="00150092"/>
    <w:rsid w:val="001550FE"/>
    <w:rsid w:val="00155828"/>
    <w:rsid w:val="00161817"/>
    <w:rsid w:val="0016190D"/>
    <w:rsid w:val="00162CC4"/>
    <w:rsid w:val="001647B3"/>
    <w:rsid w:val="00166ED2"/>
    <w:rsid w:val="00167437"/>
    <w:rsid w:val="00184BB0"/>
    <w:rsid w:val="001963BB"/>
    <w:rsid w:val="001A22F5"/>
    <w:rsid w:val="001A38A9"/>
    <w:rsid w:val="001B6B94"/>
    <w:rsid w:val="001B786B"/>
    <w:rsid w:val="001C13A8"/>
    <w:rsid w:val="001C3C07"/>
    <w:rsid w:val="001C518B"/>
    <w:rsid w:val="001E1829"/>
    <w:rsid w:val="001E5503"/>
    <w:rsid w:val="001E7C76"/>
    <w:rsid w:val="001F218D"/>
    <w:rsid w:val="001F35E1"/>
    <w:rsid w:val="00200C83"/>
    <w:rsid w:val="00200EB8"/>
    <w:rsid w:val="002014F7"/>
    <w:rsid w:val="00202DD3"/>
    <w:rsid w:val="0020665D"/>
    <w:rsid w:val="0022694F"/>
    <w:rsid w:val="00232E71"/>
    <w:rsid w:val="00235393"/>
    <w:rsid w:val="00237082"/>
    <w:rsid w:val="00264A0A"/>
    <w:rsid w:val="0026668A"/>
    <w:rsid w:val="00276CF5"/>
    <w:rsid w:val="0028070D"/>
    <w:rsid w:val="00282ED8"/>
    <w:rsid w:val="00290672"/>
    <w:rsid w:val="00291398"/>
    <w:rsid w:val="002963F4"/>
    <w:rsid w:val="002A09C2"/>
    <w:rsid w:val="002A480D"/>
    <w:rsid w:val="002A7D58"/>
    <w:rsid w:val="002B63FD"/>
    <w:rsid w:val="002C52C5"/>
    <w:rsid w:val="002C6967"/>
    <w:rsid w:val="002F461A"/>
    <w:rsid w:val="003152C9"/>
    <w:rsid w:val="00316196"/>
    <w:rsid w:val="003250ED"/>
    <w:rsid w:val="00337FB8"/>
    <w:rsid w:val="00341D84"/>
    <w:rsid w:val="003424EC"/>
    <w:rsid w:val="0034307A"/>
    <w:rsid w:val="00344495"/>
    <w:rsid w:val="0034454C"/>
    <w:rsid w:val="00344A02"/>
    <w:rsid w:val="0035006E"/>
    <w:rsid w:val="00355438"/>
    <w:rsid w:val="00355ED1"/>
    <w:rsid w:val="00363075"/>
    <w:rsid w:val="00366AF3"/>
    <w:rsid w:val="00371640"/>
    <w:rsid w:val="00374F87"/>
    <w:rsid w:val="003948FA"/>
    <w:rsid w:val="003A463F"/>
    <w:rsid w:val="003D36F0"/>
    <w:rsid w:val="003D5215"/>
    <w:rsid w:val="003E657D"/>
    <w:rsid w:val="003E772C"/>
    <w:rsid w:val="003F05D1"/>
    <w:rsid w:val="003F2300"/>
    <w:rsid w:val="003F293B"/>
    <w:rsid w:val="003F5E07"/>
    <w:rsid w:val="0040331F"/>
    <w:rsid w:val="00403C95"/>
    <w:rsid w:val="00423DAC"/>
    <w:rsid w:val="00425DBF"/>
    <w:rsid w:val="004329C6"/>
    <w:rsid w:val="004343B1"/>
    <w:rsid w:val="00434EB9"/>
    <w:rsid w:val="00445D87"/>
    <w:rsid w:val="00450AC5"/>
    <w:rsid w:val="00453F14"/>
    <w:rsid w:val="00456442"/>
    <w:rsid w:val="00474099"/>
    <w:rsid w:val="004820A7"/>
    <w:rsid w:val="00491CBC"/>
    <w:rsid w:val="00493B8F"/>
    <w:rsid w:val="004A2A30"/>
    <w:rsid w:val="004A2D54"/>
    <w:rsid w:val="004A60FB"/>
    <w:rsid w:val="004A64EE"/>
    <w:rsid w:val="004B5CB6"/>
    <w:rsid w:val="004C616B"/>
    <w:rsid w:val="004C6FA8"/>
    <w:rsid w:val="004D2CD0"/>
    <w:rsid w:val="004D30FB"/>
    <w:rsid w:val="004D467B"/>
    <w:rsid w:val="004F1EDD"/>
    <w:rsid w:val="004F77D4"/>
    <w:rsid w:val="00500981"/>
    <w:rsid w:val="00501428"/>
    <w:rsid w:val="005045E7"/>
    <w:rsid w:val="00510C33"/>
    <w:rsid w:val="005122A0"/>
    <w:rsid w:val="00530455"/>
    <w:rsid w:val="005349EA"/>
    <w:rsid w:val="0054038E"/>
    <w:rsid w:val="00541CB3"/>
    <w:rsid w:val="0054593A"/>
    <w:rsid w:val="00554C9F"/>
    <w:rsid w:val="00557B57"/>
    <w:rsid w:val="0056137E"/>
    <w:rsid w:val="005644BE"/>
    <w:rsid w:val="0057524E"/>
    <w:rsid w:val="00575A55"/>
    <w:rsid w:val="005831CA"/>
    <w:rsid w:val="00587D0E"/>
    <w:rsid w:val="005A5999"/>
    <w:rsid w:val="005C25D5"/>
    <w:rsid w:val="005D0D0E"/>
    <w:rsid w:val="005D2518"/>
    <w:rsid w:val="005D449F"/>
    <w:rsid w:val="005D73BE"/>
    <w:rsid w:val="005E1C97"/>
    <w:rsid w:val="005E4A59"/>
    <w:rsid w:val="005E6515"/>
    <w:rsid w:val="005F3B7B"/>
    <w:rsid w:val="0060257F"/>
    <w:rsid w:val="00605989"/>
    <w:rsid w:val="00613713"/>
    <w:rsid w:val="006224FB"/>
    <w:rsid w:val="0063115F"/>
    <w:rsid w:val="006363DA"/>
    <w:rsid w:val="006417A7"/>
    <w:rsid w:val="006432C0"/>
    <w:rsid w:val="006456EA"/>
    <w:rsid w:val="00653983"/>
    <w:rsid w:val="006609C2"/>
    <w:rsid w:val="00675E89"/>
    <w:rsid w:val="00681D99"/>
    <w:rsid w:val="006862FF"/>
    <w:rsid w:val="0068744F"/>
    <w:rsid w:val="00695F46"/>
    <w:rsid w:val="006A3C35"/>
    <w:rsid w:val="006A6D11"/>
    <w:rsid w:val="006B2259"/>
    <w:rsid w:val="006B3ECE"/>
    <w:rsid w:val="006C5754"/>
    <w:rsid w:val="006C7D7B"/>
    <w:rsid w:val="006D6526"/>
    <w:rsid w:val="006E674D"/>
    <w:rsid w:val="006E6770"/>
    <w:rsid w:val="006F154A"/>
    <w:rsid w:val="0070363C"/>
    <w:rsid w:val="00712023"/>
    <w:rsid w:val="007144E9"/>
    <w:rsid w:val="00714A1F"/>
    <w:rsid w:val="00717328"/>
    <w:rsid w:val="0072073D"/>
    <w:rsid w:val="00720883"/>
    <w:rsid w:val="00727C84"/>
    <w:rsid w:val="00742C04"/>
    <w:rsid w:val="0074571D"/>
    <w:rsid w:val="00750A05"/>
    <w:rsid w:val="00761832"/>
    <w:rsid w:val="00771C92"/>
    <w:rsid w:val="00780DC2"/>
    <w:rsid w:val="007959C9"/>
    <w:rsid w:val="00797DA3"/>
    <w:rsid w:val="007A4844"/>
    <w:rsid w:val="007B33CE"/>
    <w:rsid w:val="007B7B81"/>
    <w:rsid w:val="007C5441"/>
    <w:rsid w:val="007D1495"/>
    <w:rsid w:val="007D5A52"/>
    <w:rsid w:val="007D75C8"/>
    <w:rsid w:val="007E2C66"/>
    <w:rsid w:val="007F1021"/>
    <w:rsid w:val="007F2DBB"/>
    <w:rsid w:val="007F7E7C"/>
    <w:rsid w:val="00814CEF"/>
    <w:rsid w:val="00821A81"/>
    <w:rsid w:val="008245EC"/>
    <w:rsid w:val="00825F63"/>
    <w:rsid w:val="008322D8"/>
    <w:rsid w:val="00833CC0"/>
    <w:rsid w:val="00851067"/>
    <w:rsid w:val="00856A7C"/>
    <w:rsid w:val="00857B28"/>
    <w:rsid w:val="00864461"/>
    <w:rsid w:val="008739E7"/>
    <w:rsid w:val="00874645"/>
    <w:rsid w:val="00881685"/>
    <w:rsid w:val="008844D9"/>
    <w:rsid w:val="00891C3A"/>
    <w:rsid w:val="008A3A3B"/>
    <w:rsid w:val="008A7188"/>
    <w:rsid w:val="008B33CF"/>
    <w:rsid w:val="008C3CA8"/>
    <w:rsid w:val="008D4023"/>
    <w:rsid w:val="008F1C7E"/>
    <w:rsid w:val="008F2058"/>
    <w:rsid w:val="009064CE"/>
    <w:rsid w:val="00912233"/>
    <w:rsid w:val="00917410"/>
    <w:rsid w:val="009225DB"/>
    <w:rsid w:val="009264D0"/>
    <w:rsid w:val="0093360A"/>
    <w:rsid w:val="009358D3"/>
    <w:rsid w:val="00955433"/>
    <w:rsid w:val="00955764"/>
    <w:rsid w:val="00957A6F"/>
    <w:rsid w:val="00962CFF"/>
    <w:rsid w:val="009649C2"/>
    <w:rsid w:val="00965A06"/>
    <w:rsid w:val="00965DEB"/>
    <w:rsid w:val="009738DE"/>
    <w:rsid w:val="00980BEB"/>
    <w:rsid w:val="00980D94"/>
    <w:rsid w:val="00982F7B"/>
    <w:rsid w:val="009843D4"/>
    <w:rsid w:val="009862FC"/>
    <w:rsid w:val="0099076D"/>
    <w:rsid w:val="0099690F"/>
    <w:rsid w:val="00996D38"/>
    <w:rsid w:val="009A10C6"/>
    <w:rsid w:val="009B008F"/>
    <w:rsid w:val="009C3FDE"/>
    <w:rsid w:val="009E2BDD"/>
    <w:rsid w:val="009E36F5"/>
    <w:rsid w:val="009E6DF7"/>
    <w:rsid w:val="009F0449"/>
    <w:rsid w:val="009F28F5"/>
    <w:rsid w:val="00A07846"/>
    <w:rsid w:val="00A17CA6"/>
    <w:rsid w:val="00A22C2C"/>
    <w:rsid w:val="00A346EF"/>
    <w:rsid w:val="00A54087"/>
    <w:rsid w:val="00A63939"/>
    <w:rsid w:val="00A65690"/>
    <w:rsid w:val="00A65FB0"/>
    <w:rsid w:val="00A66A23"/>
    <w:rsid w:val="00A743C6"/>
    <w:rsid w:val="00A8148C"/>
    <w:rsid w:val="00A91DC1"/>
    <w:rsid w:val="00A9412B"/>
    <w:rsid w:val="00A9413F"/>
    <w:rsid w:val="00AB69AD"/>
    <w:rsid w:val="00AC696F"/>
    <w:rsid w:val="00AC6B15"/>
    <w:rsid w:val="00AD2569"/>
    <w:rsid w:val="00AD4124"/>
    <w:rsid w:val="00AE0761"/>
    <w:rsid w:val="00AE07A3"/>
    <w:rsid w:val="00AE0E7B"/>
    <w:rsid w:val="00AE2412"/>
    <w:rsid w:val="00AE2AC4"/>
    <w:rsid w:val="00AE318F"/>
    <w:rsid w:val="00AF0066"/>
    <w:rsid w:val="00AF237D"/>
    <w:rsid w:val="00AF27B7"/>
    <w:rsid w:val="00B005BD"/>
    <w:rsid w:val="00B03444"/>
    <w:rsid w:val="00B04493"/>
    <w:rsid w:val="00B04F23"/>
    <w:rsid w:val="00B14C16"/>
    <w:rsid w:val="00B14E68"/>
    <w:rsid w:val="00B22BF2"/>
    <w:rsid w:val="00B23669"/>
    <w:rsid w:val="00B24860"/>
    <w:rsid w:val="00B56AFB"/>
    <w:rsid w:val="00B576A5"/>
    <w:rsid w:val="00B66324"/>
    <w:rsid w:val="00B862DB"/>
    <w:rsid w:val="00B922EE"/>
    <w:rsid w:val="00B9596E"/>
    <w:rsid w:val="00BA7136"/>
    <w:rsid w:val="00BB0F85"/>
    <w:rsid w:val="00BC0132"/>
    <w:rsid w:val="00BC0598"/>
    <w:rsid w:val="00BC42C0"/>
    <w:rsid w:val="00BD2784"/>
    <w:rsid w:val="00BD3228"/>
    <w:rsid w:val="00BE5653"/>
    <w:rsid w:val="00BF11C6"/>
    <w:rsid w:val="00BF4C68"/>
    <w:rsid w:val="00C11004"/>
    <w:rsid w:val="00C111FE"/>
    <w:rsid w:val="00C1497F"/>
    <w:rsid w:val="00C20B9C"/>
    <w:rsid w:val="00C2509E"/>
    <w:rsid w:val="00C2778C"/>
    <w:rsid w:val="00C27F6A"/>
    <w:rsid w:val="00C35841"/>
    <w:rsid w:val="00C41C74"/>
    <w:rsid w:val="00C43C76"/>
    <w:rsid w:val="00C47F8B"/>
    <w:rsid w:val="00C50567"/>
    <w:rsid w:val="00C72D8F"/>
    <w:rsid w:val="00C742DD"/>
    <w:rsid w:val="00C846F6"/>
    <w:rsid w:val="00C96048"/>
    <w:rsid w:val="00C96214"/>
    <w:rsid w:val="00C9797F"/>
    <w:rsid w:val="00CA1FB9"/>
    <w:rsid w:val="00CA73C1"/>
    <w:rsid w:val="00CA79D7"/>
    <w:rsid w:val="00CC40B9"/>
    <w:rsid w:val="00CD7E39"/>
    <w:rsid w:val="00CE2EFB"/>
    <w:rsid w:val="00CE5A10"/>
    <w:rsid w:val="00D02FD8"/>
    <w:rsid w:val="00D03F3B"/>
    <w:rsid w:val="00D10832"/>
    <w:rsid w:val="00D3104C"/>
    <w:rsid w:val="00D42152"/>
    <w:rsid w:val="00D50FDD"/>
    <w:rsid w:val="00D53B8E"/>
    <w:rsid w:val="00D602AC"/>
    <w:rsid w:val="00D70824"/>
    <w:rsid w:val="00D7516B"/>
    <w:rsid w:val="00D760A9"/>
    <w:rsid w:val="00D76FF6"/>
    <w:rsid w:val="00D80BE8"/>
    <w:rsid w:val="00D925B8"/>
    <w:rsid w:val="00DA3B66"/>
    <w:rsid w:val="00DA4453"/>
    <w:rsid w:val="00DA6836"/>
    <w:rsid w:val="00DA733A"/>
    <w:rsid w:val="00DB2417"/>
    <w:rsid w:val="00DB3F9F"/>
    <w:rsid w:val="00DC05A3"/>
    <w:rsid w:val="00DC6A0C"/>
    <w:rsid w:val="00E03DB3"/>
    <w:rsid w:val="00E1280F"/>
    <w:rsid w:val="00E13D6B"/>
    <w:rsid w:val="00E17B2C"/>
    <w:rsid w:val="00E27DEF"/>
    <w:rsid w:val="00E32743"/>
    <w:rsid w:val="00E342C7"/>
    <w:rsid w:val="00E354F6"/>
    <w:rsid w:val="00E4317C"/>
    <w:rsid w:val="00E56D2A"/>
    <w:rsid w:val="00E63703"/>
    <w:rsid w:val="00E64DDC"/>
    <w:rsid w:val="00E704C6"/>
    <w:rsid w:val="00E71B01"/>
    <w:rsid w:val="00E775AC"/>
    <w:rsid w:val="00E77B98"/>
    <w:rsid w:val="00E8471E"/>
    <w:rsid w:val="00E91E8C"/>
    <w:rsid w:val="00E942DA"/>
    <w:rsid w:val="00E94EF3"/>
    <w:rsid w:val="00E959E9"/>
    <w:rsid w:val="00E95E00"/>
    <w:rsid w:val="00E97167"/>
    <w:rsid w:val="00EB0C34"/>
    <w:rsid w:val="00EB1611"/>
    <w:rsid w:val="00EB468A"/>
    <w:rsid w:val="00EC3DC1"/>
    <w:rsid w:val="00EC6CC2"/>
    <w:rsid w:val="00ED1C27"/>
    <w:rsid w:val="00ED6DCA"/>
    <w:rsid w:val="00EF7BE7"/>
    <w:rsid w:val="00F05141"/>
    <w:rsid w:val="00F167CB"/>
    <w:rsid w:val="00F2164E"/>
    <w:rsid w:val="00F240EB"/>
    <w:rsid w:val="00F315FE"/>
    <w:rsid w:val="00F31FE6"/>
    <w:rsid w:val="00F45BB8"/>
    <w:rsid w:val="00F479B2"/>
    <w:rsid w:val="00F53F80"/>
    <w:rsid w:val="00F5697E"/>
    <w:rsid w:val="00F673A2"/>
    <w:rsid w:val="00F72A3E"/>
    <w:rsid w:val="00F74B67"/>
    <w:rsid w:val="00F7577B"/>
    <w:rsid w:val="00F91726"/>
    <w:rsid w:val="00F925D8"/>
    <w:rsid w:val="00FB3B53"/>
    <w:rsid w:val="00FC69D9"/>
    <w:rsid w:val="00FD28C1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E7C7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E7C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nabsatz">
    <w:name w:val="List Paragraph"/>
    <w:basedOn w:val="Standard"/>
    <w:uiPriority w:val="34"/>
    <w:qFormat/>
    <w:rsid w:val="00D7516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2D8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2D8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2D8F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resear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rmanpropertypartners.de/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Corinna Fühner</cp:lastModifiedBy>
  <cp:revision>10</cp:revision>
  <cp:lastPrinted>2019-05-13T13:17:00Z</cp:lastPrinted>
  <dcterms:created xsi:type="dcterms:W3CDTF">2023-02-09T11:50:00Z</dcterms:created>
  <dcterms:modified xsi:type="dcterms:W3CDTF">2023-02-13T13:38:00Z</dcterms:modified>
</cp:coreProperties>
</file>