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2CEF" w14:textId="55243021" w:rsidR="000B1E51" w:rsidRPr="00E9423F" w:rsidRDefault="00436816" w:rsidP="00462FC6">
      <w:pPr>
        <w:widowControl w:val="0"/>
        <w:spacing w:after="40"/>
        <w:rPr>
          <w:rFonts w:ascii="Arial" w:hAnsi="Arial" w:cs="Arial"/>
          <w:b/>
          <w:color w:val="000000" w:themeColor="text1"/>
          <w:sz w:val="40"/>
          <w:szCs w:val="40"/>
        </w:rPr>
      </w:pPr>
      <w:r w:rsidRPr="00A93F42">
        <w:rPr>
          <w:rFonts w:ascii="Arial" w:hAnsi="Arial" w:cs="Arial"/>
          <w:noProof/>
          <w:color w:val="000000" w:themeColor="text1"/>
          <w:sz w:val="40"/>
          <w:szCs w:val="40"/>
          <w:lang w:eastAsia="de-DE"/>
        </w:rPr>
        <mc:AlternateContent>
          <mc:Choice Requires="wps">
            <w:drawing>
              <wp:anchor distT="0" distB="0" distL="114300" distR="114300" simplePos="0" relativeHeight="251658242" behindDoc="0" locked="0" layoutInCell="1" allowOverlap="1" wp14:anchorId="015496BC" wp14:editId="51BC4635">
                <wp:simplePos x="0" y="0"/>
                <wp:positionH relativeFrom="column">
                  <wp:posOffset>3749040</wp:posOffset>
                </wp:positionH>
                <wp:positionV relativeFrom="paragraph">
                  <wp:posOffset>-897255</wp:posOffset>
                </wp:positionV>
                <wp:extent cx="2209800" cy="803081"/>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03081"/>
                        </a:xfrm>
                        <a:prstGeom prst="rect">
                          <a:avLst/>
                        </a:prstGeom>
                        <a:noFill/>
                        <a:ln w="9525">
                          <a:noFill/>
                          <a:miter lim="800000"/>
                          <a:headEnd/>
                          <a:tailEnd/>
                        </a:ln>
                      </wps:spPr>
                      <wps:txbx>
                        <w:txbxContent>
                          <w:p w14:paraId="094CC07F" w14:textId="77777777" w:rsidR="00F3201C" w:rsidRDefault="00F3201C"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60817F35" w14:textId="034A9C0D" w:rsidR="00F3201C" w:rsidRDefault="00F3201C"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Herr Dennis Weinacht</w:t>
                            </w:r>
                          </w:p>
                          <w:p w14:paraId="711BE694" w14:textId="77777777" w:rsidR="00F3201C" w:rsidRDefault="00F3201C" w:rsidP="009743FB">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Telefon: +49 (0)69 / 907 448 761 </w:t>
                            </w:r>
                          </w:p>
                          <w:p w14:paraId="5669B5F9" w14:textId="77777777" w:rsidR="00F3201C" w:rsidRPr="00E22CF2" w:rsidRDefault="00F3201C" w:rsidP="009743FB">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Pr>
                                <w:rFonts w:ascii="Arial" w:hAnsi="Arial" w:cs="Arial"/>
                                <w:color w:val="808080" w:themeColor="background1" w:themeShade="80"/>
                                <w:sz w:val="16"/>
                                <w:szCs w:val="16"/>
                                <w:lang w:val="it-IT"/>
                              </w:rPr>
                              <w:t>gpp.presse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p w14:paraId="2C185EE6" w14:textId="232582E9" w:rsidR="00F3201C" w:rsidRPr="00DF13A7" w:rsidRDefault="00F3201C" w:rsidP="009743FB">
                            <w:pPr>
                              <w:spacing w:after="0" w:line="240" w:lineRule="auto"/>
                              <w:ind w:left="2124" w:hanging="2124"/>
                              <w:rPr>
                                <w:rFonts w:ascii="Arial" w:hAnsi="Arial" w:cs="Arial"/>
                                <w:color w:val="808080" w:themeColor="background1" w:themeShade="80"/>
                                <w:sz w:val="16"/>
                                <w:szCs w:val="16"/>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496BC" id="_x0000_t202" coordsize="21600,21600" o:spt="202" path="m,l,21600r21600,l21600,xe">
                <v:stroke joinstyle="miter"/>
                <v:path gradientshapeok="t" o:connecttype="rect"/>
              </v:shapetype>
              <v:shape id="Textfeld 2" o:spid="_x0000_s1026" type="#_x0000_t202" style="position:absolute;margin-left:295.2pt;margin-top:-70.65pt;width:174pt;height:6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" filled="f" stroked="f">
                <v:textbox>
                  <w:txbxContent>
                    <w:p w14:paraId="094CC07F" w14:textId="77777777" w:rsidR="00F3201C" w:rsidRDefault="00F3201C"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60817F35" w14:textId="034A9C0D" w:rsidR="00F3201C" w:rsidRDefault="00F3201C"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Herr Dennis Weinacht</w:t>
                      </w:r>
                    </w:p>
                    <w:p w14:paraId="711BE694" w14:textId="77777777" w:rsidR="00F3201C" w:rsidRDefault="00F3201C" w:rsidP="009743FB">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Telefon: +49 (0)69 / 907 448 761 </w:t>
                      </w:r>
                    </w:p>
                    <w:p w14:paraId="5669B5F9" w14:textId="77777777" w:rsidR="00F3201C" w:rsidRPr="00E22CF2" w:rsidRDefault="00F3201C" w:rsidP="009743FB">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Pr>
                          <w:rFonts w:ascii="Arial" w:hAnsi="Arial" w:cs="Arial"/>
                          <w:color w:val="808080" w:themeColor="background1" w:themeShade="80"/>
                          <w:sz w:val="16"/>
                          <w:szCs w:val="16"/>
                          <w:lang w:val="it-IT"/>
                        </w:rPr>
                        <w:t>gpp.presse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p w14:paraId="2C185EE6" w14:textId="232582E9" w:rsidR="00F3201C" w:rsidRPr="00DF13A7" w:rsidRDefault="00F3201C" w:rsidP="009743FB">
                      <w:pPr>
                        <w:spacing w:after="0" w:line="240" w:lineRule="auto"/>
                        <w:ind w:left="2124" w:hanging="2124"/>
                        <w:rPr>
                          <w:rFonts w:ascii="Arial" w:hAnsi="Arial" w:cs="Arial"/>
                          <w:color w:val="808080" w:themeColor="background1" w:themeShade="80"/>
                          <w:sz w:val="16"/>
                          <w:szCs w:val="16"/>
                          <w:lang w:val="it-IT"/>
                        </w:rPr>
                      </w:pPr>
                    </w:p>
                  </w:txbxContent>
                </v:textbox>
              </v:shape>
            </w:pict>
          </mc:Fallback>
        </mc:AlternateContent>
      </w:r>
      <w:r w:rsidR="000B1E51" w:rsidRPr="00A93F42">
        <w:rPr>
          <w:rFonts w:ascii="Arial" w:hAnsi="Arial" w:cs="Arial"/>
          <w:noProof/>
          <w:color w:val="000000" w:themeColor="text1"/>
          <w:sz w:val="40"/>
          <w:szCs w:val="40"/>
          <w:lang w:eastAsia="de-DE"/>
        </w:rPr>
        <mc:AlternateContent>
          <mc:Choice Requires="wps">
            <w:drawing>
              <wp:anchor distT="0" distB="0" distL="114300" distR="114300" simplePos="0" relativeHeight="251658241" behindDoc="0" locked="0" layoutInCell="1" allowOverlap="1" wp14:anchorId="725C4591" wp14:editId="58E5B5F6">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3B0EC696" w14:textId="77777777" w:rsidR="00F3201C" w:rsidRPr="000B1E51" w:rsidRDefault="00F3201C"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C4591"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3B0EC696" w14:textId="77777777" w:rsidR="00F3201C" w:rsidRPr="000B1E51" w:rsidRDefault="00F3201C"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87594"/>
      <w:r w:rsidR="009067B5">
        <w:rPr>
          <w:rFonts w:ascii="Arial" w:hAnsi="Arial" w:cs="Arial"/>
          <w:noProof/>
          <w:color w:val="000000" w:themeColor="text1"/>
          <w:sz w:val="40"/>
          <w:szCs w:val="40"/>
          <w:lang w:eastAsia="de-DE"/>
        </w:rPr>
        <w:t>TOP-7-INVESTMENTMÄRKTE</w:t>
      </w:r>
      <w:r w:rsidR="00364A00" w:rsidRPr="00A93F42">
        <w:rPr>
          <w:rFonts w:ascii="Arial" w:hAnsi="Arial" w:cs="Arial"/>
          <w:color w:val="000000" w:themeColor="text1"/>
          <w:sz w:val="40"/>
          <w:szCs w:val="40"/>
        </w:rPr>
        <w:t xml:space="preserve"> </w:t>
      </w:r>
      <w:r w:rsidR="008C2B51">
        <w:rPr>
          <w:rFonts w:ascii="Arial" w:hAnsi="Arial" w:cs="Arial"/>
          <w:color w:val="000000" w:themeColor="text1"/>
          <w:sz w:val="40"/>
          <w:szCs w:val="40"/>
        </w:rPr>
        <w:t>Q</w:t>
      </w:r>
      <w:r w:rsidR="008674F6">
        <w:rPr>
          <w:rFonts w:ascii="Arial" w:hAnsi="Arial" w:cs="Arial"/>
          <w:color w:val="000000" w:themeColor="text1"/>
          <w:sz w:val="40"/>
          <w:szCs w:val="40"/>
        </w:rPr>
        <w:t>4</w:t>
      </w:r>
      <w:r w:rsidR="008C2B51">
        <w:rPr>
          <w:rFonts w:ascii="Arial" w:hAnsi="Arial" w:cs="Arial"/>
          <w:color w:val="000000" w:themeColor="text1"/>
          <w:sz w:val="40"/>
          <w:szCs w:val="40"/>
        </w:rPr>
        <w:t>/</w:t>
      </w:r>
      <w:r w:rsidR="00364A00" w:rsidRPr="00E9423F">
        <w:rPr>
          <w:rFonts w:ascii="Arial" w:hAnsi="Arial" w:cs="Arial"/>
          <w:color w:val="000000" w:themeColor="text1"/>
          <w:sz w:val="40"/>
          <w:szCs w:val="40"/>
        </w:rPr>
        <w:t>201</w:t>
      </w:r>
      <w:bookmarkEnd w:id="0"/>
      <w:r w:rsidR="001D6B1E">
        <w:rPr>
          <w:rFonts w:ascii="Arial" w:hAnsi="Arial" w:cs="Arial"/>
          <w:color w:val="000000" w:themeColor="text1"/>
          <w:sz w:val="40"/>
          <w:szCs w:val="40"/>
        </w:rPr>
        <w:t>9</w:t>
      </w:r>
    </w:p>
    <w:p w14:paraId="4BB46D8D" w14:textId="3CE34881" w:rsidR="009C5A31" w:rsidRPr="00C10A32" w:rsidRDefault="00395EF7" w:rsidP="009C5A31">
      <w:pPr>
        <w:widowControl w:val="0"/>
        <w:spacing w:after="120"/>
        <w:rPr>
          <w:rFonts w:ascii="Arial" w:hAnsi="Arial" w:cs="Arial"/>
          <w:b/>
          <w:caps/>
          <w:color w:val="000000" w:themeColor="text1"/>
          <w:sz w:val="39"/>
          <w:szCs w:val="39"/>
        </w:rPr>
      </w:pPr>
      <w:r>
        <w:rPr>
          <w:rFonts w:ascii="Arial" w:hAnsi="Arial" w:cs="Arial"/>
          <w:b/>
          <w:caps/>
          <w:color w:val="000000" w:themeColor="text1"/>
          <w:sz w:val="39"/>
          <w:szCs w:val="39"/>
        </w:rPr>
        <w:t>Ergebnis</w:t>
      </w:r>
      <w:r w:rsidR="0017203A">
        <w:rPr>
          <w:rFonts w:ascii="Arial" w:hAnsi="Arial" w:cs="Arial"/>
          <w:b/>
          <w:caps/>
          <w:color w:val="000000" w:themeColor="text1"/>
          <w:sz w:val="39"/>
          <w:szCs w:val="39"/>
        </w:rPr>
        <w:t>se</w:t>
      </w:r>
      <w:r>
        <w:rPr>
          <w:rFonts w:ascii="Arial" w:hAnsi="Arial" w:cs="Arial"/>
          <w:b/>
          <w:caps/>
          <w:color w:val="000000" w:themeColor="text1"/>
          <w:sz w:val="39"/>
          <w:szCs w:val="39"/>
        </w:rPr>
        <w:t xml:space="preserve"> der vorjahre klar übertroffen</w:t>
      </w:r>
    </w:p>
    <w:p w14:paraId="409EDDED" w14:textId="0C876A3F" w:rsidR="00215B23" w:rsidRPr="009C5A31" w:rsidRDefault="00B5621B" w:rsidP="003B46B4">
      <w:pPr>
        <w:widowControl w:val="0"/>
        <w:spacing w:after="120"/>
        <w:jc w:val="center"/>
        <w:rPr>
          <w:rFonts w:ascii="Arial" w:hAnsi="Arial" w:cs="Arial"/>
          <w:color w:val="000000" w:themeColor="text1"/>
          <w:sz w:val="18"/>
          <w:szCs w:val="18"/>
        </w:rPr>
      </w:pPr>
      <w:r w:rsidRPr="00E9423F">
        <w:rPr>
          <w:noProof/>
          <w:color w:val="000000" w:themeColor="text1"/>
          <w:lang w:eastAsia="de-DE"/>
        </w:rPr>
        <mc:AlternateContent>
          <mc:Choice Requires="wps">
            <w:drawing>
              <wp:anchor distT="0" distB="0" distL="114300" distR="114300" simplePos="0" relativeHeight="251658240" behindDoc="0" locked="0" layoutInCell="1" allowOverlap="1" wp14:anchorId="7F827E59" wp14:editId="4C36105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86427"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p>
    <w:p w14:paraId="113AF45C" w14:textId="566BADCC" w:rsidR="00627610" w:rsidRDefault="003B46B4" w:rsidP="003B46B4">
      <w:pPr>
        <w:widowControl w:val="0"/>
        <w:spacing w:after="0"/>
        <w:jc w:val="center"/>
        <w:rPr>
          <w:rFonts w:ascii="Arial" w:hAnsi="Arial" w:cs="Arial"/>
          <w:b/>
          <w:color w:val="000000" w:themeColor="text1"/>
          <w:sz w:val="20"/>
          <w:szCs w:val="20"/>
        </w:rPr>
      </w:pPr>
      <w:bookmarkStart w:id="1" w:name="_Hlk526187632"/>
      <w:bookmarkStart w:id="2" w:name="_Hlk486831588"/>
      <w:bookmarkStart w:id="3" w:name="_GoBack"/>
      <w:r>
        <w:rPr>
          <w:noProof/>
        </w:rPr>
        <w:drawing>
          <wp:inline distT="0" distB="0" distL="0" distR="0" wp14:anchorId="70788820" wp14:editId="5B0B2A89">
            <wp:extent cx="4248150" cy="2531002"/>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9634" cy="2543802"/>
                    </a:xfrm>
                    <a:prstGeom prst="rect">
                      <a:avLst/>
                    </a:prstGeom>
                  </pic:spPr>
                </pic:pic>
              </a:graphicData>
            </a:graphic>
          </wp:inline>
        </w:drawing>
      </w:r>
      <w:bookmarkEnd w:id="3"/>
    </w:p>
    <w:p w14:paraId="7BF757C1" w14:textId="77777777" w:rsidR="003B46B4" w:rsidRDefault="003B46B4" w:rsidP="003B46B4">
      <w:pPr>
        <w:widowControl w:val="0"/>
        <w:spacing w:after="0"/>
        <w:jc w:val="center"/>
        <w:rPr>
          <w:rFonts w:ascii="Arial" w:hAnsi="Arial" w:cs="Arial"/>
          <w:b/>
          <w:color w:val="000000" w:themeColor="text1"/>
          <w:sz w:val="20"/>
          <w:szCs w:val="20"/>
        </w:rPr>
      </w:pPr>
    </w:p>
    <w:p w14:paraId="3DA02A29" w14:textId="2C9B5943" w:rsidR="00214705" w:rsidRPr="00214705" w:rsidRDefault="009C5A31" w:rsidP="0CE0A877">
      <w:pPr>
        <w:widowControl w:val="0"/>
        <w:spacing w:after="0"/>
        <w:jc w:val="both"/>
        <w:rPr>
          <w:rFonts w:ascii="Arial" w:hAnsi="Arial" w:cs="Arial"/>
          <w:bCs/>
          <w:color w:val="000000" w:themeColor="text1"/>
          <w:sz w:val="20"/>
          <w:szCs w:val="20"/>
        </w:rPr>
      </w:pPr>
      <w:r w:rsidRPr="008343F4">
        <w:rPr>
          <w:rFonts w:ascii="Arial" w:hAnsi="Arial" w:cs="Arial"/>
          <w:b/>
          <w:color w:val="000000" w:themeColor="text1"/>
          <w:sz w:val="20"/>
          <w:szCs w:val="20"/>
        </w:rPr>
        <w:t>0</w:t>
      </w:r>
      <w:r w:rsidR="00110C24">
        <w:rPr>
          <w:rFonts w:ascii="Arial" w:hAnsi="Arial" w:cs="Arial"/>
          <w:b/>
          <w:color w:val="000000" w:themeColor="text1"/>
          <w:sz w:val="20"/>
          <w:szCs w:val="20"/>
        </w:rPr>
        <w:t>8</w:t>
      </w:r>
      <w:r w:rsidRPr="00E9423F">
        <w:rPr>
          <w:rFonts w:ascii="Arial" w:hAnsi="Arial" w:cs="Arial"/>
          <w:b/>
          <w:color w:val="000000" w:themeColor="text1"/>
          <w:sz w:val="20"/>
          <w:szCs w:val="20"/>
        </w:rPr>
        <w:t xml:space="preserve">. </w:t>
      </w:r>
      <w:r w:rsidR="00110C24">
        <w:rPr>
          <w:rFonts w:ascii="Arial" w:hAnsi="Arial" w:cs="Arial"/>
          <w:b/>
          <w:color w:val="000000" w:themeColor="text1"/>
          <w:sz w:val="20"/>
          <w:szCs w:val="20"/>
        </w:rPr>
        <w:t>Januar</w:t>
      </w:r>
      <w:r>
        <w:rPr>
          <w:rFonts w:ascii="Arial" w:hAnsi="Arial" w:cs="Arial"/>
          <w:b/>
          <w:color w:val="000000" w:themeColor="text1"/>
          <w:sz w:val="20"/>
          <w:szCs w:val="20"/>
        </w:rPr>
        <w:t xml:space="preserve"> 20</w:t>
      </w:r>
      <w:r w:rsidR="00110C24">
        <w:rPr>
          <w:rFonts w:ascii="Arial" w:hAnsi="Arial" w:cs="Arial"/>
          <w:b/>
          <w:color w:val="000000" w:themeColor="text1"/>
          <w:sz w:val="20"/>
          <w:szCs w:val="20"/>
        </w:rPr>
        <w:t>20</w:t>
      </w:r>
      <w:r w:rsidRPr="00E9423F">
        <w:rPr>
          <w:rFonts w:ascii="Arial" w:hAnsi="Arial" w:cs="Arial"/>
          <w:b/>
          <w:color w:val="000000" w:themeColor="text1"/>
          <w:sz w:val="20"/>
          <w:szCs w:val="20"/>
        </w:rPr>
        <w:t xml:space="preserve">, </w:t>
      </w:r>
      <w:r w:rsidR="00525CA3">
        <w:rPr>
          <w:rFonts w:ascii="Arial" w:hAnsi="Arial" w:cs="Arial"/>
          <w:b/>
          <w:color w:val="000000" w:themeColor="text1"/>
          <w:sz w:val="20"/>
          <w:szCs w:val="20"/>
        </w:rPr>
        <w:t>Frankfurt –</w:t>
      </w:r>
      <w:r w:rsidR="00214705">
        <w:rPr>
          <w:rFonts w:ascii="Arial" w:hAnsi="Arial" w:cs="Arial"/>
          <w:b/>
          <w:color w:val="000000" w:themeColor="text1"/>
          <w:sz w:val="20"/>
          <w:szCs w:val="20"/>
        </w:rPr>
        <w:t xml:space="preserve"> </w:t>
      </w:r>
      <w:r w:rsidR="004D361D">
        <w:rPr>
          <w:rFonts w:ascii="Arial" w:hAnsi="Arial" w:cs="Arial"/>
          <w:bCs/>
          <w:color w:val="000000" w:themeColor="text1"/>
          <w:sz w:val="20"/>
          <w:szCs w:val="20"/>
        </w:rPr>
        <w:t>Das Jahr auf dem Markt der Gewerbeimmobilien endet</w:t>
      </w:r>
      <w:r w:rsidR="00F53F87">
        <w:rPr>
          <w:rFonts w:ascii="Arial" w:hAnsi="Arial" w:cs="Arial"/>
          <w:bCs/>
          <w:color w:val="000000" w:themeColor="text1"/>
          <w:sz w:val="20"/>
          <w:szCs w:val="20"/>
        </w:rPr>
        <w:t>e</w:t>
      </w:r>
      <w:r w:rsidR="004D361D">
        <w:rPr>
          <w:rFonts w:ascii="Arial" w:hAnsi="Arial" w:cs="Arial"/>
          <w:bCs/>
          <w:color w:val="000000" w:themeColor="text1"/>
          <w:sz w:val="20"/>
          <w:szCs w:val="20"/>
        </w:rPr>
        <w:t xml:space="preserve"> mit einem</w:t>
      </w:r>
      <w:r w:rsidR="00911DB4">
        <w:rPr>
          <w:rFonts w:ascii="Arial" w:hAnsi="Arial" w:cs="Arial"/>
          <w:bCs/>
          <w:color w:val="000000" w:themeColor="text1"/>
          <w:sz w:val="20"/>
          <w:szCs w:val="20"/>
        </w:rPr>
        <w:t xml:space="preserve"> sehr starken Ergebnis</w:t>
      </w:r>
      <w:r w:rsidR="00F53F87">
        <w:rPr>
          <w:rFonts w:ascii="Arial" w:hAnsi="Arial" w:cs="Arial"/>
          <w:bCs/>
          <w:color w:val="000000" w:themeColor="text1"/>
          <w:sz w:val="20"/>
          <w:szCs w:val="20"/>
        </w:rPr>
        <w:t>.</w:t>
      </w:r>
      <w:r w:rsidR="004D361D">
        <w:rPr>
          <w:rFonts w:ascii="Arial" w:hAnsi="Arial" w:cs="Arial"/>
          <w:bCs/>
          <w:color w:val="000000" w:themeColor="text1"/>
          <w:sz w:val="20"/>
          <w:szCs w:val="20"/>
        </w:rPr>
        <w:t xml:space="preserve"> Laut aktuelle</w:t>
      </w:r>
      <w:r w:rsidR="00EE0697">
        <w:rPr>
          <w:rFonts w:ascii="Arial" w:hAnsi="Arial" w:cs="Arial"/>
          <w:bCs/>
          <w:color w:val="000000" w:themeColor="text1"/>
          <w:sz w:val="20"/>
          <w:szCs w:val="20"/>
        </w:rPr>
        <w:t>r</w:t>
      </w:r>
      <w:r w:rsidR="004D361D">
        <w:rPr>
          <w:rFonts w:ascii="Arial" w:hAnsi="Arial" w:cs="Arial"/>
          <w:bCs/>
          <w:color w:val="000000" w:themeColor="text1"/>
          <w:sz w:val="20"/>
          <w:szCs w:val="20"/>
        </w:rPr>
        <w:t xml:space="preserve"> Zahlen von </w:t>
      </w:r>
      <w:r w:rsidR="004D361D" w:rsidRPr="00911DB4">
        <w:rPr>
          <w:rFonts w:ascii="Arial" w:hAnsi="Arial" w:cs="Arial"/>
          <w:b/>
          <w:color w:val="000000" w:themeColor="text1"/>
          <w:sz w:val="20"/>
          <w:szCs w:val="20"/>
        </w:rPr>
        <w:t>German Property Partners (GPP)</w:t>
      </w:r>
      <w:r w:rsidR="004D361D">
        <w:rPr>
          <w:rFonts w:ascii="Arial" w:hAnsi="Arial" w:cs="Arial"/>
          <w:bCs/>
          <w:color w:val="000000" w:themeColor="text1"/>
          <w:sz w:val="20"/>
          <w:szCs w:val="20"/>
        </w:rPr>
        <w:t xml:space="preserve"> lag das Transaktionsvolumen (TAV) im Jahr 2019 bei sehr hohen </w:t>
      </w:r>
      <w:r w:rsidR="00911DB4">
        <w:rPr>
          <w:rFonts w:ascii="Arial" w:hAnsi="Arial" w:cs="Arial"/>
          <w:bCs/>
          <w:color w:val="000000" w:themeColor="text1"/>
          <w:sz w:val="20"/>
          <w:szCs w:val="20"/>
        </w:rPr>
        <w:t>40</w:t>
      </w:r>
      <w:r w:rsidR="004D361D">
        <w:rPr>
          <w:rFonts w:ascii="Arial" w:hAnsi="Arial" w:cs="Arial"/>
          <w:bCs/>
          <w:color w:val="000000" w:themeColor="text1"/>
          <w:sz w:val="20"/>
          <w:szCs w:val="20"/>
        </w:rPr>
        <w:t>,</w:t>
      </w:r>
      <w:r w:rsidR="00911DB4">
        <w:rPr>
          <w:rFonts w:ascii="Arial" w:hAnsi="Arial" w:cs="Arial"/>
          <w:bCs/>
          <w:color w:val="000000" w:themeColor="text1"/>
          <w:sz w:val="20"/>
          <w:szCs w:val="20"/>
        </w:rPr>
        <w:t>87</w:t>
      </w:r>
      <w:r w:rsidR="004D361D">
        <w:rPr>
          <w:rFonts w:ascii="Arial" w:hAnsi="Arial" w:cs="Arial"/>
          <w:bCs/>
          <w:color w:val="000000" w:themeColor="text1"/>
          <w:sz w:val="20"/>
          <w:szCs w:val="20"/>
        </w:rPr>
        <w:t xml:space="preserve"> Mrd. €.</w:t>
      </w:r>
      <w:r w:rsidR="00911DB4">
        <w:rPr>
          <w:rFonts w:ascii="Arial" w:hAnsi="Arial" w:cs="Arial"/>
          <w:bCs/>
          <w:color w:val="000000" w:themeColor="text1"/>
          <w:sz w:val="20"/>
          <w:szCs w:val="20"/>
        </w:rPr>
        <w:t xml:space="preserve"> Das </w:t>
      </w:r>
      <w:r w:rsidR="00F53F87">
        <w:rPr>
          <w:rFonts w:ascii="Arial" w:hAnsi="Arial" w:cs="Arial"/>
          <w:bCs/>
          <w:color w:val="000000" w:themeColor="text1"/>
          <w:sz w:val="20"/>
          <w:szCs w:val="20"/>
        </w:rPr>
        <w:t>bedeutet</w:t>
      </w:r>
      <w:r w:rsidR="00911DB4">
        <w:rPr>
          <w:rFonts w:ascii="Arial" w:hAnsi="Arial" w:cs="Arial"/>
          <w:bCs/>
          <w:color w:val="000000" w:themeColor="text1"/>
          <w:sz w:val="20"/>
          <w:szCs w:val="20"/>
        </w:rPr>
        <w:t xml:space="preserve"> einen Anstieg von 11 % im Vergleich zum Vorjahr (36,71 Mrd. €). </w:t>
      </w:r>
      <w:r w:rsidR="004D361D">
        <w:rPr>
          <w:rFonts w:ascii="Arial" w:hAnsi="Arial" w:cs="Arial"/>
          <w:bCs/>
          <w:color w:val="000000" w:themeColor="text1"/>
          <w:sz w:val="20"/>
          <w:szCs w:val="20"/>
        </w:rPr>
        <w:t xml:space="preserve"> Die Nachfrage nach Immobilien an den Top-7-Standorten ist höher denn je.</w:t>
      </w:r>
    </w:p>
    <w:p w14:paraId="3713C5AC" w14:textId="77777777" w:rsidR="00214705" w:rsidRDefault="00214705" w:rsidP="0CE0A877">
      <w:pPr>
        <w:widowControl w:val="0"/>
        <w:spacing w:after="0"/>
        <w:jc w:val="both"/>
        <w:rPr>
          <w:rFonts w:ascii="Arial" w:hAnsi="Arial" w:cs="Arial"/>
          <w:b/>
          <w:color w:val="000000" w:themeColor="text1"/>
          <w:sz w:val="20"/>
          <w:szCs w:val="20"/>
        </w:rPr>
      </w:pPr>
    </w:p>
    <w:p w14:paraId="7A1085E6" w14:textId="6817D514" w:rsidR="00214705" w:rsidRDefault="00214705" w:rsidP="0CE0A877">
      <w:pPr>
        <w:widowControl w:val="0"/>
        <w:spacing w:after="0"/>
        <w:jc w:val="both"/>
        <w:rPr>
          <w:rFonts w:ascii="Arial" w:hAnsi="Arial" w:cs="Arial"/>
          <w:bCs/>
          <w:color w:val="000000" w:themeColor="text1"/>
          <w:sz w:val="20"/>
          <w:szCs w:val="20"/>
        </w:rPr>
      </w:pPr>
      <w:r w:rsidRPr="00911DB4">
        <w:rPr>
          <w:rFonts w:ascii="Arial" w:hAnsi="Arial" w:cs="Arial"/>
          <w:b/>
          <w:color w:val="000000" w:themeColor="text1"/>
          <w:sz w:val="20"/>
          <w:szCs w:val="20"/>
        </w:rPr>
        <w:t>Oliver Schön, Sprecher von GPP</w:t>
      </w:r>
      <w:r>
        <w:rPr>
          <w:rFonts w:ascii="Arial" w:hAnsi="Arial" w:cs="Arial"/>
          <w:bCs/>
          <w:color w:val="000000" w:themeColor="text1"/>
          <w:sz w:val="20"/>
          <w:szCs w:val="20"/>
        </w:rPr>
        <w:t>: „</w:t>
      </w:r>
      <w:r w:rsidR="00BC11BF">
        <w:rPr>
          <w:rFonts w:ascii="Arial" w:hAnsi="Arial" w:cs="Arial"/>
          <w:bCs/>
          <w:color w:val="000000" w:themeColor="text1"/>
          <w:sz w:val="20"/>
          <w:szCs w:val="20"/>
        </w:rPr>
        <w:t>Die</w:t>
      </w:r>
      <w:r w:rsidR="00BC11BF" w:rsidRPr="00214705">
        <w:rPr>
          <w:rFonts w:ascii="Arial" w:hAnsi="Arial" w:cs="Arial"/>
          <w:bCs/>
          <w:color w:val="000000" w:themeColor="text1"/>
          <w:sz w:val="20"/>
          <w:szCs w:val="20"/>
        </w:rPr>
        <w:t xml:space="preserve"> </w:t>
      </w:r>
      <w:r>
        <w:rPr>
          <w:rFonts w:ascii="Arial" w:hAnsi="Arial" w:cs="Arial"/>
          <w:bCs/>
          <w:color w:val="000000" w:themeColor="text1"/>
          <w:sz w:val="20"/>
          <w:szCs w:val="20"/>
        </w:rPr>
        <w:t>Investoren</w:t>
      </w:r>
      <w:r w:rsidRPr="00214705">
        <w:rPr>
          <w:rFonts w:ascii="Arial" w:hAnsi="Arial" w:cs="Arial"/>
          <w:bCs/>
          <w:color w:val="000000" w:themeColor="text1"/>
          <w:sz w:val="20"/>
          <w:szCs w:val="20"/>
        </w:rPr>
        <w:t xml:space="preserve"> </w:t>
      </w:r>
      <w:r w:rsidR="00F53F87">
        <w:rPr>
          <w:rFonts w:ascii="Arial" w:hAnsi="Arial" w:cs="Arial"/>
          <w:bCs/>
          <w:color w:val="000000" w:themeColor="text1"/>
          <w:sz w:val="20"/>
          <w:szCs w:val="20"/>
        </w:rPr>
        <w:t>stehen unter</w:t>
      </w:r>
      <w:r w:rsidRPr="00214705">
        <w:rPr>
          <w:rFonts w:ascii="Arial" w:hAnsi="Arial" w:cs="Arial"/>
          <w:bCs/>
          <w:color w:val="000000" w:themeColor="text1"/>
          <w:sz w:val="20"/>
          <w:szCs w:val="20"/>
        </w:rPr>
        <w:t xml:space="preserve"> eine</w:t>
      </w:r>
      <w:r w:rsidR="00F53F87">
        <w:rPr>
          <w:rFonts w:ascii="Arial" w:hAnsi="Arial" w:cs="Arial"/>
          <w:bCs/>
          <w:color w:val="000000" w:themeColor="text1"/>
          <w:sz w:val="20"/>
          <w:szCs w:val="20"/>
        </w:rPr>
        <w:t>m</w:t>
      </w:r>
      <w:r w:rsidRPr="00214705">
        <w:rPr>
          <w:rFonts w:ascii="Arial" w:hAnsi="Arial" w:cs="Arial"/>
          <w:bCs/>
          <w:color w:val="000000" w:themeColor="text1"/>
          <w:sz w:val="20"/>
          <w:szCs w:val="20"/>
        </w:rPr>
        <w:t xml:space="preserve"> hohen Anlagedruck</w:t>
      </w:r>
      <w:r w:rsidR="004E59BD">
        <w:rPr>
          <w:rFonts w:ascii="Arial" w:hAnsi="Arial" w:cs="Arial"/>
          <w:bCs/>
          <w:color w:val="000000" w:themeColor="text1"/>
          <w:sz w:val="20"/>
          <w:szCs w:val="20"/>
        </w:rPr>
        <w:t xml:space="preserve"> und Immobilien werfen im Vergleich zu anderen Asset</w:t>
      </w:r>
      <w:r w:rsidR="003A4681">
        <w:rPr>
          <w:rFonts w:ascii="Arial" w:hAnsi="Arial" w:cs="Arial"/>
          <w:bCs/>
          <w:color w:val="000000" w:themeColor="text1"/>
          <w:sz w:val="20"/>
          <w:szCs w:val="20"/>
        </w:rPr>
        <w:t>s</w:t>
      </w:r>
      <w:r w:rsidR="004E59BD">
        <w:rPr>
          <w:rFonts w:ascii="Arial" w:hAnsi="Arial" w:cs="Arial"/>
          <w:bCs/>
          <w:color w:val="000000" w:themeColor="text1"/>
          <w:sz w:val="20"/>
          <w:szCs w:val="20"/>
        </w:rPr>
        <w:t xml:space="preserve"> immer noch gute Rendite</w:t>
      </w:r>
      <w:r w:rsidR="00F53F87">
        <w:rPr>
          <w:rFonts w:ascii="Arial" w:hAnsi="Arial" w:cs="Arial"/>
          <w:bCs/>
          <w:color w:val="000000" w:themeColor="text1"/>
          <w:sz w:val="20"/>
          <w:szCs w:val="20"/>
        </w:rPr>
        <w:t>n</w:t>
      </w:r>
      <w:r w:rsidR="004E59BD">
        <w:rPr>
          <w:rFonts w:ascii="Arial" w:hAnsi="Arial" w:cs="Arial"/>
          <w:bCs/>
          <w:color w:val="000000" w:themeColor="text1"/>
          <w:sz w:val="20"/>
          <w:szCs w:val="20"/>
        </w:rPr>
        <w:t xml:space="preserve"> ab</w:t>
      </w:r>
      <w:r w:rsidRPr="00214705">
        <w:rPr>
          <w:rFonts w:ascii="Arial" w:hAnsi="Arial" w:cs="Arial"/>
          <w:bCs/>
          <w:color w:val="000000" w:themeColor="text1"/>
          <w:sz w:val="20"/>
          <w:szCs w:val="20"/>
        </w:rPr>
        <w:t xml:space="preserve">. </w:t>
      </w:r>
      <w:r w:rsidR="00BC11BF">
        <w:rPr>
          <w:rFonts w:ascii="Arial" w:hAnsi="Arial" w:cs="Arial"/>
          <w:bCs/>
          <w:color w:val="000000" w:themeColor="text1"/>
          <w:sz w:val="20"/>
          <w:szCs w:val="20"/>
        </w:rPr>
        <w:t>Nicht zuletzt d</w:t>
      </w:r>
      <w:r w:rsidRPr="00214705">
        <w:rPr>
          <w:rFonts w:ascii="Arial" w:hAnsi="Arial" w:cs="Arial"/>
          <w:bCs/>
          <w:color w:val="000000" w:themeColor="text1"/>
          <w:sz w:val="20"/>
          <w:szCs w:val="20"/>
        </w:rPr>
        <w:t xml:space="preserve">as Zinsumfeld stellt </w:t>
      </w:r>
      <w:r w:rsidR="00BC11BF">
        <w:rPr>
          <w:rFonts w:ascii="Arial" w:hAnsi="Arial" w:cs="Arial"/>
          <w:bCs/>
          <w:color w:val="000000" w:themeColor="text1"/>
          <w:sz w:val="20"/>
          <w:szCs w:val="20"/>
        </w:rPr>
        <w:t>sie</w:t>
      </w:r>
      <w:r w:rsidR="00BC11BF" w:rsidRPr="00214705">
        <w:rPr>
          <w:rFonts w:ascii="Arial" w:hAnsi="Arial" w:cs="Arial"/>
          <w:bCs/>
          <w:color w:val="000000" w:themeColor="text1"/>
          <w:sz w:val="20"/>
          <w:szCs w:val="20"/>
        </w:rPr>
        <w:t xml:space="preserve"> </w:t>
      </w:r>
      <w:r w:rsidR="004E59BD">
        <w:rPr>
          <w:rFonts w:ascii="Arial" w:hAnsi="Arial" w:cs="Arial"/>
          <w:bCs/>
          <w:color w:val="000000" w:themeColor="text1"/>
          <w:sz w:val="20"/>
          <w:szCs w:val="20"/>
        </w:rPr>
        <w:t xml:space="preserve">aber </w:t>
      </w:r>
      <w:r w:rsidRPr="00214705">
        <w:rPr>
          <w:rFonts w:ascii="Arial" w:hAnsi="Arial" w:cs="Arial"/>
          <w:bCs/>
          <w:color w:val="000000" w:themeColor="text1"/>
          <w:sz w:val="20"/>
          <w:szCs w:val="20"/>
        </w:rPr>
        <w:t>vor immer größere Herausforderungen</w:t>
      </w:r>
      <w:r w:rsidR="00BC11BF">
        <w:rPr>
          <w:rFonts w:ascii="Arial" w:hAnsi="Arial" w:cs="Arial"/>
          <w:bCs/>
          <w:color w:val="000000" w:themeColor="text1"/>
          <w:sz w:val="20"/>
          <w:szCs w:val="20"/>
        </w:rPr>
        <w:t>. Es wird damit zu rechnen sein, dass es im laufenden Jahr zunehmend an klassischen Prime-Produkten mangeln wird</w:t>
      </w:r>
      <w:r w:rsidR="00EB58BB">
        <w:rPr>
          <w:rFonts w:ascii="Arial" w:hAnsi="Arial" w:cs="Arial"/>
          <w:bCs/>
          <w:color w:val="000000" w:themeColor="text1"/>
          <w:sz w:val="20"/>
          <w:szCs w:val="20"/>
        </w:rPr>
        <w:t>,</w:t>
      </w:r>
      <w:r w:rsidR="00BC11BF">
        <w:rPr>
          <w:rFonts w:ascii="Arial" w:hAnsi="Arial" w:cs="Arial"/>
          <w:bCs/>
          <w:color w:val="000000" w:themeColor="text1"/>
          <w:sz w:val="20"/>
          <w:szCs w:val="20"/>
        </w:rPr>
        <w:t xml:space="preserve"> bzw. dass hierfür die Faktoren weiter steige</w:t>
      </w:r>
      <w:r w:rsidR="00EB58BB">
        <w:rPr>
          <w:rFonts w:ascii="Arial" w:hAnsi="Arial" w:cs="Arial"/>
          <w:bCs/>
          <w:color w:val="000000" w:themeColor="text1"/>
          <w:sz w:val="20"/>
          <w:szCs w:val="20"/>
        </w:rPr>
        <w:t>n.“</w:t>
      </w:r>
      <w:r w:rsidRPr="00214705">
        <w:rPr>
          <w:rFonts w:ascii="Arial" w:hAnsi="Arial" w:cs="Arial"/>
          <w:bCs/>
          <w:color w:val="000000" w:themeColor="text1"/>
          <w:sz w:val="20"/>
          <w:szCs w:val="20"/>
        </w:rPr>
        <w:tab/>
      </w:r>
      <w:r w:rsidRPr="00214705">
        <w:rPr>
          <w:rFonts w:ascii="Arial" w:hAnsi="Arial" w:cs="Arial"/>
          <w:bCs/>
          <w:color w:val="000000" w:themeColor="text1"/>
          <w:sz w:val="20"/>
          <w:szCs w:val="20"/>
        </w:rPr>
        <w:tab/>
      </w:r>
    </w:p>
    <w:p w14:paraId="4889AB43" w14:textId="77777777" w:rsidR="00214705" w:rsidRDefault="00214705" w:rsidP="0CE0A877">
      <w:pPr>
        <w:widowControl w:val="0"/>
        <w:spacing w:after="0"/>
        <w:jc w:val="both"/>
        <w:rPr>
          <w:rFonts w:ascii="Arial" w:hAnsi="Arial" w:cs="Arial"/>
          <w:bCs/>
          <w:color w:val="000000" w:themeColor="text1"/>
          <w:sz w:val="20"/>
          <w:szCs w:val="20"/>
        </w:rPr>
      </w:pPr>
    </w:p>
    <w:p w14:paraId="0BFA48BD" w14:textId="30FBC9D4" w:rsidR="00FA7C35" w:rsidRPr="00FA7C35" w:rsidRDefault="00911DB4" w:rsidP="00FA7C35">
      <w:pPr>
        <w:widowControl w:val="0"/>
        <w:spacing w:after="0"/>
        <w:jc w:val="center"/>
        <w:rPr>
          <w:rFonts w:ascii="Arial" w:hAnsi="Arial" w:cs="Arial"/>
          <w:b/>
          <w:bCs/>
          <w:color w:val="000000" w:themeColor="text1"/>
          <w:sz w:val="20"/>
          <w:szCs w:val="20"/>
        </w:rPr>
      </w:pPr>
      <w:r>
        <w:rPr>
          <w:rFonts w:ascii="Arial" w:hAnsi="Arial" w:cs="Arial"/>
          <w:b/>
          <w:bCs/>
          <w:color w:val="000000" w:themeColor="text1"/>
          <w:sz w:val="20"/>
          <w:szCs w:val="20"/>
        </w:rPr>
        <w:t>BÜROIMMOBILIEN GEFRAGTESTE ASSETKLASSE</w:t>
      </w:r>
    </w:p>
    <w:p w14:paraId="250109E2" w14:textId="77777777" w:rsidR="00E95255" w:rsidRDefault="00E95255" w:rsidP="0CE0A877">
      <w:pPr>
        <w:widowControl w:val="0"/>
        <w:spacing w:after="0"/>
        <w:jc w:val="both"/>
        <w:rPr>
          <w:rFonts w:ascii="Arial" w:hAnsi="Arial" w:cs="Arial"/>
          <w:color w:val="000000" w:themeColor="text1"/>
          <w:sz w:val="20"/>
          <w:szCs w:val="20"/>
        </w:rPr>
      </w:pPr>
    </w:p>
    <w:p w14:paraId="0F3EAEB4" w14:textId="2DB587D0" w:rsidR="003A4681" w:rsidRDefault="00BC11BF" w:rsidP="003A4681">
      <w:pPr>
        <w:widowControl w:val="0"/>
        <w:spacing w:after="0"/>
        <w:jc w:val="both"/>
        <w:rPr>
          <w:rFonts w:ascii="Arial" w:hAnsi="Arial" w:cs="Arial"/>
          <w:color w:val="000000" w:themeColor="text1"/>
          <w:sz w:val="20"/>
          <w:szCs w:val="20"/>
        </w:rPr>
      </w:pPr>
      <w:r>
        <w:rPr>
          <w:rFonts w:ascii="Arial" w:hAnsi="Arial" w:cs="Arial"/>
          <w:color w:val="000000" w:themeColor="text1"/>
          <w:sz w:val="20"/>
          <w:szCs w:val="20"/>
        </w:rPr>
        <w:t xml:space="preserve">Wie </w:t>
      </w:r>
      <w:r w:rsidR="00F53F87">
        <w:rPr>
          <w:rFonts w:ascii="Arial" w:hAnsi="Arial" w:cs="Arial"/>
          <w:color w:val="000000" w:themeColor="text1"/>
          <w:sz w:val="20"/>
          <w:szCs w:val="20"/>
        </w:rPr>
        <w:t>in den Jahren zuvor</w:t>
      </w:r>
      <w:r>
        <w:rPr>
          <w:rFonts w:ascii="Arial" w:hAnsi="Arial" w:cs="Arial"/>
          <w:color w:val="000000" w:themeColor="text1"/>
          <w:sz w:val="20"/>
          <w:szCs w:val="20"/>
        </w:rPr>
        <w:t xml:space="preserve"> wurden die meisten Transaktionen im </w:t>
      </w:r>
      <w:r w:rsidR="00911DB4">
        <w:rPr>
          <w:rFonts w:ascii="Arial" w:hAnsi="Arial" w:cs="Arial"/>
          <w:color w:val="000000" w:themeColor="text1"/>
          <w:sz w:val="20"/>
          <w:szCs w:val="20"/>
        </w:rPr>
        <w:t>vierten Quartal 2019</w:t>
      </w:r>
      <w:r>
        <w:rPr>
          <w:rFonts w:ascii="Arial" w:hAnsi="Arial" w:cs="Arial"/>
          <w:color w:val="000000" w:themeColor="text1"/>
          <w:sz w:val="20"/>
          <w:szCs w:val="20"/>
        </w:rPr>
        <w:t xml:space="preserve"> abgeschlossen</w:t>
      </w:r>
      <w:r w:rsidR="00911DB4">
        <w:rPr>
          <w:rFonts w:ascii="Arial" w:hAnsi="Arial" w:cs="Arial"/>
          <w:color w:val="000000" w:themeColor="text1"/>
          <w:sz w:val="20"/>
          <w:szCs w:val="20"/>
        </w:rPr>
        <w:t xml:space="preserve">. 16,68 Mrd. € wurden alleine in den letzten drei Monaten des Jahres </w:t>
      </w:r>
      <w:r>
        <w:rPr>
          <w:rFonts w:ascii="Arial" w:hAnsi="Arial" w:cs="Arial"/>
          <w:color w:val="000000" w:themeColor="text1"/>
          <w:sz w:val="20"/>
          <w:szCs w:val="20"/>
        </w:rPr>
        <w:t>umgesetzt</w:t>
      </w:r>
      <w:r w:rsidR="00911DB4">
        <w:rPr>
          <w:rFonts w:ascii="Arial" w:hAnsi="Arial" w:cs="Arial"/>
          <w:color w:val="000000" w:themeColor="text1"/>
          <w:sz w:val="20"/>
          <w:szCs w:val="20"/>
        </w:rPr>
        <w:t xml:space="preserve">. </w:t>
      </w:r>
      <w:r w:rsidR="00911DB4" w:rsidRPr="00911DB4">
        <w:rPr>
          <w:rFonts w:ascii="Arial" w:hAnsi="Arial" w:cs="Arial"/>
          <w:color w:val="000000" w:themeColor="text1"/>
          <w:sz w:val="20"/>
          <w:szCs w:val="20"/>
        </w:rPr>
        <w:t>Am gefragtesten sind nach wie vor Büroimmobilien</w:t>
      </w:r>
      <w:r w:rsidR="00911DB4">
        <w:rPr>
          <w:rFonts w:ascii="Arial" w:hAnsi="Arial" w:cs="Arial"/>
          <w:color w:val="000000" w:themeColor="text1"/>
          <w:sz w:val="20"/>
          <w:szCs w:val="20"/>
        </w:rPr>
        <w:t>, auf die rund 73 % des TAV fielen (29,92 Mrd. €</w:t>
      </w:r>
      <w:r>
        <w:rPr>
          <w:rFonts w:ascii="Arial" w:hAnsi="Arial" w:cs="Arial"/>
          <w:color w:val="000000" w:themeColor="text1"/>
          <w:sz w:val="20"/>
          <w:szCs w:val="20"/>
        </w:rPr>
        <w:t xml:space="preserve"> im Gesamtjahr</w:t>
      </w:r>
      <w:r w:rsidR="00911DB4">
        <w:rPr>
          <w:rFonts w:ascii="Arial" w:hAnsi="Arial" w:cs="Arial"/>
          <w:color w:val="000000" w:themeColor="text1"/>
          <w:sz w:val="20"/>
          <w:szCs w:val="20"/>
        </w:rPr>
        <w:t>).</w:t>
      </w:r>
      <w:r w:rsidR="00C330F1">
        <w:rPr>
          <w:rFonts w:ascii="Arial" w:hAnsi="Arial" w:cs="Arial"/>
          <w:color w:val="000000" w:themeColor="text1"/>
          <w:sz w:val="20"/>
          <w:szCs w:val="20"/>
        </w:rPr>
        <w:t xml:space="preserve"> </w:t>
      </w:r>
      <w:r w:rsidR="003A4681">
        <w:rPr>
          <w:rFonts w:ascii="Arial" w:hAnsi="Arial" w:cs="Arial"/>
          <w:color w:val="000000" w:themeColor="text1"/>
          <w:sz w:val="20"/>
          <w:szCs w:val="20"/>
        </w:rPr>
        <w:t>Deutsche Immobilien erfreuen sich wie schon im Vorjahr auch im Ausland einer hohen Nachfrage. 46 % der Investoren kamen 2019 aus dem Ausland, 2018 waren es 44 %.</w:t>
      </w:r>
    </w:p>
    <w:p w14:paraId="72C0DF45" w14:textId="77777777" w:rsidR="003A4681" w:rsidRDefault="003A4681" w:rsidP="003A4681">
      <w:pPr>
        <w:widowControl w:val="0"/>
        <w:spacing w:after="0"/>
        <w:jc w:val="both"/>
        <w:rPr>
          <w:rFonts w:ascii="Arial" w:hAnsi="Arial" w:cs="Arial"/>
          <w:color w:val="000000" w:themeColor="text1"/>
          <w:sz w:val="20"/>
          <w:szCs w:val="20"/>
        </w:rPr>
      </w:pPr>
    </w:p>
    <w:p w14:paraId="6C424D87" w14:textId="5DBB27B7" w:rsidR="003A4681" w:rsidRDefault="003A4681" w:rsidP="003A4681">
      <w:pPr>
        <w:widowControl w:val="0"/>
        <w:spacing w:after="0"/>
        <w:jc w:val="both"/>
        <w:rPr>
          <w:rFonts w:ascii="Arial" w:hAnsi="Arial" w:cs="Arial"/>
          <w:color w:val="000000" w:themeColor="text1"/>
          <w:sz w:val="20"/>
          <w:szCs w:val="20"/>
        </w:rPr>
      </w:pPr>
      <w:r>
        <w:rPr>
          <w:rFonts w:ascii="Arial" w:hAnsi="Arial" w:cs="Arial"/>
          <w:color w:val="000000" w:themeColor="text1"/>
          <w:sz w:val="20"/>
          <w:szCs w:val="20"/>
        </w:rPr>
        <w:t>Der Anteil an Portfolio-Transaktionen hat sich um rund 50 % gesteigert</w:t>
      </w:r>
      <w:r w:rsidR="00EE0697">
        <w:rPr>
          <w:rFonts w:ascii="Arial" w:hAnsi="Arial" w:cs="Arial"/>
          <w:color w:val="000000" w:themeColor="text1"/>
          <w:sz w:val="20"/>
          <w:szCs w:val="20"/>
        </w:rPr>
        <w:t>. D</w:t>
      </w:r>
      <w:r>
        <w:rPr>
          <w:rFonts w:ascii="Arial" w:hAnsi="Arial" w:cs="Arial"/>
          <w:color w:val="000000" w:themeColor="text1"/>
          <w:sz w:val="20"/>
          <w:szCs w:val="20"/>
        </w:rPr>
        <w:t xml:space="preserve">ies ist unter anderem auf </w:t>
      </w:r>
      <w:r w:rsidR="00F53F87">
        <w:rPr>
          <w:rFonts w:ascii="Arial" w:hAnsi="Arial" w:cs="Arial"/>
          <w:color w:val="000000" w:themeColor="text1"/>
          <w:sz w:val="20"/>
          <w:szCs w:val="20"/>
        </w:rPr>
        <w:t>den Verkauf des</w:t>
      </w:r>
      <w:r>
        <w:rPr>
          <w:rFonts w:ascii="Arial" w:hAnsi="Arial" w:cs="Arial"/>
          <w:color w:val="000000" w:themeColor="text1"/>
          <w:sz w:val="20"/>
          <w:szCs w:val="20"/>
        </w:rPr>
        <w:t xml:space="preserve"> Millennium-Portfolio</w:t>
      </w:r>
      <w:r w:rsidR="00F53F87">
        <w:rPr>
          <w:rFonts w:ascii="Arial" w:hAnsi="Arial" w:cs="Arial"/>
          <w:color w:val="000000" w:themeColor="text1"/>
          <w:sz w:val="20"/>
          <w:szCs w:val="20"/>
        </w:rPr>
        <w:t>s</w:t>
      </w:r>
      <w:r>
        <w:rPr>
          <w:rFonts w:ascii="Arial" w:hAnsi="Arial" w:cs="Arial"/>
          <w:color w:val="000000" w:themeColor="text1"/>
          <w:sz w:val="20"/>
          <w:szCs w:val="20"/>
        </w:rPr>
        <w:t xml:space="preserve"> zum Ende des dritten Quartals zurückzuführen. Der offene Immobilienfonds Hausinvest von Commerz Real erwarb 26 Büro-, 14 Wohn- und 9 Einzelhandelsimmobilien in Innenstadtlagen der deutschen Top 7-Städte. </w:t>
      </w:r>
    </w:p>
    <w:p w14:paraId="46A530CC" w14:textId="77777777" w:rsidR="003A4681" w:rsidRPr="00911DB4" w:rsidRDefault="003A4681" w:rsidP="003A4681">
      <w:pPr>
        <w:widowControl w:val="0"/>
        <w:spacing w:after="0"/>
        <w:jc w:val="both"/>
        <w:rPr>
          <w:rFonts w:ascii="Arial" w:hAnsi="Arial" w:cs="Arial"/>
          <w:color w:val="000000" w:themeColor="text1"/>
          <w:sz w:val="20"/>
          <w:szCs w:val="20"/>
        </w:rPr>
      </w:pPr>
    </w:p>
    <w:p w14:paraId="4A4DEC95" w14:textId="377309C6" w:rsidR="003A4681" w:rsidRDefault="00F53F87" w:rsidP="003A4681">
      <w:pPr>
        <w:widowControl w:val="0"/>
        <w:spacing w:after="0"/>
        <w:jc w:val="both"/>
        <w:rPr>
          <w:rFonts w:ascii="Arial" w:hAnsi="Arial" w:cs="Arial"/>
          <w:color w:val="000000" w:themeColor="text1"/>
          <w:sz w:val="20"/>
          <w:szCs w:val="20"/>
        </w:rPr>
      </w:pPr>
      <w:r>
        <w:rPr>
          <w:rFonts w:ascii="Arial" w:hAnsi="Arial" w:cs="Arial"/>
          <w:color w:val="000000" w:themeColor="text1"/>
          <w:sz w:val="20"/>
          <w:szCs w:val="20"/>
        </w:rPr>
        <w:t>In</w:t>
      </w:r>
      <w:r w:rsidR="003A4681">
        <w:rPr>
          <w:rFonts w:ascii="Arial" w:hAnsi="Arial" w:cs="Arial"/>
          <w:color w:val="000000" w:themeColor="text1"/>
          <w:sz w:val="20"/>
          <w:szCs w:val="20"/>
        </w:rPr>
        <w:t xml:space="preserve"> fast alle</w:t>
      </w:r>
      <w:r>
        <w:rPr>
          <w:rFonts w:ascii="Arial" w:hAnsi="Arial" w:cs="Arial"/>
          <w:color w:val="000000" w:themeColor="text1"/>
          <w:sz w:val="20"/>
          <w:szCs w:val="20"/>
        </w:rPr>
        <w:t>n</w:t>
      </w:r>
      <w:r w:rsidR="003A4681">
        <w:rPr>
          <w:rFonts w:ascii="Arial" w:hAnsi="Arial" w:cs="Arial"/>
          <w:color w:val="000000" w:themeColor="text1"/>
          <w:sz w:val="20"/>
          <w:szCs w:val="20"/>
        </w:rPr>
        <w:t xml:space="preserve"> Assetklassen sank die Rendite 2019. Im Schnitt lag die Spitzenrendite von Büroimmobilien an den Top-7-Standorten bei rund 2,88 % (2018: 3,04 %). Die Netto-Spitzenrendite für Geschäftshäuser stieg um 0,02 Prozentpunkte auf 2,82 % während sie bei Logistik-</w:t>
      </w:r>
      <w:r>
        <w:rPr>
          <w:rFonts w:ascii="Arial" w:hAnsi="Arial" w:cs="Arial"/>
          <w:color w:val="000000" w:themeColor="text1"/>
          <w:sz w:val="20"/>
          <w:szCs w:val="20"/>
        </w:rPr>
        <w:t>Objekten</w:t>
      </w:r>
      <w:r w:rsidR="003A4681">
        <w:rPr>
          <w:rFonts w:ascii="Arial" w:hAnsi="Arial" w:cs="Arial"/>
          <w:color w:val="000000" w:themeColor="text1"/>
          <w:sz w:val="20"/>
          <w:szCs w:val="20"/>
        </w:rPr>
        <w:t xml:space="preserve"> um 0,29 </w:t>
      </w:r>
      <w:r w:rsidR="00EE0697">
        <w:rPr>
          <w:rFonts w:ascii="Arial" w:hAnsi="Arial" w:cs="Arial"/>
          <w:color w:val="000000" w:themeColor="text1"/>
          <w:sz w:val="20"/>
          <w:szCs w:val="20"/>
        </w:rPr>
        <w:t>Prozentp</w:t>
      </w:r>
      <w:r w:rsidR="003A4681">
        <w:rPr>
          <w:rFonts w:ascii="Arial" w:hAnsi="Arial" w:cs="Arial"/>
          <w:color w:val="000000" w:themeColor="text1"/>
          <w:sz w:val="20"/>
          <w:szCs w:val="20"/>
        </w:rPr>
        <w:t>unkte auf 3,99 % (2018: 4,28 %) sank.</w:t>
      </w:r>
    </w:p>
    <w:p w14:paraId="0837E94D" w14:textId="2A79EE3E" w:rsidR="003B46B4" w:rsidRDefault="003B46B4" w:rsidP="003A4681">
      <w:pPr>
        <w:widowControl w:val="0"/>
        <w:spacing w:after="0"/>
        <w:jc w:val="both"/>
        <w:rPr>
          <w:rFonts w:ascii="Arial" w:hAnsi="Arial" w:cs="Arial"/>
          <w:color w:val="000000" w:themeColor="text1"/>
          <w:sz w:val="20"/>
          <w:szCs w:val="20"/>
        </w:rPr>
      </w:pPr>
    </w:p>
    <w:p w14:paraId="3B1569F4" w14:textId="7BF94422" w:rsidR="00FA7C35" w:rsidRPr="00CF5DF7" w:rsidRDefault="00C330F1" w:rsidP="00CF5DF7">
      <w:pPr>
        <w:widowControl w:val="0"/>
        <w:spacing w:after="0"/>
        <w:jc w:val="center"/>
        <w:rPr>
          <w:rFonts w:ascii="Arial" w:hAnsi="Arial" w:cs="Arial"/>
          <w:b/>
          <w:bCs/>
          <w:sz w:val="20"/>
          <w:szCs w:val="20"/>
        </w:rPr>
      </w:pPr>
      <w:r>
        <w:rPr>
          <w:rFonts w:ascii="Arial" w:hAnsi="Arial" w:cs="Arial"/>
          <w:b/>
          <w:bCs/>
          <w:color w:val="000000" w:themeColor="text1"/>
          <w:sz w:val="20"/>
          <w:szCs w:val="20"/>
        </w:rPr>
        <w:t>PROGNOSE FÜR 2020</w:t>
      </w:r>
    </w:p>
    <w:p w14:paraId="343911BC" w14:textId="77777777" w:rsidR="00CF5DF7" w:rsidRPr="00FA7C35" w:rsidRDefault="00CF5DF7" w:rsidP="00FA7C35">
      <w:pPr>
        <w:widowControl w:val="0"/>
        <w:spacing w:after="0"/>
        <w:jc w:val="center"/>
        <w:rPr>
          <w:rFonts w:ascii="Arial" w:hAnsi="Arial" w:cs="Arial"/>
          <w:b/>
          <w:bCs/>
          <w:sz w:val="20"/>
          <w:szCs w:val="20"/>
        </w:rPr>
      </w:pPr>
    </w:p>
    <w:p w14:paraId="4EE83A6E" w14:textId="534ACA05" w:rsidR="00C330F1" w:rsidRDefault="00C330F1" w:rsidP="005E287C">
      <w:pPr>
        <w:spacing w:after="0" w:line="240" w:lineRule="auto"/>
        <w:jc w:val="both"/>
        <w:rPr>
          <w:rFonts w:ascii="Arial" w:hAnsi="Arial" w:cs="Arial"/>
          <w:sz w:val="20"/>
          <w:szCs w:val="20"/>
        </w:rPr>
      </w:pPr>
      <w:r>
        <w:rPr>
          <w:rFonts w:ascii="Arial" w:hAnsi="Arial" w:cs="Arial"/>
          <w:sz w:val="20"/>
          <w:szCs w:val="20"/>
        </w:rPr>
        <w:t>Oliver Schön: „2020 werden sich die Rahmenbedingungen für Investoren nicht wesentlich verändern. Deshalb ist der Druck groß, lukrative Anlagemöglichkeiten zu finden. Demgegenüber steht an allen Top-7-Standorten ein knappes Angebot. Deshalb gehen wir davon aus, dass sich das Transaktionsvolumen aus dem Jahr 2019 nicht wiederholen lässt. Die Renditen werden im Wesentlichen auf dem aktuell sehr niedrigen Niveau stagnieren</w:t>
      </w:r>
      <w:r w:rsidR="00BC11BF">
        <w:rPr>
          <w:rFonts w:ascii="Arial" w:hAnsi="Arial" w:cs="Arial"/>
          <w:sz w:val="20"/>
          <w:szCs w:val="20"/>
        </w:rPr>
        <w:t xml:space="preserve"> b</w:t>
      </w:r>
      <w:r w:rsidR="00E3065A">
        <w:rPr>
          <w:rFonts w:ascii="Arial" w:hAnsi="Arial" w:cs="Arial"/>
          <w:sz w:val="20"/>
          <w:szCs w:val="20"/>
        </w:rPr>
        <w:t>eziehungsweise</w:t>
      </w:r>
      <w:r w:rsidR="00BC11BF">
        <w:rPr>
          <w:rFonts w:ascii="Arial" w:hAnsi="Arial" w:cs="Arial"/>
          <w:sz w:val="20"/>
          <w:szCs w:val="20"/>
        </w:rPr>
        <w:t xml:space="preserve"> für Prime-Produkte weiter fallen</w:t>
      </w:r>
      <w:r>
        <w:rPr>
          <w:rFonts w:ascii="Arial" w:hAnsi="Arial" w:cs="Arial"/>
          <w:sz w:val="20"/>
          <w:szCs w:val="20"/>
        </w:rPr>
        <w:t>.“</w:t>
      </w:r>
    </w:p>
    <w:p w14:paraId="39902814" w14:textId="77777777" w:rsidR="00C708A4" w:rsidRDefault="00C708A4" w:rsidP="005E287C">
      <w:pPr>
        <w:spacing w:after="0" w:line="240" w:lineRule="auto"/>
        <w:jc w:val="both"/>
        <w:rPr>
          <w:rFonts w:ascii="Arial" w:hAnsi="Arial" w:cs="Arial"/>
          <w:b/>
          <w:sz w:val="20"/>
          <w:szCs w:val="20"/>
        </w:rPr>
      </w:pPr>
    </w:p>
    <w:p w14:paraId="76EC3FA0" w14:textId="77777777" w:rsidR="00B57476" w:rsidRDefault="00B57476" w:rsidP="005E287C">
      <w:pPr>
        <w:spacing w:after="0" w:line="240" w:lineRule="auto"/>
        <w:jc w:val="both"/>
        <w:rPr>
          <w:rFonts w:ascii="Arial" w:hAnsi="Arial" w:cs="Arial"/>
          <w:b/>
          <w:sz w:val="20"/>
          <w:szCs w:val="20"/>
        </w:rPr>
      </w:pPr>
    </w:p>
    <w:p w14:paraId="0DC32113" w14:textId="3A42D0FD" w:rsidR="00133084" w:rsidRDefault="00133084" w:rsidP="005E287C">
      <w:pPr>
        <w:spacing w:after="0" w:line="240" w:lineRule="auto"/>
        <w:jc w:val="both"/>
        <w:rPr>
          <w:rFonts w:ascii="Arial" w:hAnsi="Arial" w:cs="Arial"/>
          <w:b/>
          <w:sz w:val="20"/>
          <w:szCs w:val="20"/>
        </w:rPr>
      </w:pPr>
      <w:r w:rsidRPr="00EE7FCA">
        <w:rPr>
          <w:rFonts w:ascii="Arial" w:hAnsi="Arial" w:cs="Arial"/>
          <w:b/>
          <w:sz w:val="20"/>
          <w:szCs w:val="20"/>
        </w:rPr>
        <w:t>Top</w:t>
      </w:r>
      <w:r>
        <w:rPr>
          <w:rFonts w:ascii="Arial" w:hAnsi="Arial" w:cs="Arial"/>
          <w:b/>
          <w:sz w:val="20"/>
          <w:szCs w:val="20"/>
        </w:rPr>
        <w:t xml:space="preserve"> 10 </w:t>
      </w:r>
      <w:r w:rsidRPr="00EE7FCA">
        <w:rPr>
          <w:rFonts w:ascii="Arial" w:hAnsi="Arial" w:cs="Arial"/>
          <w:b/>
          <w:sz w:val="20"/>
          <w:szCs w:val="20"/>
        </w:rPr>
        <w:t>bekannte Abschlüsse</w:t>
      </w:r>
      <w:r>
        <w:rPr>
          <w:rFonts w:ascii="Arial" w:hAnsi="Arial" w:cs="Arial"/>
          <w:b/>
          <w:sz w:val="20"/>
          <w:szCs w:val="20"/>
        </w:rPr>
        <w:t xml:space="preserve"> | Top-7-Standorte | 1.</w:t>
      </w:r>
      <w:r w:rsidR="009D6021">
        <w:rPr>
          <w:rFonts w:ascii="Arial" w:hAnsi="Arial" w:cs="Arial"/>
          <w:b/>
          <w:sz w:val="20"/>
          <w:szCs w:val="20"/>
        </w:rPr>
        <w:t>-</w:t>
      </w:r>
      <w:r w:rsidR="00C520C4">
        <w:rPr>
          <w:rFonts w:ascii="Arial" w:hAnsi="Arial" w:cs="Arial"/>
          <w:b/>
          <w:sz w:val="20"/>
          <w:szCs w:val="20"/>
        </w:rPr>
        <w:t>4</w:t>
      </w:r>
      <w:r w:rsidR="009D6021">
        <w:rPr>
          <w:rFonts w:ascii="Arial" w:hAnsi="Arial" w:cs="Arial"/>
          <w:b/>
          <w:sz w:val="20"/>
          <w:szCs w:val="20"/>
        </w:rPr>
        <w:t>.</w:t>
      </w:r>
      <w:r w:rsidRPr="00EE7FCA">
        <w:rPr>
          <w:rFonts w:ascii="Arial" w:hAnsi="Arial" w:cs="Arial"/>
          <w:b/>
          <w:sz w:val="20"/>
          <w:szCs w:val="20"/>
        </w:rPr>
        <w:t xml:space="preserve"> Quartal 201</w:t>
      </w:r>
      <w:r w:rsidR="001D6B1E">
        <w:rPr>
          <w:rFonts w:ascii="Arial" w:hAnsi="Arial" w:cs="Arial"/>
          <w:b/>
          <w:sz w:val="20"/>
          <w:szCs w:val="20"/>
        </w:rPr>
        <w:t>9</w:t>
      </w:r>
    </w:p>
    <w:tbl>
      <w:tblPr>
        <w:tblStyle w:val="TableGrid1"/>
        <w:tblW w:w="9231" w:type="dxa"/>
        <w:tblLayout w:type="fixed"/>
        <w:tblLook w:val="04A0" w:firstRow="1" w:lastRow="0" w:firstColumn="1" w:lastColumn="0" w:noHBand="0" w:noVBand="1"/>
      </w:tblPr>
      <w:tblGrid>
        <w:gridCol w:w="687"/>
        <w:gridCol w:w="2682"/>
        <w:gridCol w:w="2658"/>
        <w:gridCol w:w="2309"/>
        <w:gridCol w:w="895"/>
      </w:tblGrid>
      <w:tr w:rsidR="00133084" w:rsidRPr="006F49D0" w14:paraId="373FE955" w14:textId="77777777" w:rsidTr="00EE52E1">
        <w:trPr>
          <w:trHeight w:val="541"/>
        </w:trPr>
        <w:tc>
          <w:tcPr>
            <w:tcW w:w="687" w:type="dxa"/>
            <w:vAlign w:val="center"/>
          </w:tcPr>
          <w:p w14:paraId="11D89C1D"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Stadt</w:t>
            </w:r>
          </w:p>
        </w:tc>
        <w:tc>
          <w:tcPr>
            <w:tcW w:w="2682" w:type="dxa"/>
            <w:vAlign w:val="center"/>
          </w:tcPr>
          <w:p w14:paraId="3DE9BF94"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Projekt/Objekt</w:t>
            </w:r>
          </w:p>
        </w:tc>
        <w:tc>
          <w:tcPr>
            <w:tcW w:w="2658" w:type="dxa"/>
            <w:vAlign w:val="center"/>
          </w:tcPr>
          <w:p w14:paraId="4B676FB3"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Käufer</w:t>
            </w:r>
          </w:p>
        </w:tc>
        <w:tc>
          <w:tcPr>
            <w:tcW w:w="2309" w:type="dxa"/>
            <w:vAlign w:val="center"/>
          </w:tcPr>
          <w:p w14:paraId="5A35052F"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Verkäufer</w:t>
            </w:r>
          </w:p>
        </w:tc>
        <w:tc>
          <w:tcPr>
            <w:tcW w:w="895" w:type="dxa"/>
            <w:vAlign w:val="center"/>
          </w:tcPr>
          <w:p w14:paraId="3F14D023"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KP</w:t>
            </w:r>
            <w:r>
              <w:rPr>
                <w:rFonts w:ascii="Arial" w:hAnsi="Arial" w:cs="Arial"/>
                <w:b/>
                <w:sz w:val="16"/>
                <w:szCs w:val="16"/>
              </w:rPr>
              <w:t>*</w:t>
            </w:r>
          </w:p>
          <w:p w14:paraId="1C81B66B" w14:textId="77777777" w:rsidR="00133084" w:rsidRPr="006F49D0" w:rsidRDefault="00133084" w:rsidP="00EE52E1">
            <w:pPr>
              <w:widowControl w:val="0"/>
              <w:jc w:val="center"/>
              <w:rPr>
                <w:rFonts w:ascii="Arial" w:hAnsi="Arial" w:cs="Arial"/>
                <w:b/>
                <w:sz w:val="16"/>
                <w:szCs w:val="16"/>
              </w:rPr>
            </w:pPr>
            <w:r w:rsidRPr="006F49D0">
              <w:rPr>
                <w:rFonts w:ascii="Arial" w:hAnsi="Arial" w:cs="Arial"/>
                <w:sz w:val="16"/>
                <w:szCs w:val="16"/>
              </w:rPr>
              <w:t>(ca. Mio. €)</w:t>
            </w:r>
          </w:p>
        </w:tc>
      </w:tr>
      <w:tr w:rsidR="002C27E6" w:rsidRPr="006F49D0" w14:paraId="19E4AFB0" w14:textId="77777777" w:rsidTr="00EE52E1">
        <w:trPr>
          <w:trHeight w:val="541"/>
        </w:trPr>
        <w:tc>
          <w:tcPr>
            <w:tcW w:w="687" w:type="dxa"/>
            <w:vAlign w:val="center"/>
          </w:tcPr>
          <w:p w14:paraId="6EDD3A58" w14:textId="65AF3485" w:rsidR="002C27E6" w:rsidRPr="002C27E6" w:rsidRDefault="002C27E6" w:rsidP="00EE52E1">
            <w:pPr>
              <w:widowControl w:val="0"/>
              <w:jc w:val="center"/>
              <w:rPr>
                <w:rFonts w:ascii="Arial" w:hAnsi="Arial" w:cs="Arial"/>
                <w:bCs/>
                <w:sz w:val="16"/>
                <w:szCs w:val="16"/>
              </w:rPr>
            </w:pPr>
            <w:r w:rsidRPr="002C27E6">
              <w:rPr>
                <w:rFonts w:ascii="Arial" w:hAnsi="Arial" w:cs="Arial"/>
                <w:bCs/>
                <w:sz w:val="16"/>
                <w:szCs w:val="16"/>
              </w:rPr>
              <w:t>FFM</w:t>
            </w:r>
          </w:p>
        </w:tc>
        <w:tc>
          <w:tcPr>
            <w:tcW w:w="2682" w:type="dxa"/>
            <w:vAlign w:val="center"/>
          </w:tcPr>
          <w:p w14:paraId="38143C8D" w14:textId="210A9C09" w:rsidR="002C27E6" w:rsidRPr="002C27E6" w:rsidRDefault="002C27E6" w:rsidP="00EE52E1">
            <w:pPr>
              <w:widowControl w:val="0"/>
              <w:jc w:val="center"/>
              <w:rPr>
                <w:rFonts w:ascii="Arial" w:hAnsi="Arial" w:cs="Arial"/>
                <w:bCs/>
                <w:sz w:val="16"/>
                <w:szCs w:val="16"/>
              </w:rPr>
            </w:pPr>
            <w:r w:rsidRPr="002C27E6">
              <w:rPr>
                <w:rFonts w:ascii="Arial" w:hAnsi="Arial" w:cs="Arial"/>
                <w:bCs/>
                <w:sz w:val="16"/>
                <w:szCs w:val="16"/>
              </w:rPr>
              <w:t>„THE SQUAIRE“, Am Flughafen</w:t>
            </w:r>
          </w:p>
        </w:tc>
        <w:tc>
          <w:tcPr>
            <w:tcW w:w="2658" w:type="dxa"/>
            <w:vAlign w:val="center"/>
          </w:tcPr>
          <w:p w14:paraId="7B63CD5A" w14:textId="43E0696B" w:rsidR="002C27E6" w:rsidRPr="002C27E6" w:rsidRDefault="002C27E6" w:rsidP="00EE52E1">
            <w:pPr>
              <w:widowControl w:val="0"/>
              <w:jc w:val="center"/>
              <w:rPr>
                <w:rFonts w:ascii="Arial" w:hAnsi="Arial" w:cs="Arial"/>
                <w:bCs/>
                <w:sz w:val="16"/>
                <w:szCs w:val="16"/>
              </w:rPr>
            </w:pPr>
            <w:r w:rsidRPr="002C27E6">
              <w:rPr>
                <w:rFonts w:ascii="Arial" w:hAnsi="Arial" w:cs="Arial"/>
                <w:bCs/>
                <w:sz w:val="16"/>
                <w:szCs w:val="16"/>
              </w:rPr>
              <w:t>AGC Equity Partner</w:t>
            </w:r>
          </w:p>
        </w:tc>
        <w:tc>
          <w:tcPr>
            <w:tcW w:w="2309" w:type="dxa"/>
            <w:vAlign w:val="center"/>
          </w:tcPr>
          <w:p w14:paraId="3EC9F79F" w14:textId="22C192B9" w:rsidR="002C27E6" w:rsidRPr="002C27E6" w:rsidRDefault="002C27E6" w:rsidP="00EE52E1">
            <w:pPr>
              <w:widowControl w:val="0"/>
              <w:jc w:val="center"/>
              <w:rPr>
                <w:rFonts w:ascii="Arial" w:hAnsi="Arial" w:cs="Arial"/>
                <w:bCs/>
                <w:sz w:val="16"/>
                <w:szCs w:val="16"/>
              </w:rPr>
            </w:pPr>
            <w:r w:rsidRPr="002C27E6">
              <w:rPr>
                <w:rFonts w:ascii="Arial" w:hAnsi="Arial" w:cs="Arial"/>
                <w:bCs/>
                <w:sz w:val="16"/>
                <w:szCs w:val="16"/>
              </w:rPr>
              <w:t>Blackstone Group Germany</w:t>
            </w:r>
          </w:p>
        </w:tc>
        <w:tc>
          <w:tcPr>
            <w:tcW w:w="895" w:type="dxa"/>
            <w:vAlign w:val="center"/>
          </w:tcPr>
          <w:p w14:paraId="652D6766" w14:textId="2E33B2F8" w:rsidR="002C27E6" w:rsidRPr="002C27E6" w:rsidRDefault="002C27E6" w:rsidP="00EE52E1">
            <w:pPr>
              <w:widowControl w:val="0"/>
              <w:jc w:val="center"/>
              <w:rPr>
                <w:rFonts w:ascii="Arial" w:hAnsi="Arial" w:cs="Arial"/>
                <w:bCs/>
                <w:sz w:val="16"/>
                <w:szCs w:val="16"/>
              </w:rPr>
            </w:pPr>
            <w:r w:rsidRPr="002C27E6">
              <w:rPr>
                <w:rFonts w:ascii="Arial" w:hAnsi="Arial" w:cs="Arial"/>
                <w:bCs/>
                <w:sz w:val="16"/>
                <w:szCs w:val="16"/>
              </w:rPr>
              <w:t>935</w:t>
            </w:r>
          </w:p>
        </w:tc>
      </w:tr>
      <w:tr w:rsidR="002C27E6" w:rsidRPr="006F49D0" w14:paraId="786D33B2" w14:textId="77777777" w:rsidTr="00EE52E1">
        <w:trPr>
          <w:trHeight w:val="541"/>
        </w:trPr>
        <w:tc>
          <w:tcPr>
            <w:tcW w:w="687" w:type="dxa"/>
            <w:vAlign w:val="center"/>
          </w:tcPr>
          <w:p w14:paraId="497CEDBD" w14:textId="329DF02B" w:rsidR="002C27E6" w:rsidRPr="002C27E6" w:rsidRDefault="002C27E6" w:rsidP="00EE52E1">
            <w:pPr>
              <w:widowControl w:val="0"/>
              <w:jc w:val="center"/>
              <w:rPr>
                <w:rFonts w:ascii="Arial" w:hAnsi="Arial" w:cs="Arial"/>
                <w:bCs/>
                <w:sz w:val="16"/>
                <w:szCs w:val="16"/>
              </w:rPr>
            </w:pPr>
            <w:r w:rsidRPr="002C27E6">
              <w:rPr>
                <w:rFonts w:ascii="Arial" w:hAnsi="Arial" w:cs="Arial"/>
                <w:bCs/>
                <w:sz w:val="16"/>
                <w:szCs w:val="16"/>
              </w:rPr>
              <w:t>BER</w:t>
            </w:r>
          </w:p>
        </w:tc>
        <w:tc>
          <w:tcPr>
            <w:tcW w:w="2682" w:type="dxa"/>
            <w:vAlign w:val="center"/>
          </w:tcPr>
          <w:p w14:paraId="58B956A8" w14:textId="5A6D00C2" w:rsidR="002C27E6" w:rsidRPr="002C27E6" w:rsidRDefault="002C27E6" w:rsidP="00EE52E1">
            <w:pPr>
              <w:widowControl w:val="0"/>
              <w:jc w:val="center"/>
              <w:rPr>
                <w:rFonts w:ascii="Arial" w:hAnsi="Arial" w:cs="Arial"/>
                <w:bCs/>
                <w:sz w:val="16"/>
                <w:szCs w:val="16"/>
              </w:rPr>
            </w:pPr>
            <w:r w:rsidRPr="002C27E6">
              <w:rPr>
                <w:rFonts w:ascii="Arial" w:hAnsi="Arial" w:cs="Arial"/>
                <w:bCs/>
                <w:sz w:val="16"/>
                <w:szCs w:val="16"/>
              </w:rPr>
              <w:t>„Fürst“, Kurfürstendamm</w:t>
            </w:r>
          </w:p>
        </w:tc>
        <w:tc>
          <w:tcPr>
            <w:tcW w:w="2658" w:type="dxa"/>
            <w:vAlign w:val="center"/>
          </w:tcPr>
          <w:p w14:paraId="593E538E" w14:textId="422AEEF0" w:rsidR="002C27E6" w:rsidRPr="002C27E6" w:rsidRDefault="00A32619" w:rsidP="00EE52E1">
            <w:pPr>
              <w:widowControl w:val="0"/>
              <w:jc w:val="center"/>
              <w:rPr>
                <w:rFonts w:ascii="Arial" w:hAnsi="Arial" w:cs="Arial"/>
                <w:bCs/>
                <w:sz w:val="16"/>
                <w:szCs w:val="16"/>
              </w:rPr>
            </w:pPr>
            <w:r>
              <w:rPr>
                <w:rFonts w:ascii="Arial" w:hAnsi="Arial" w:cs="Arial"/>
                <w:bCs/>
                <w:sz w:val="16"/>
                <w:szCs w:val="16"/>
              </w:rPr>
              <w:t>Vivion</w:t>
            </w:r>
          </w:p>
        </w:tc>
        <w:tc>
          <w:tcPr>
            <w:tcW w:w="2309" w:type="dxa"/>
            <w:vAlign w:val="center"/>
          </w:tcPr>
          <w:p w14:paraId="47185756" w14:textId="7644088C" w:rsidR="002C27E6" w:rsidRPr="002C27E6" w:rsidRDefault="002C27E6" w:rsidP="00EE52E1">
            <w:pPr>
              <w:widowControl w:val="0"/>
              <w:jc w:val="center"/>
              <w:rPr>
                <w:rFonts w:ascii="Arial" w:hAnsi="Arial" w:cs="Arial"/>
                <w:bCs/>
                <w:sz w:val="16"/>
                <w:szCs w:val="16"/>
              </w:rPr>
            </w:pPr>
            <w:r w:rsidRPr="002C27E6">
              <w:rPr>
                <w:rFonts w:ascii="Arial" w:hAnsi="Arial" w:cs="Arial"/>
                <w:bCs/>
                <w:sz w:val="16"/>
                <w:szCs w:val="16"/>
              </w:rPr>
              <w:t>Cells Bauwelt/Mars Propco 1/ Mikhail</w:t>
            </w:r>
          </w:p>
        </w:tc>
        <w:tc>
          <w:tcPr>
            <w:tcW w:w="895" w:type="dxa"/>
            <w:vAlign w:val="center"/>
          </w:tcPr>
          <w:p w14:paraId="0BDB558A" w14:textId="5CD92EF2" w:rsidR="002C27E6" w:rsidRPr="002C27E6" w:rsidRDefault="002C27E6" w:rsidP="00EE52E1">
            <w:pPr>
              <w:widowControl w:val="0"/>
              <w:jc w:val="center"/>
              <w:rPr>
                <w:rFonts w:ascii="Arial" w:hAnsi="Arial" w:cs="Arial"/>
                <w:bCs/>
                <w:sz w:val="16"/>
                <w:szCs w:val="16"/>
              </w:rPr>
            </w:pPr>
            <w:r w:rsidRPr="002C27E6">
              <w:rPr>
                <w:rFonts w:ascii="Arial" w:hAnsi="Arial" w:cs="Arial"/>
                <w:bCs/>
                <w:sz w:val="16"/>
                <w:szCs w:val="16"/>
              </w:rPr>
              <w:t>750</w:t>
            </w:r>
          </w:p>
        </w:tc>
      </w:tr>
      <w:tr w:rsidR="009D6021" w:rsidRPr="006F49D0" w14:paraId="151BE361" w14:textId="77777777" w:rsidTr="00EE52E1">
        <w:trPr>
          <w:trHeight w:val="541"/>
        </w:trPr>
        <w:tc>
          <w:tcPr>
            <w:tcW w:w="687" w:type="dxa"/>
            <w:vAlign w:val="center"/>
          </w:tcPr>
          <w:p w14:paraId="49D9B174" w14:textId="6D8EC73D" w:rsidR="009D6021" w:rsidRPr="001C6875" w:rsidRDefault="009D6021" w:rsidP="00EE52E1">
            <w:pPr>
              <w:widowControl w:val="0"/>
              <w:jc w:val="center"/>
              <w:rPr>
                <w:rFonts w:ascii="Arial" w:hAnsi="Arial" w:cs="Arial"/>
                <w:bCs/>
                <w:sz w:val="16"/>
                <w:szCs w:val="16"/>
              </w:rPr>
            </w:pPr>
            <w:r w:rsidRPr="001C6875">
              <w:rPr>
                <w:rFonts w:ascii="Arial" w:hAnsi="Arial" w:cs="Arial"/>
                <w:bCs/>
                <w:sz w:val="16"/>
                <w:szCs w:val="16"/>
              </w:rPr>
              <w:t>FFM</w:t>
            </w:r>
          </w:p>
        </w:tc>
        <w:tc>
          <w:tcPr>
            <w:tcW w:w="2682" w:type="dxa"/>
            <w:vAlign w:val="center"/>
          </w:tcPr>
          <w:p w14:paraId="3F798203" w14:textId="51814F15" w:rsidR="009D6021" w:rsidRPr="001C6875" w:rsidRDefault="009D6021" w:rsidP="00CF5DF7">
            <w:pPr>
              <w:widowControl w:val="0"/>
              <w:jc w:val="center"/>
              <w:rPr>
                <w:rFonts w:ascii="Arial" w:hAnsi="Arial" w:cs="Arial"/>
                <w:bCs/>
                <w:sz w:val="16"/>
                <w:szCs w:val="16"/>
              </w:rPr>
            </w:pPr>
            <w:r w:rsidRPr="001C6875">
              <w:rPr>
                <w:rFonts w:ascii="Arial" w:hAnsi="Arial" w:cs="Arial"/>
                <w:bCs/>
                <w:sz w:val="16"/>
                <w:szCs w:val="16"/>
              </w:rPr>
              <w:t>„Die Welle“, An der Welle</w:t>
            </w:r>
          </w:p>
        </w:tc>
        <w:tc>
          <w:tcPr>
            <w:tcW w:w="2658" w:type="dxa"/>
            <w:vAlign w:val="center"/>
          </w:tcPr>
          <w:p w14:paraId="337D82E2" w14:textId="52FDA682" w:rsidR="009D6021" w:rsidRPr="001C6875" w:rsidRDefault="009D6021" w:rsidP="00CF5DF7">
            <w:pPr>
              <w:widowControl w:val="0"/>
              <w:jc w:val="center"/>
              <w:rPr>
                <w:rFonts w:ascii="Arial" w:hAnsi="Arial" w:cs="Arial"/>
                <w:bCs/>
                <w:sz w:val="16"/>
                <w:szCs w:val="16"/>
              </w:rPr>
            </w:pPr>
            <w:r w:rsidRPr="001C6875">
              <w:rPr>
                <w:rFonts w:ascii="Arial" w:hAnsi="Arial" w:cs="Arial"/>
                <w:bCs/>
                <w:sz w:val="16"/>
                <w:szCs w:val="16"/>
              </w:rPr>
              <w:t>Invesco Real Estate</w:t>
            </w:r>
          </w:p>
        </w:tc>
        <w:tc>
          <w:tcPr>
            <w:tcW w:w="2309" w:type="dxa"/>
            <w:vAlign w:val="center"/>
          </w:tcPr>
          <w:p w14:paraId="7112F11D" w14:textId="1B311C80" w:rsidR="009D6021" w:rsidRPr="001C6875" w:rsidRDefault="009D6021" w:rsidP="00CF5DF7">
            <w:pPr>
              <w:widowControl w:val="0"/>
              <w:jc w:val="center"/>
              <w:rPr>
                <w:rFonts w:ascii="Arial" w:hAnsi="Arial" w:cs="Arial"/>
                <w:bCs/>
                <w:sz w:val="16"/>
                <w:szCs w:val="16"/>
              </w:rPr>
            </w:pPr>
            <w:r w:rsidRPr="001C6875">
              <w:rPr>
                <w:rFonts w:ascii="Arial" w:hAnsi="Arial" w:cs="Arial"/>
                <w:bCs/>
                <w:sz w:val="16"/>
                <w:szCs w:val="16"/>
              </w:rPr>
              <w:t>AXA Investment Asset Manager und Norges Bank</w:t>
            </w:r>
          </w:p>
        </w:tc>
        <w:tc>
          <w:tcPr>
            <w:tcW w:w="895" w:type="dxa"/>
            <w:vAlign w:val="center"/>
          </w:tcPr>
          <w:p w14:paraId="7EB8DDA4" w14:textId="1898BC29" w:rsidR="009D6021" w:rsidRPr="001C6875" w:rsidRDefault="009D6021" w:rsidP="00CF5DF7">
            <w:pPr>
              <w:widowControl w:val="0"/>
              <w:jc w:val="center"/>
              <w:rPr>
                <w:rFonts w:ascii="Arial" w:hAnsi="Arial" w:cs="Arial"/>
                <w:bCs/>
                <w:sz w:val="16"/>
                <w:szCs w:val="16"/>
              </w:rPr>
            </w:pPr>
            <w:r w:rsidRPr="001C6875">
              <w:rPr>
                <w:rFonts w:ascii="Arial" w:hAnsi="Arial" w:cs="Arial"/>
                <w:bCs/>
                <w:sz w:val="16"/>
                <w:szCs w:val="16"/>
              </w:rPr>
              <w:t>620</w:t>
            </w:r>
          </w:p>
        </w:tc>
      </w:tr>
      <w:tr w:rsidR="002C27E6" w:rsidRPr="006F49D0" w14:paraId="60B7AF84" w14:textId="77777777" w:rsidTr="00EE52E1">
        <w:trPr>
          <w:trHeight w:val="541"/>
        </w:trPr>
        <w:tc>
          <w:tcPr>
            <w:tcW w:w="687" w:type="dxa"/>
            <w:vAlign w:val="center"/>
          </w:tcPr>
          <w:p w14:paraId="000145C3" w14:textId="5544E3E4" w:rsidR="002C27E6" w:rsidRPr="001C6875" w:rsidRDefault="002C27E6" w:rsidP="00EE52E1">
            <w:pPr>
              <w:widowControl w:val="0"/>
              <w:jc w:val="center"/>
              <w:rPr>
                <w:rFonts w:ascii="Arial" w:hAnsi="Arial" w:cs="Arial"/>
                <w:bCs/>
                <w:sz w:val="16"/>
                <w:szCs w:val="16"/>
              </w:rPr>
            </w:pPr>
            <w:r>
              <w:rPr>
                <w:rFonts w:ascii="Arial" w:hAnsi="Arial" w:cs="Arial"/>
                <w:bCs/>
                <w:sz w:val="16"/>
                <w:szCs w:val="16"/>
              </w:rPr>
              <w:t>CGN</w:t>
            </w:r>
          </w:p>
        </w:tc>
        <w:tc>
          <w:tcPr>
            <w:tcW w:w="2682" w:type="dxa"/>
            <w:vAlign w:val="center"/>
          </w:tcPr>
          <w:p w14:paraId="4BDDEBA2" w14:textId="6825C25B" w:rsidR="002C27E6" w:rsidRPr="001C6875" w:rsidRDefault="002C27E6" w:rsidP="00CF5DF7">
            <w:pPr>
              <w:widowControl w:val="0"/>
              <w:jc w:val="center"/>
              <w:rPr>
                <w:rFonts w:ascii="Arial" w:hAnsi="Arial" w:cs="Arial"/>
                <w:bCs/>
                <w:sz w:val="16"/>
                <w:szCs w:val="16"/>
              </w:rPr>
            </w:pPr>
            <w:r>
              <w:rPr>
                <w:rFonts w:ascii="Arial" w:hAnsi="Arial" w:cs="Arial"/>
                <w:bCs/>
                <w:sz w:val="16"/>
                <w:szCs w:val="16"/>
              </w:rPr>
              <w:t>„Stadthaus Deutz“, Willy-Brandt-Platz 2</w:t>
            </w:r>
          </w:p>
        </w:tc>
        <w:tc>
          <w:tcPr>
            <w:tcW w:w="2658" w:type="dxa"/>
            <w:vAlign w:val="center"/>
          </w:tcPr>
          <w:p w14:paraId="1BA57C9F" w14:textId="1B2072C4" w:rsidR="002C27E6" w:rsidRPr="001C6875" w:rsidRDefault="00493F2C" w:rsidP="00CF5DF7">
            <w:pPr>
              <w:widowControl w:val="0"/>
              <w:jc w:val="center"/>
              <w:rPr>
                <w:rFonts w:ascii="Arial" w:hAnsi="Arial" w:cs="Arial"/>
                <w:bCs/>
                <w:sz w:val="16"/>
                <w:szCs w:val="16"/>
              </w:rPr>
            </w:pPr>
            <w:r>
              <w:rPr>
                <w:rFonts w:ascii="Arial" w:hAnsi="Arial" w:cs="Arial"/>
                <w:bCs/>
                <w:sz w:val="16"/>
                <w:szCs w:val="16"/>
              </w:rPr>
              <w:t>Spezialfonds von DIC für Investorengruppe</w:t>
            </w:r>
          </w:p>
        </w:tc>
        <w:tc>
          <w:tcPr>
            <w:tcW w:w="2309" w:type="dxa"/>
            <w:vAlign w:val="center"/>
          </w:tcPr>
          <w:p w14:paraId="36AAAE23" w14:textId="18D551AD" w:rsidR="002C27E6" w:rsidRPr="001C6875" w:rsidRDefault="002C27E6" w:rsidP="00CF5DF7">
            <w:pPr>
              <w:widowControl w:val="0"/>
              <w:jc w:val="center"/>
              <w:rPr>
                <w:rFonts w:ascii="Arial" w:hAnsi="Arial" w:cs="Arial"/>
                <w:bCs/>
                <w:sz w:val="16"/>
                <w:szCs w:val="16"/>
              </w:rPr>
            </w:pPr>
            <w:r>
              <w:rPr>
                <w:rFonts w:ascii="Arial" w:hAnsi="Arial" w:cs="Arial"/>
                <w:bCs/>
                <w:sz w:val="16"/>
                <w:szCs w:val="16"/>
              </w:rPr>
              <w:t>Mirae Asset Global und Junson Capital</w:t>
            </w:r>
          </w:p>
        </w:tc>
        <w:tc>
          <w:tcPr>
            <w:tcW w:w="895" w:type="dxa"/>
            <w:vAlign w:val="center"/>
          </w:tcPr>
          <w:p w14:paraId="4CE74E67" w14:textId="15EABF97" w:rsidR="002C27E6" w:rsidRPr="001C6875" w:rsidRDefault="002C27E6" w:rsidP="00CF5DF7">
            <w:pPr>
              <w:widowControl w:val="0"/>
              <w:jc w:val="center"/>
              <w:rPr>
                <w:rFonts w:ascii="Arial" w:hAnsi="Arial" w:cs="Arial"/>
                <w:bCs/>
                <w:sz w:val="16"/>
                <w:szCs w:val="16"/>
              </w:rPr>
            </w:pPr>
            <w:r>
              <w:rPr>
                <w:rFonts w:ascii="Arial" w:hAnsi="Arial" w:cs="Arial"/>
                <w:bCs/>
                <w:sz w:val="16"/>
                <w:szCs w:val="16"/>
              </w:rPr>
              <w:t>500</w:t>
            </w:r>
          </w:p>
        </w:tc>
      </w:tr>
      <w:tr w:rsidR="00133084" w:rsidRPr="006F49D0" w14:paraId="76EAC9D3" w14:textId="77777777" w:rsidTr="00992BB6">
        <w:trPr>
          <w:trHeight w:val="259"/>
        </w:trPr>
        <w:tc>
          <w:tcPr>
            <w:tcW w:w="687" w:type="dxa"/>
            <w:shd w:val="clear" w:color="auto" w:fill="FFFFFF" w:themeFill="background1"/>
            <w:vAlign w:val="center"/>
          </w:tcPr>
          <w:p w14:paraId="29E74024" w14:textId="145F0606" w:rsidR="00133084" w:rsidRPr="006F49D0" w:rsidRDefault="00BD5B2C" w:rsidP="00EE52E1">
            <w:pPr>
              <w:widowControl w:val="0"/>
              <w:jc w:val="center"/>
              <w:rPr>
                <w:rFonts w:ascii="Arial" w:hAnsi="Arial" w:cs="Arial"/>
                <w:sz w:val="16"/>
                <w:szCs w:val="16"/>
              </w:rPr>
            </w:pPr>
            <w:r>
              <w:rPr>
                <w:rFonts w:ascii="Arial" w:hAnsi="Arial" w:cs="Arial"/>
                <w:sz w:val="16"/>
                <w:szCs w:val="16"/>
              </w:rPr>
              <w:t>BER</w:t>
            </w:r>
          </w:p>
        </w:tc>
        <w:tc>
          <w:tcPr>
            <w:tcW w:w="2682" w:type="dxa"/>
            <w:shd w:val="clear" w:color="auto" w:fill="FFFFFF" w:themeFill="background1"/>
          </w:tcPr>
          <w:p w14:paraId="27946BE3" w14:textId="562618C1" w:rsidR="00133084" w:rsidRPr="00717E16" w:rsidRDefault="00080918" w:rsidP="00CF5DF7">
            <w:pPr>
              <w:widowControl w:val="0"/>
              <w:jc w:val="center"/>
              <w:rPr>
                <w:rFonts w:ascii="Arial" w:hAnsi="Arial" w:cs="Arial"/>
                <w:sz w:val="16"/>
                <w:szCs w:val="16"/>
              </w:rPr>
            </w:pPr>
            <w:r>
              <w:rPr>
                <w:rFonts w:ascii="Arial" w:hAnsi="Arial" w:cs="Arial"/>
                <w:sz w:val="16"/>
                <w:szCs w:val="16"/>
              </w:rPr>
              <w:t>„</w:t>
            </w:r>
            <w:r w:rsidR="00717E16" w:rsidRPr="00717E16">
              <w:rPr>
                <w:rFonts w:ascii="Arial" w:hAnsi="Arial" w:cs="Arial"/>
                <w:sz w:val="16"/>
                <w:szCs w:val="16"/>
              </w:rPr>
              <w:t>Oberbaum-City</w:t>
            </w:r>
            <w:r>
              <w:rPr>
                <w:rFonts w:ascii="Arial" w:hAnsi="Arial" w:cs="Arial"/>
                <w:sz w:val="16"/>
                <w:szCs w:val="16"/>
              </w:rPr>
              <w:t>“</w:t>
            </w:r>
            <w:r w:rsidR="00717E16" w:rsidRPr="00717E16">
              <w:rPr>
                <w:rFonts w:ascii="Arial" w:hAnsi="Arial" w:cs="Arial"/>
                <w:sz w:val="16"/>
                <w:szCs w:val="16"/>
              </w:rPr>
              <w:t>, Rotherstraße</w:t>
            </w:r>
          </w:p>
        </w:tc>
        <w:tc>
          <w:tcPr>
            <w:tcW w:w="2658" w:type="dxa"/>
            <w:shd w:val="clear" w:color="auto" w:fill="FFFFFF" w:themeFill="background1"/>
          </w:tcPr>
          <w:p w14:paraId="03FBAFE5" w14:textId="2CA27CA8" w:rsidR="00133084" w:rsidRPr="001D6B1E" w:rsidRDefault="00A32E96" w:rsidP="00CF5DF7">
            <w:pPr>
              <w:widowControl w:val="0"/>
              <w:jc w:val="center"/>
              <w:rPr>
                <w:rFonts w:ascii="Arial" w:hAnsi="Arial" w:cs="Arial"/>
                <w:color w:val="FF0000"/>
                <w:sz w:val="16"/>
                <w:szCs w:val="16"/>
              </w:rPr>
            </w:pPr>
            <w:r w:rsidRPr="00EF163D">
              <w:rPr>
                <w:rFonts w:ascii="Arial" w:hAnsi="Arial" w:cs="Arial"/>
                <w:sz w:val="16"/>
                <w:szCs w:val="16"/>
              </w:rPr>
              <w:t>Blac</w:t>
            </w:r>
            <w:r w:rsidR="00EF163D" w:rsidRPr="00EF163D">
              <w:rPr>
                <w:rFonts w:ascii="Arial" w:hAnsi="Arial" w:cs="Arial"/>
                <w:sz w:val="16"/>
                <w:szCs w:val="16"/>
              </w:rPr>
              <w:t>k</w:t>
            </w:r>
            <w:r w:rsidRPr="00EF163D">
              <w:rPr>
                <w:rFonts w:ascii="Arial" w:hAnsi="Arial" w:cs="Arial"/>
                <w:sz w:val="16"/>
                <w:szCs w:val="16"/>
              </w:rPr>
              <w:t>stone</w:t>
            </w:r>
          </w:p>
        </w:tc>
        <w:tc>
          <w:tcPr>
            <w:tcW w:w="2309" w:type="dxa"/>
            <w:shd w:val="clear" w:color="auto" w:fill="FFFFFF" w:themeFill="background1"/>
          </w:tcPr>
          <w:p w14:paraId="6997A228" w14:textId="6B76A10E" w:rsidR="00133084" w:rsidRPr="001D6B1E" w:rsidRDefault="00FA722C" w:rsidP="00CF5DF7">
            <w:pPr>
              <w:widowControl w:val="0"/>
              <w:jc w:val="center"/>
              <w:rPr>
                <w:rFonts w:ascii="Arial" w:hAnsi="Arial" w:cs="Arial"/>
                <w:color w:val="FF0000"/>
                <w:sz w:val="16"/>
                <w:szCs w:val="16"/>
              </w:rPr>
            </w:pPr>
            <w:r w:rsidRPr="00FA722C">
              <w:rPr>
                <w:rFonts w:ascii="Arial" w:hAnsi="Arial" w:cs="Arial"/>
                <w:sz w:val="16"/>
                <w:szCs w:val="16"/>
              </w:rPr>
              <w:t>UniCredit (HVB)</w:t>
            </w:r>
          </w:p>
        </w:tc>
        <w:tc>
          <w:tcPr>
            <w:tcW w:w="895" w:type="dxa"/>
            <w:shd w:val="clear" w:color="auto" w:fill="FFFFFF" w:themeFill="background1"/>
            <w:vAlign w:val="center"/>
          </w:tcPr>
          <w:p w14:paraId="7934BAAF" w14:textId="495640FC" w:rsidR="00133084" w:rsidRPr="001D6B1E" w:rsidRDefault="008650C6" w:rsidP="00CF5DF7">
            <w:pPr>
              <w:widowControl w:val="0"/>
              <w:jc w:val="center"/>
              <w:rPr>
                <w:rFonts w:ascii="Arial" w:hAnsi="Arial" w:cs="Arial"/>
                <w:color w:val="FF0000"/>
                <w:sz w:val="16"/>
                <w:szCs w:val="16"/>
              </w:rPr>
            </w:pPr>
            <w:r w:rsidRPr="008650C6">
              <w:rPr>
                <w:rFonts w:ascii="Arial" w:hAnsi="Arial" w:cs="Arial"/>
                <w:sz w:val="16"/>
                <w:szCs w:val="16"/>
              </w:rPr>
              <w:t>475</w:t>
            </w:r>
          </w:p>
        </w:tc>
      </w:tr>
      <w:tr w:rsidR="009D6021" w:rsidRPr="006F49D0" w14:paraId="63266D50" w14:textId="77777777" w:rsidTr="00992BB6">
        <w:trPr>
          <w:trHeight w:val="259"/>
        </w:trPr>
        <w:tc>
          <w:tcPr>
            <w:tcW w:w="687" w:type="dxa"/>
            <w:shd w:val="clear" w:color="auto" w:fill="FFFFFF" w:themeFill="background1"/>
            <w:vAlign w:val="center"/>
          </w:tcPr>
          <w:p w14:paraId="7622A9C6" w14:textId="6CB3C357" w:rsidR="009D6021" w:rsidRDefault="009D6021" w:rsidP="00EE52E1">
            <w:pPr>
              <w:widowControl w:val="0"/>
              <w:jc w:val="center"/>
              <w:rPr>
                <w:rFonts w:ascii="Arial" w:hAnsi="Arial" w:cs="Arial"/>
                <w:sz w:val="16"/>
                <w:szCs w:val="16"/>
              </w:rPr>
            </w:pPr>
            <w:r>
              <w:rPr>
                <w:rFonts w:ascii="Arial" w:hAnsi="Arial" w:cs="Arial"/>
                <w:sz w:val="16"/>
                <w:szCs w:val="16"/>
              </w:rPr>
              <w:t>FFM</w:t>
            </w:r>
          </w:p>
        </w:tc>
        <w:tc>
          <w:tcPr>
            <w:tcW w:w="2682" w:type="dxa"/>
            <w:shd w:val="clear" w:color="auto" w:fill="FFFFFF" w:themeFill="background1"/>
          </w:tcPr>
          <w:p w14:paraId="2AD7FF9A" w14:textId="0042D48B" w:rsidR="009D6021" w:rsidRDefault="009D6021" w:rsidP="00CF5DF7">
            <w:pPr>
              <w:widowControl w:val="0"/>
              <w:jc w:val="center"/>
              <w:rPr>
                <w:rFonts w:ascii="Arial" w:hAnsi="Arial" w:cs="Arial"/>
                <w:sz w:val="16"/>
                <w:szCs w:val="16"/>
              </w:rPr>
            </w:pPr>
            <w:r>
              <w:rPr>
                <w:rFonts w:ascii="Arial" w:hAnsi="Arial" w:cs="Arial"/>
                <w:sz w:val="16"/>
                <w:szCs w:val="16"/>
              </w:rPr>
              <w:t>„T8“, Taunusanlage</w:t>
            </w:r>
          </w:p>
        </w:tc>
        <w:tc>
          <w:tcPr>
            <w:tcW w:w="2658" w:type="dxa"/>
            <w:shd w:val="clear" w:color="auto" w:fill="FFFFFF" w:themeFill="background1"/>
          </w:tcPr>
          <w:p w14:paraId="3B75755C" w14:textId="1CF04BDF" w:rsidR="009D6021" w:rsidRPr="00EF163D" w:rsidRDefault="009D6021" w:rsidP="00CF5DF7">
            <w:pPr>
              <w:widowControl w:val="0"/>
              <w:jc w:val="center"/>
              <w:rPr>
                <w:rFonts w:ascii="Arial" w:hAnsi="Arial" w:cs="Arial"/>
                <w:sz w:val="16"/>
                <w:szCs w:val="16"/>
              </w:rPr>
            </w:pPr>
            <w:r>
              <w:rPr>
                <w:rFonts w:ascii="Arial" w:hAnsi="Arial" w:cs="Arial"/>
                <w:sz w:val="16"/>
                <w:szCs w:val="16"/>
              </w:rPr>
              <w:t>Wirtgen Invest</w:t>
            </w:r>
          </w:p>
        </w:tc>
        <w:tc>
          <w:tcPr>
            <w:tcW w:w="2309" w:type="dxa"/>
            <w:shd w:val="clear" w:color="auto" w:fill="FFFFFF" w:themeFill="background1"/>
          </w:tcPr>
          <w:p w14:paraId="24243007" w14:textId="0C823C50" w:rsidR="009D6021" w:rsidRPr="00C01BD3" w:rsidRDefault="009D6021" w:rsidP="00CF5DF7">
            <w:pPr>
              <w:widowControl w:val="0"/>
              <w:jc w:val="center"/>
              <w:rPr>
                <w:rFonts w:ascii="Arial" w:hAnsi="Arial" w:cs="Arial"/>
                <w:sz w:val="16"/>
                <w:szCs w:val="16"/>
                <w:lang w:val="en-GB"/>
              </w:rPr>
            </w:pPr>
            <w:r w:rsidRPr="00C01BD3">
              <w:rPr>
                <w:rFonts w:ascii="Arial" w:hAnsi="Arial" w:cs="Arial"/>
                <w:sz w:val="16"/>
                <w:szCs w:val="16"/>
                <w:lang w:val="en-GB"/>
              </w:rPr>
              <w:t>South Korea’s Mirae Asset Global Investments Co.</w:t>
            </w:r>
          </w:p>
        </w:tc>
        <w:tc>
          <w:tcPr>
            <w:tcW w:w="895" w:type="dxa"/>
            <w:shd w:val="clear" w:color="auto" w:fill="FFFFFF" w:themeFill="background1"/>
            <w:vAlign w:val="center"/>
          </w:tcPr>
          <w:p w14:paraId="1B533BB6" w14:textId="4EACB740" w:rsidR="009D6021" w:rsidRPr="008650C6" w:rsidRDefault="009D6021" w:rsidP="00CF5DF7">
            <w:pPr>
              <w:widowControl w:val="0"/>
              <w:jc w:val="center"/>
              <w:rPr>
                <w:rFonts w:ascii="Arial" w:hAnsi="Arial" w:cs="Arial"/>
                <w:sz w:val="16"/>
                <w:szCs w:val="16"/>
              </w:rPr>
            </w:pPr>
            <w:r>
              <w:rPr>
                <w:rFonts w:ascii="Arial" w:hAnsi="Arial" w:cs="Arial"/>
                <w:sz w:val="16"/>
                <w:szCs w:val="16"/>
              </w:rPr>
              <w:t>400</w:t>
            </w:r>
          </w:p>
        </w:tc>
      </w:tr>
      <w:tr w:rsidR="008E7B91" w:rsidRPr="00F4684B" w14:paraId="6505A2E9" w14:textId="77777777" w:rsidTr="006A6E3F">
        <w:trPr>
          <w:trHeight w:val="259"/>
        </w:trPr>
        <w:tc>
          <w:tcPr>
            <w:tcW w:w="687" w:type="dxa"/>
            <w:shd w:val="clear" w:color="auto" w:fill="auto"/>
            <w:vAlign w:val="center"/>
          </w:tcPr>
          <w:p w14:paraId="318BB616" w14:textId="34F73C91" w:rsidR="008E7B91" w:rsidRPr="00EE0697" w:rsidRDefault="008E7B91" w:rsidP="00EE52E1">
            <w:pPr>
              <w:widowControl w:val="0"/>
              <w:jc w:val="center"/>
              <w:rPr>
                <w:rFonts w:ascii="Arial" w:hAnsi="Arial" w:cs="Arial"/>
                <w:sz w:val="16"/>
                <w:szCs w:val="16"/>
              </w:rPr>
            </w:pPr>
            <w:r w:rsidRPr="00EE0697">
              <w:rPr>
                <w:rFonts w:ascii="Arial" w:hAnsi="Arial" w:cs="Arial"/>
                <w:sz w:val="16"/>
                <w:szCs w:val="16"/>
              </w:rPr>
              <w:t>BER</w:t>
            </w:r>
          </w:p>
        </w:tc>
        <w:tc>
          <w:tcPr>
            <w:tcW w:w="2682" w:type="dxa"/>
            <w:shd w:val="clear" w:color="auto" w:fill="auto"/>
          </w:tcPr>
          <w:p w14:paraId="57D5367E" w14:textId="240A6A14" w:rsidR="008E7B91" w:rsidRPr="00EE0697" w:rsidRDefault="008E7B91" w:rsidP="00CF5DF7">
            <w:pPr>
              <w:widowControl w:val="0"/>
              <w:jc w:val="center"/>
              <w:rPr>
                <w:rFonts w:ascii="Arial" w:hAnsi="Arial" w:cs="Arial"/>
                <w:sz w:val="16"/>
                <w:szCs w:val="16"/>
              </w:rPr>
            </w:pPr>
            <w:r w:rsidRPr="00EE0697">
              <w:rPr>
                <w:rFonts w:ascii="Arial" w:hAnsi="Arial" w:cs="Arial"/>
                <w:sz w:val="16"/>
                <w:szCs w:val="16"/>
              </w:rPr>
              <w:t>„Pressehaus am Alexanderplatz / New Podium“, Karl-Liebknecht-Straße 27-29</w:t>
            </w:r>
          </w:p>
        </w:tc>
        <w:tc>
          <w:tcPr>
            <w:tcW w:w="2658" w:type="dxa"/>
            <w:shd w:val="clear" w:color="auto" w:fill="auto"/>
          </w:tcPr>
          <w:p w14:paraId="29986B13" w14:textId="0F7AF7A5" w:rsidR="008E7B91" w:rsidRPr="00EE0697" w:rsidRDefault="008E7B91" w:rsidP="00CF5DF7">
            <w:pPr>
              <w:widowControl w:val="0"/>
              <w:jc w:val="center"/>
              <w:rPr>
                <w:rFonts w:ascii="Arial" w:hAnsi="Arial" w:cs="Arial"/>
                <w:sz w:val="16"/>
                <w:szCs w:val="16"/>
              </w:rPr>
            </w:pPr>
            <w:r w:rsidRPr="00EE0697">
              <w:rPr>
                <w:rFonts w:ascii="Arial" w:hAnsi="Arial" w:cs="Arial"/>
                <w:sz w:val="16"/>
                <w:szCs w:val="16"/>
              </w:rPr>
              <w:t>GEG German Estate Group</w:t>
            </w:r>
          </w:p>
        </w:tc>
        <w:tc>
          <w:tcPr>
            <w:tcW w:w="2309" w:type="dxa"/>
            <w:shd w:val="clear" w:color="auto" w:fill="auto"/>
          </w:tcPr>
          <w:p w14:paraId="57506F93" w14:textId="7543D056" w:rsidR="008E7B91" w:rsidRPr="00EE0697" w:rsidRDefault="008E7B91" w:rsidP="00CF5DF7">
            <w:pPr>
              <w:widowControl w:val="0"/>
              <w:jc w:val="center"/>
              <w:rPr>
                <w:rFonts w:ascii="Arial" w:hAnsi="Arial" w:cs="Arial"/>
                <w:sz w:val="16"/>
                <w:szCs w:val="16"/>
              </w:rPr>
            </w:pPr>
            <w:r w:rsidRPr="00EE0697">
              <w:rPr>
                <w:rFonts w:ascii="Arial" w:hAnsi="Arial" w:cs="Arial"/>
                <w:sz w:val="16"/>
                <w:szCs w:val="16"/>
              </w:rPr>
              <w:t>Tishman Speyer</w:t>
            </w:r>
          </w:p>
        </w:tc>
        <w:tc>
          <w:tcPr>
            <w:tcW w:w="895" w:type="dxa"/>
            <w:shd w:val="clear" w:color="auto" w:fill="auto"/>
            <w:vAlign w:val="center"/>
          </w:tcPr>
          <w:p w14:paraId="43D532AB" w14:textId="359D2AF9" w:rsidR="008E7B91" w:rsidRPr="00EE0697" w:rsidRDefault="008E7B91" w:rsidP="00CF5DF7">
            <w:pPr>
              <w:widowControl w:val="0"/>
              <w:jc w:val="center"/>
              <w:rPr>
                <w:rFonts w:ascii="Arial" w:hAnsi="Arial" w:cs="Arial"/>
                <w:sz w:val="16"/>
                <w:szCs w:val="16"/>
              </w:rPr>
            </w:pPr>
            <w:r w:rsidRPr="00EE0697">
              <w:rPr>
                <w:rFonts w:ascii="Arial" w:hAnsi="Arial" w:cs="Arial"/>
                <w:sz w:val="16"/>
                <w:szCs w:val="16"/>
              </w:rPr>
              <w:t>365</w:t>
            </w:r>
          </w:p>
        </w:tc>
      </w:tr>
      <w:tr w:rsidR="00F54CD0" w:rsidRPr="00F4684B" w14:paraId="7F831D0F" w14:textId="77777777" w:rsidTr="006A6E3F">
        <w:trPr>
          <w:trHeight w:val="259"/>
        </w:trPr>
        <w:tc>
          <w:tcPr>
            <w:tcW w:w="687" w:type="dxa"/>
            <w:shd w:val="clear" w:color="auto" w:fill="auto"/>
            <w:vAlign w:val="center"/>
          </w:tcPr>
          <w:p w14:paraId="195228FF" w14:textId="01011B54" w:rsidR="00F54CD0" w:rsidRPr="00EE0697" w:rsidRDefault="008504E3" w:rsidP="00EE52E1">
            <w:pPr>
              <w:widowControl w:val="0"/>
              <w:jc w:val="center"/>
              <w:rPr>
                <w:rFonts w:ascii="Arial" w:hAnsi="Arial" w:cs="Arial"/>
                <w:sz w:val="16"/>
                <w:szCs w:val="16"/>
              </w:rPr>
            </w:pPr>
            <w:r w:rsidRPr="00EE0697">
              <w:rPr>
                <w:rFonts w:ascii="Arial" w:hAnsi="Arial" w:cs="Arial"/>
                <w:sz w:val="16"/>
                <w:szCs w:val="16"/>
              </w:rPr>
              <w:t>STU</w:t>
            </w:r>
          </w:p>
        </w:tc>
        <w:tc>
          <w:tcPr>
            <w:tcW w:w="2682" w:type="dxa"/>
            <w:shd w:val="clear" w:color="auto" w:fill="auto"/>
          </w:tcPr>
          <w:p w14:paraId="7FFB8464" w14:textId="30A4660D" w:rsidR="00F54CD0" w:rsidRPr="00EE0697" w:rsidRDefault="008E7B91" w:rsidP="00CF5DF7">
            <w:pPr>
              <w:widowControl w:val="0"/>
              <w:jc w:val="center"/>
              <w:rPr>
                <w:rFonts w:ascii="Arial" w:hAnsi="Arial" w:cs="Arial"/>
                <w:sz w:val="16"/>
                <w:szCs w:val="16"/>
              </w:rPr>
            </w:pPr>
            <w:r w:rsidRPr="00EE0697">
              <w:rPr>
                <w:rFonts w:ascii="Arial" w:hAnsi="Arial" w:cs="Arial"/>
                <w:sz w:val="16"/>
                <w:szCs w:val="16"/>
              </w:rPr>
              <w:t>„</w:t>
            </w:r>
            <w:r w:rsidR="00FA0466" w:rsidRPr="00EE0697">
              <w:rPr>
                <w:rFonts w:ascii="Arial" w:hAnsi="Arial" w:cs="Arial"/>
                <w:sz w:val="16"/>
                <w:szCs w:val="16"/>
              </w:rPr>
              <w:t>Königsbaupassagen</w:t>
            </w:r>
            <w:r w:rsidRPr="00EE0697">
              <w:rPr>
                <w:rFonts w:ascii="Arial" w:hAnsi="Arial" w:cs="Arial"/>
                <w:sz w:val="16"/>
                <w:szCs w:val="16"/>
              </w:rPr>
              <w:t>“</w:t>
            </w:r>
            <w:r w:rsidR="00FA0466" w:rsidRPr="00EE0697">
              <w:rPr>
                <w:rFonts w:ascii="Arial" w:hAnsi="Arial" w:cs="Arial"/>
                <w:sz w:val="16"/>
                <w:szCs w:val="16"/>
              </w:rPr>
              <w:t xml:space="preserve">, </w:t>
            </w:r>
            <w:r w:rsidRPr="00EE0697">
              <w:rPr>
                <w:rFonts w:ascii="Arial" w:hAnsi="Arial" w:cs="Arial"/>
                <w:sz w:val="16"/>
                <w:szCs w:val="16"/>
              </w:rPr>
              <w:t>Königstraße 26</w:t>
            </w:r>
          </w:p>
        </w:tc>
        <w:tc>
          <w:tcPr>
            <w:tcW w:w="2658" w:type="dxa"/>
            <w:shd w:val="clear" w:color="auto" w:fill="auto"/>
          </w:tcPr>
          <w:p w14:paraId="6F12F4A6" w14:textId="24CB19A2" w:rsidR="00F54CD0" w:rsidRPr="00EE0697" w:rsidRDefault="005164AC" w:rsidP="00CF5DF7">
            <w:pPr>
              <w:widowControl w:val="0"/>
              <w:jc w:val="center"/>
              <w:rPr>
                <w:rFonts w:ascii="Arial" w:hAnsi="Arial" w:cs="Arial"/>
                <w:sz w:val="16"/>
                <w:szCs w:val="16"/>
              </w:rPr>
            </w:pPr>
            <w:r w:rsidRPr="00EE0697">
              <w:rPr>
                <w:rFonts w:ascii="Arial" w:hAnsi="Arial" w:cs="Arial"/>
                <w:sz w:val="16"/>
                <w:szCs w:val="16"/>
              </w:rPr>
              <w:t>Antirion SGR</w:t>
            </w:r>
            <w:r w:rsidR="00BA3244" w:rsidRPr="00EE0697">
              <w:rPr>
                <w:rFonts w:ascii="Arial" w:hAnsi="Arial" w:cs="Arial"/>
                <w:sz w:val="16"/>
                <w:szCs w:val="16"/>
              </w:rPr>
              <w:t>,</w:t>
            </w:r>
            <w:r w:rsidRPr="00EE0697">
              <w:rPr>
                <w:rFonts w:ascii="Arial" w:hAnsi="Arial" w:cs="Arial"/>
                <w:sz w:val="16"/>
                <w:szCs w:val="16"/>
              </w:rPr>
              <w:t xml:space="preserve"> u.a. für italienische Versicherung</w:t>
            </w:r>
          </w:p>
        </w:tc>
        <w:tc>
          <w:tcPr>
            <w:tcW w:w="2309" w:type="dxa"/>
            <w:shd w:val="clear" w:color="auto" w:fill="auto"/>
          </w:tcPr>
          <w:p w14:paraId="45407C1D" w14:textId="42389C50" w:rsidR="00F54CD0" w:rsidRPr="00EE0697" w:rsidRDefault="0022567C" w:rsidP="00CF5DF7">
            <w:pPr>
              <w:widowControl w:val="0"/>
              <w:jc w:val="center"/>
              <w:rPr>
                <w:rFonts w:ascii="Arial" w:hAnsi="Arial" w:cs="Arial"/>
                <w:sz w:val="16"/>
                <w:szCs w:val="16"/>
                <w:lang w:val="en-US"/>
              </w:rPr>
            </w:pPr>
            <w:r w:rsidRPr="00EE0697">
              <w:rPr>
                <w:rFonts w:ascii="Arial" w:hAnsi="Arial" w:cs="Arial"/>
                <w:sz w:val="16"/>
                <w:szCs w:val="16"/>
                <w:lang w:val="en-US"/>
              </w:rPr>
              <w:t>Evans Randall</w:t>
            </w:r>
          </w:p>
        </w:tc>
        <w:tc>
          <w:tcPr>
            <w:tcW w:w="895" w:type="dxa"/>
            <w:shd w:val="clear" w:color="auto" w:fill="auto"/>
            <w:vAlign w:val="center"/>
          </w:tcPr>
          <w:p w14:paraId="55E64F75" w14:textId="29B3D17C" w:rsidR="00F54CD0" w:rsidRPr="00EE0697" w:rsidRDefault="00D50006" w:rsidP="00CF5DF7">
            <w:pPr>
              <w:widowControl w:val="0"/>
              <w:jc w:val="center"/>
              <w:rPr>
                <w:rFonts w:ascii="Arial" w:hAnsi="Arial" w:cs="Arial"/>
                <w:sz w:val="16"/>
                <w:szCs w:val="16"/>
                <w:lang w:val="en-US"/>
              </w:rPr>
            </w:pPr>
            <w:r w:rsidRPr="00EE0697">
              <w:rPr>
                <w:rFonts w:ascii="Arial" w:hAnsi="Arial" w:cs="Arial"/>
                <w:sz w:val="16"/>
                <w:szCs w:val="16"/>
                <w:lang w:val="en-US"/>
              </w:rPr>
              <w:t>280</w:t>
            </w:r>
          </w:p>
        </w:tc>
      </w:tr>
      <w:tr w:rsidR="003F7912" w:rsidRPr="00797E2F" w14:paraId="439C7CF2" w14:textId="77777777" w:rsidTr="0060481F">
        <w:trPr>
          <w:trHeight w:val="259"/>
        </w:trPr>
        <w:tc>
          <w:tcPr>
            <w:tcW w:w="687" w:type="dxa"/>
            <w:shd w:val="clear" w:color="auto" w:fill="auto"/>
            <w:vAlign w:val="center"/>
          </w:tcPr>
          <w:p w14:paraId="686E9555" w14:textId="37E83213" w:rsidR="003F7912" w:rsidRPr="00EE0697" w:rsidRDefault="00B812AA" w:rsidP="00EE52E1">
            <w:pPr>
              <w:widowControl w:val="0"/>
              <w:jc w:val="center"/>
              <w:rPr>
                <w:rFonts w:ascii="Arial" w:hAnsi="Arial" w:cs="Arial"/>
                <w:sz w:val="16"/>
                <w:szCs w:val="16"/>
              </w:rPr>
            </w:pPr>
            <w:r w:rsidRPr="00EE0697">
              <w:rPr>
                <w:rFonts w:ascii="Arial" w:hAnsi="Arial" w:cs="Arial"/>
                <w:sz w:val="16"/>
                <w:szCs w:val="16"/>
              </w:rPr>
              <w:t>FFM</w:t>
            </w:r>
          </w:p>
        </w:tc>
        <w:tc>
          <w:tcPr>
            <w:tcW w:w="2682" w:type="dxa"/>
            <w:shd w:val="clear" w:color="auto" w:fill="auto"/>
          </w:tcPr>
          <w:p w14:paraId="7563BC5C" w14:textId="3F48730A" w:rsidR="003F7912" w:rsidRPr="00EE0697" w:rsidRDefault="00080918" w:rsidP="00CF5DF7">
            <w:pPr>
              <w:widowControl w:val="0"/>
              <w:jc w:val="center"/>
              <w:rPr>
                <w:rFonts w:ascii="Arial" w:hAnsi="Arial" w:cs="Arial"/>
                <w:color w:val="FF0000"/>
                <w:sz w:val="16"/>
                <w:szCs w:val="16"/>
              </w:rPr>
            </w:pPr>
            <w:r w:rsidRPr="00EE0697">
              <w:rPr>
                <w:rFonts w:ascii="Arial" w:hAnsi="Arial" w:cs="Arial"/>
                <w:sz w:val="16"/>
                <w:szCs w:val="16"/>
              </w:rPr>
              <w:t>„</w:t>
            </w:r>
            <w:r w:rsidR="00B812AA" w:rsidRPr="00EE0697">
              <w:rPr>
                <w:rFonts w:ascii="Arial" w:hAnsi="Arial" w:cs="Arial"/>
                <w:sz w:val="16"/>
                <w:szCs w:val="16"/>
              </w:rPr>
              <w:t>MAC</w:t>
            </w:r>
            <w:r w:rsidR="008E7B91" w:rsidRPr="00EE0697">
              <w:rPr>
                <w:rFonts w:ascii="Arial" w:hAnsi="Arial" w:cs="Arial"/>
                <w:sz w:val="16"/>
                <w:szCs w:val="16"/>
              </w:rPr>
              <w:t>“</w:t>
            </w:r>
            <w:r w:rsidR="00381B94" w:rsidRPr="00EE0697">
              <w:rPr>
                <w:rFonts w:ascii="Arial" w:hAnsi="Arial" w:cs="Arial"/>
                <w:sz w:val="16"/>
                <w:szCs w:val="16"/>
              </w:rPr>
              <w:t xml:space="preserve">, </w:t>
            </w:r>
            <w:r w:rsidR="00B812AA" w:rsidRPr="00EE0697">
              <w:rPr>
                <w:rFonts w:ascii="Arial" w:hAnsi="Arial" w:cs="Arial"/>
                <w:sz w:val="16"/>
                <w:szCs w:val="16"/>
              </w:rPr>
              <w:t>Unterschweinstiege 2-14</w:t>
            </w:r>
          </w:p>
        </w:tc>
        <w:tc>
          <w:tcPr>
            <w:tcW w:w="2658" w:type="dxa"/>
            <w:shd w:val="clear" w:color="auto" w:fill="auto"/>
          </w:tcPr>
          <w:p w14:paraId="0E3E1780" w14:textId="57A51A3B" w:rsidR="003F7912" w:rsidRPr="00EE0697" w:rsidRDefault="00B812AA" w:rsidP="00CF5DF7">
            <w:pPr>
              <w:widowControl w:val="0"/>
              <w:jc w:val="center"/>
              <w:rPr>
                <w:rFonts w:ascii="Arial" w:hAnsi="Arial" w:cs="Arial"/>
                <w:sz w:val="16"/>
                <w:szCs w:val="16"/>
              </w:rPr>
            </w:pPr>
            <w:r w:rsidRPr="00EE0697">
              <w:rPr>
                <w:rFonts w:ascii="Arial" w:hAnsi="Arial" w:cs="Arial"/>
                <w:sz w:val="16"/>
                <w:szCs w:val="16"/>
              </w:rPr>
              <w:t>CapitaLand Commercial Trust (CCT)</w:t>
            </w:r>
          </w:p>
        </w:tc>
        <w:tc>
          <w:tcPr>
            <w:tcW w:w="2309" w:type="dxa"/>
            <w:shd w:val="clear" w:color="auto" w:fill="auto"/>
          </w:tcPr>
          <w:p w14:paraId="7F18498F" w14:textId="7FEB9694" w:rsidR="003F7912" w:rsidRPr="00EE0697" w:rsidRDefault="00B812AA" w:rsidP="00CF5DF7">
            <w:pPr>
              <w:widowControl w:val="0"/>
              <w:jc w:val="center"/>
              <w:rPr>
                <w:rFonts w:ascii="Arial" w:hAnsi="Arial" w:cs="Arial"/>
                <w:sz w:val="16"/>
                <w:szCs w:val="16"/>
                <w:lang w:val="en-US"/>
              </w:rPr>
            </w:pPr>
            <w:r w:rsidRPr="00EE0697">
              <w:rPr>
                <w:rFonts w:ascii="Arial" w:hAnsi="Arial" w:cs="Arial"/>
                <w:sz w:val="16"/>
                <w:szCs w:val="16"/>
                <w:lang w:val="en-US"/>
              </w:rPr>
              <w:t>CapitaLand Limited</w:t>
            </w:r>
          </w:p>
        </w:tc>
        <w:tc>
          <w:tcPr>
            <w:tcW w:w="895" w:type="dxa"/>
            <w:shd w:val="clear" w:color="auto" w:fill="auto"/>
            <w:vAlign w:val="center"/>
          </w:tcPr>
          <w:p w14:paraId="61CAFEC4" w14:textId="1044D516" w:rsidR="003F7912" w:rsidRPr="00EE0697" w:rsidRDefault="006A6E3F" w:rsidP="00CF5DF7">
            <w:pPr>
              <w:widowControl w:val="0"/>
              <w:jc w:val="center"/>
              <w:rPr>
                <w:rFonts w:ascii="Arial" w:hAnsi="Arial" w:cs="Arial"/>
                <w:sz w:val="16"/>
                <w:szCs w:val="16"/>
                <w:lang w:val="en-US"/>
              </w:rPr>
            </w:pPr>
            <w:r w:rsidRPr="00EE0697">
              <w:rPr>
                <w:rFonts w:ascii="Arial" w:hAnsi="Arial" w:cs="Arial"/>
                <w:sz w:val="16"/>
                <w:szCs w:val="16"/>
                <w:lang w:val="en-US"/>
              </w:rPr>
              <w:t>265</w:t>
            </w:r>
          </w:p>
        </w:tc>
      </w:tr>
      <w:tr w:rsidR="002C27E6" w:rsidRPr="00797E2F" w14:paraId="797A0682" w14:textId="77777777" w:rsidTr="0060481F">
        <w:trPr>
          <w:trHeight w:val="259"/>
        </w:trPr>
        <w:tc>
          <w:tcPr>
            <w:tcW w:w="687" w:type="dxa"/>
            <w:shd w:val="clear" w:color="auto" w:fill="auto"/>
            <w:vAlign w:val="center"/>
          </w:tcPr>
          <w:p w14:paraId="54AD3D93" w14:textId="02A58B28" w:rsidR="002C27E6" w:rsidRDefault="002C27E6" w:rsidP="00EE52E1">
            <w:pPr>
              <w:widowControl w:val="0"/>
              <w:jc w:val="center"/>
              <w:rPr>
                <w:rFonts w:ascii="Arial" w:hAnsi="Arial" w:cs="Arial"/>
                <w:sz w:val="16"/>
                <w:szCs w:val="16"/>
              </w:rPr>
            </w:pPr>
            <w:r>
              <w:rPr>
                <w:rFonts w:ascii="Arial" w:hAnsi="Arial" w:cs="Arial"/>
                <w:sz w:val="16"/>
                <w:szCs w:val="16"/>
              </w:rPr>
              <w:t>CGN</w:t>
            </w:r>
          </w:p>
        </w:tc>
        <w:tc>
          <w:tcPr>
            <w:tcW w:w="2682" w:type="dxa"/>
            <w:shd w:val="clear" w:color="auto" w:fill="auto"/>
          </w:tcPr>
          <w:p w14:paraId="52DE61EB" w14:textId="73EA7D86" w:rsidR="002C27E6" w:rsidRDefault="002C27E6" w:rsidP="00CF5DF7">
            <w:pPr>
              <w:widowControl w:val="0"/>
              <w:jc w:val="center"/>
              <w:rPr>
                <w:rFonts w:ascii="Arial" w:hAnsi="Arial" w:cs="Arial"/>
                <w:sz w:val="16"/>
                <w:szCs w:val="16"/>
              </w:rPr>
            </w:pPr>
            <w:r>
              <w:rPr>
                <w:rFonts w:ascii="Arial" w:hAnsi="Arial" w:cs="Arial"/>
                <w:sz w:val="16"/>
                <w:szCs w:val="16"/>
              </w:rPr>
              <w:t>„KölnTurm“, MediaPark 8</w:t>
            </w:r>
          </w:p>
          <w:p w14:paraId="1520018D" w14:textId="2FCA813C" w:rsidR="002C27E6" w:rsidRDefault="002C27E6" w:rsidP="00CF5DF7">
            <w:pPr>
              <w:widowControl w:val="0"/>
              <w:jc w:val="center"/>
              <w:rPr>
                <w:rFonts w:ascii="Arial" w:hAnsi="Arial" w:cs="Arial"/>
                <w:sz w:val="16"/>
                <w:szCs w:val="16"/>
              </w:rPr>
            </w:pPr>
            <w:r>
              <w:rPr>
                <w:rFonts w:ascii="Arial" w:hAnsi="Arial" w:cs="Arial"/>
                <w:sz w:val="16"/>
                <w:szCs w:val="16"/>
              </w:rPr>
              <w:t>„Cäcilium“, Cäcilienkloster 2-10</w:t>
            </w:r>
          </w:p>
        </w:tc>
        <w:tc>
          <w:tcPr>
            <w:tcW w:w="2658" w:type="dxa"/>
            <w:shd w:val="clear" w:color="auto" w:fill="auto"/>
          </w:tcPr>
          <w:p w14:paraId="07E84D33" w14:textId="2A0C0123" w:rsidR="002C27E6" w:rsidRDefault="00493F2C" w:rsidP="00CF5DF7">
            <w:pPr>
              <w:widowControl w:val="0"/>
              <w:jc w:val="center"/>
              <w:rPr>
                <w:rFonts w:ascii="Arial" w:hAnsi="Arial" w:cs="Arial"/>
                <w:sz w:val="16"/>
                <w:szCs w:val="16"/>
              </w:rPr>
            </w:pPr>
            <w:r>
              <w:rPr>
                <w:rFonts w:ascii="Arial" w:hAnsi="Arial" w:cs="Arial"/>
                <w:sz w:val="16"/>
                <w:szCs w:val="16"/>
              </w:rPr>
              <w:t>Blackstone</w:t>
            </w:r>
          </w:p>
        </w:tc>
        <w:tc>
          <w:tcPr>
            <w:tcW w:w="2309" w:type="dxa"/>
            <w:shd w:val="clear" w:color="auto" w:fill="auto"/>
          </w:tcPr>
          <w:p w14:paraId="75E6623C" w14:textId="49D59465" w:rsidR="002C27E6" w:rsidRDefault="00493F2C" w:rsidP="00CF5DF7">
            <w:pPr>
              <w:widowControl w:val="0"/>
              <w:jc w:val="center"/>
              <w:rPr>
                <w:rFonts w:ascii="Arial" w:hAnsi="Arial" w:cs="Arial"/>
                <w:sz w:val="16"/>
                <w:szCs w:val="16"/>
                <w:lang w:val="en-US"/>
              </w:rPr>
            </w:pPr>
            <w:r>
              <w:rPr>
                <w:rFonts w:ascii="Arial" w:hAnsi="Arial" w:cs="Arial"/>
                <w:sz w:val="16"/>
                <w:szCs w:val="16"/>
                <w:lang w:val="en-US"/>
              </w:rPr>
              <w:t>Dream Global</w:t>
            </w:r>
          </w:p>
        </w:tc>
        <w:tc>
          <w:tcPr>
            <w:tcW w:w="895" w:type="dxa"/>
            <w:shd w:val="clear" w:color="auto" w:fill="auto"/>
            <w:vAlign w:val="center"/>
          </w:tcPr>
          <w:p w14:paraId="2253874B" w14:textId="072764E5" w:rsidR="002C27E6" w:rsidRPr="006A6E3F" w:rsidRDefault="00B57476" w:rsidP="00CF5DF7">
            <w:pPr>
              <w:widowControl w:val="0"/>
              <w:jc w:val="center"/>
              <w:rPr>
                <w:rFonts w:ascii="Arial" w:hAnsi="Arial" w:cs="Arial"/>
                <w:sz w:val="16"/>
                <w:szCs w:val="16"/>
                <w:lang w:val="en-US"/>
              </w:rPr>
            </w:pPr>
            <w:r>
              <w:rPr>
                <w:rFonts w:ascii="Arial" w:hAnsi="Arial" w:cs="Arial"/>
                <w:sz w:val="16"/>
                <w:szCs w:val="16"/>
                <w:lang w:val="en-US"/>
              </w:rPr>
              <w:t>260</w:t>
            </w:r>
          </w:p>
        </w:tc>
      </w:tr>
    </w:tbl>
    <w:p w14:paraId="188853BA" w14:textId="50E69E33" w:rsidR="00133084" w:rsidRDefault="00133084" w:rsidP="00133084">
      <w:pPr>
        <w:widowControl w:val="0"/>
        <w:spacing w:after="0"/>
        <w:rPr>
          <w:rFonts w:ascii="Arial" w:hAnsi="Arial" w:cs="Arial"/>
          <w:sz w:val="16"/>
          <w:szCs w:val="16"/>
        </w:rPr>
      </w:pPr>
      <w:r w:rsidRPr="00D474C5">
        <w:rPr>
          <w:rFonts w:ascii="Arial" w:hAnsi="Arial" w:cs="Arial"/>
          <w:sz w:val="16"/>
          <w:szCs w:val="16"/>
        </w:rPr>
        <w:t>*</w:t>
      </w:r>
      <w:r>
        <w:rPr>
          <w:rFonts w:ascii="Arial" w:hAnsi="Arial" w:cs="Arial"/>
          <w:sz w:val="16"/>
          <w:szCs w:val="16"/>
        </w:rPr>
        <w:t xml:space="preserve"> </w:t>
      </w:r>
      <w:r w:rsidRPr="00B4679D">
        <w:rPr>
          <w:rFonts w:ascii="Arial" w:hAnsi="Arial" w:cs="Arial"/>
          <w:sz w:val="16"/>
          <w:szCs w:val="16"/>
        </w:rPr>
        <w:t>Die aufgeführten Kaufpreise ba</w:t>
      </w:r>
      <w:r>
        <w:rPr>
          <w:rFonts w:ascii="Arial" w:hAnsi="Arial" w:cs="Arial"/>
          <w:sz w:val="16"/>
          <w:szCs w:val="16"/>
        </w:rPr>
        <w:t xml:space="preserve">sieren auf öffentlich verfügbaren Angaben; </w:t>
      </w:r>
      <w:r w:rsidRPr="00B4679D">
        <w:rPr>
          <w:rFonts w:ascii="Arial" w:hAnsi="Arial" w:cs="Arial"/>
          <w:sz w:val="16"/>
          <w:szCs w:val="16"/>
        </w:rPr>
        <w:t xml:space="preserve">wo solche fehlen, sind </w:t>
      </w:r>
      <w:r>
        <w:rPr>
          <w:rFonts w:ascii="Arial" w:hAnsi="Arial" w:cs="Arial"/>
          <w:sz w:val="16"/>
          <w:szCs w:val="16"/>
        </w:rPr>
        <w:t xml:space="preserve">die </w:t>
      </w:r>
      <w:r w:rsidRPr="00B4679D">
        <w:rPr>
          <w:rFonts w:ascii="Arial" w:hAnsi="Arial" w:cs="Arial"/>
          <w:sz w:val="16"/>
          <w:szCs w:val="16"/>
        </w:rPr>
        <w:t>Kaufpreise geschätzt</w:t>
      </w:r>
      <w:r>
        <w:rPr>
          <w:rFonts w:ascii="Arial" w:hAnsi="Arial" w:cs="Arial"/>
          <w:sz w:val="16"/>
          <w:szCs w:val="16"/>
        </w:rPr>
        <w:t xml:space="preserve">; </w:t>
      </w:r>
      <w:r w:rsidRPr="00AC06C4">
        <w:rPr>
          <w:rFonts w:ascii="Arial" w:hAnsi="Arial" w:cs="Arial"/>
          <w:sz w:val="16"/>
          <w:szCs w:val="16"/>
        </w:rPr>
        <w:t>Quelle: German Property Partners (GPP</w:t>
      </w:r>
      <w:r w:rsidR="00C520C4">
        <w:rPr>
          <w:rFonts w:ascii="Arial" w:hAnsi="Arial" w:cs="Arial"/>
          <w:sz w:val="16"/>
          <w:szCs w:val="16"/>
        </w:rPr>
        <w:t>)</w:t>
      </w:r>
    </w:p>
    <w:p w14:paraId="23E18837" w14:textId="007BB382" w:rsidR="00C74C82" w:rsidRDefault="00C74C82" w:rsidP="00133084">
      <w:pPr>
        <w:widowControl w:val="0"/>
        <w:spacing w:after="0"/>
        <w:rPr>
          <w:rFonts w:ascii="Arial" w:hAnsi="Arial" w:cs="Arial"/>
          <w:sz w:val="16"/>
          <w:szCs w:val="16"/>
        </w:rPr>
      </w:pPr>
    </w:p>
    <w:p w14:paraId="7A68B886" w14:textId="77777777" w:rsidR="003446CB" w:rsidRDefault="003446CB" w:rsidP="00133084">
      <w:pPr>
        <w:widowControl w:val="0"/>
        <w:spacing w:after="0"/>
        <w:jc w:val="both"/>
        <w:rPr>
          <w:rFonts w:ascii="Arial" w:hAnsi="Arial" w:cs="Arial"/>
          <w:b/>
          <w:sz w:val="20"/>
          <w:szCs w:val="20"/>
        </w:rPr>
      </w:pPr>
    </w:p>
    <w:p w14:paraId="56F92CFC" w14:textId="05A976ED" w:rsidR="00133084" w:rsidRDefault="00133084" w:rsidP="00133084">
      <w:pPr>
        <w:widowControl w:val="0"/>
        <w:spacing w:after="0"/>
        <w:jc w:val="both"/>
        <w:rPr>
          <w:rFonts w:ascii="Arial" w:hAnsi="Arial" w:cs="Arial"/>
          <w:b/>
          <w:sz w:val="20"/>
          <w:szCs w:val="20"/>
        </w:rPr>
      </w:pPr>
      <w:r w:rsidRPr="00F52371">
        <w:rPr>
          <w:rFonts w:ascii="Arial" w:hAnsi="Arial" w:cs="Arial"/>
          <w:b/>
          <w:sz w:val="20"/>
          <w:szCs w:val="20"/>
        </w:rPr>
        <w:lastRenderedPageBreak/>
        <w:t>Top-7-Standorte | 1.</w:t>
      </w:r>
      <w:r w:rsidR="009D6021">
        <w:rPr>
          <w:rFonts w:ascii="Arial" w:hAnsi="Arial" w:cs="Arial"/>
          <w:b/>
          <w:sz w:val="20"/>
          <w:szCs w:val="20"/>
        </w:rPr>
        <w:t>-</w:t>
      </w:r>
      <w:r w:rsidR="00C520C4">
        <w:rPr>
          <w:rFonts w:ascii="Arial" w:hAnsi="Arial" w:cs="Arial"/>
          <w:b/>
          <w:sz w:val="20"/>
          <w:szCs w:val="20"/>
        </w:rPr>
        <w:t>4</w:t>
      </w:r>
      <w:r w:rsidR="009D6021">
        <w:rPr>
          <w:rFonts w:ascii="Arial" w:hAnsi="Arial" w:cs="Arial"/>
          <w:b/>
          <w:sz w:val="20"/>
          <w:szCs w:val="20"/>
        </w:rPr>
        <w:t>.</w:t>
      </w:r>
      <w:r w:rsidRPr="00F52371">
        <w:rPr>
          <w:rFonts w:ascii="Arial" w:hAnsi="Arial" w:cs="Arial"/>
          <w:b/>
          <w:sz w:val="20"/>
          <w:szCs w:val="20"/>
        </w:rPr>
        <w:t xml:space="preserve"> Quartal 201</w:t>
      </w:r>
      <w:r w:rsidR="001D6B1E">
        <w:rPr>
          <w:rFonts w:ascii="Arial" w:hAnsi="Arial" w:cs="Arial"/>
          <w:b/>
          <w:sz w:val="20"/>
          <w:szCs w:val="20"/>
        </w:rPr>
        <w:t>9</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133084" w:rsidRPr="006F49D0" w14:paraId="59A8B011" w14:textId="77777777" w:rsidTr="00EE52E1">
        <w:tc>
          <w:tcPr>
            <w:tcW w:w="1939" w:type="dxa"/>
          </w:tcPr>
          <w:p w14:paraId="303F94AB" w14:textId="77777777" w:rsidR="00133084" w:rsidRPr="006F49D0" w:rsidRDefault="00133084" w:rsidP="00EE52E1">
            <w:pPr>
              <w:widowControl w:val="0"/>
              <w:jc w:val="both"/>
              <w:rPr>
                <w:rFonts w:ascii="Arial" w:hAnsi="Arial" w:cs="Arial"/>
                <w:b/>
                <w:sz w:val="16"/>
                <w:szCs w:val="16"/>
              </w:rPr>
            </w:pPr>
          </w:p>
        </w:tc>
        <w:tc>
          <w:tcPr>
            <w:tcW w:w="817" w:type="dxa"/>
          </w:tcPr>
          <w:p w14:paraId="123724CA"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HAM</w:t>
            </w:r>
          </w:p>
        </w:tc>
        <w:tc>
          <w:tcPr>
            <w:tcW w:w="816" w:type="dxa"/>
          </w:tcPr>
          <w:p w14:paraId="688B037E"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BER</w:t>
            </w:r>
          </w:p>
        </w:tc>
        <w:tc>
          <w:tcPr>
            <w:tcW w:w="933" w:type="dxa"/>
          </w:tcPr>
          <w:p w14:paraId="3811D5C3"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DUS</w:t>
            </w:r>
          </w:p>
        </w:tc>
        <w:tc>
          <w:tcPr>
            <w:tcW w:w="937" w:type="dxa"/>
          </w:tcPr>
          <w:p w14:paraId="1F425D47" w14:textId="77777777" w:rsidR="00133084" w:rsidRPr="00496E95" w:rsidRDefault="00133084" w:rsidP="00EE52E1">
            <w:pPr>
              <w:widowControl w:val="0"/>
              <w:jc w:val="center"/>
              <w:rPr>
                <w:rFonts w:ascii="Arial" w:hAnsi="Arial" w:cs="Arial"/>
                <w:b/>
                <w:sz w:val="16"/>
                <w:szCs w:val="16"/>
              </w:rPr>
            </w:pPr>
            <w:r w:rsidRPr="00496E95">
              <w:rPr>
                <w:rFonts w:ascii="Arial" w:hAnsi="Arial" w:cs="Arial"/>
                <w:b/>
                <w:sz w:val="16"/>
                <w:szCs w:val="16"/>
              </w:rPr>
              <w:t>CGN</w:t>
            </w:r>
          </w:p>
        </w:tc>
        <w:tc>
          <w:tcPr>
            <w:tcW w:w="937" w:type="dxa"/>
          </w:tcPr>
          <w:p w14:paraId="5001328D" w14:textId="77777777" w:rsidR="00133084" w:rsidRPr="00496E95" w:rsidRDefault="00133084" w:rsidP="00EE52E1">
            <w:pPr>
              <w:widowControl w:val="0"/>
              <w:jc w:val="center"/>
              <w:rPr>
                <w:rFonts w:ascii="Arial" w:hAnsi="Arial" w:cs="Arial"/>
                <w:b/>
                <w:sz w:val="16"/>
                <w:szCs w:val="16"/>
              </w:rPr>
            </w:pPr>
            <w:r w:rsidRPr="00496E95">
              <w:rPr>
                <w:rFonts w:ascii="Arial" w:hAnsi="Arial" w:cs="Arial"/>
                <w:b/>
                <w:sz w:val="16"/>
                <w:szCs w:val="16"/>
              </w:rPr>
              <w:t>FFM</w:t>
            </w:r>
          </w:p>
        </w:tc>
        <w:tc>
          <w:tcPr>
            <w:tcW w:w="932" w:type="dxa"/>
          </w:tcPr>
          <w:p w14:paraId="58FD292E"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STU</w:t>
            </w:r>
          </w:p>
        </w:tc>
        <w:tc>
          <w:tcPr>
            <w:tcW w:w="936" w:type="dxa"/>
          </w:tcPr>
          <w:p w14:paraId="0321C160"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MUC</w:t>
            </w:r>
          </w:p>
        </w:tc>
        <w:tc>
          <w:tcPr>
            <w:tcW w:w="800" w:type="dxa"/>
          </w:tcPr>
          <w:p w14:paraId="4104366C" w14:textId="77777777" w:rsidR="00133084" w:rsidRPr="006F49D0" w:rsidRDefault="00133084" w:rsidP="00EE52E1">
            <w:pPr>
              <w:widowControl w:val="0"/>
              <w:jc w:val="center"/>
              <w:rPr>
                <w:rFonts w:ascii="Arial" w:hAnsi="Arial" w:cs="Arial"/>
                <w:b/>
                <w:sz w:val="16"/>
                <w:szCs w:val="16"/>
              </w:rPr>
            </w:pPr>
            <w:r>
              <w:rPr>
                <w:rFonts w:ascii="Arial" w:hAnsi="Arial" w:cs="Arial"/>
                <w:b/>
                <w:sz w:val="16"/>
                <w:szCs w:val="16"/>
              </w:rPr>
              <w:t>TOP</w:t>
            </w:r>
            <w:r w:rsidRPr="006F49D0">
              <w:rPr>
                <w:rFonts w:ascii="Arial" w:hAnsi="Arial" w:cs="Arial"/>
                <w:b/>
                <w:sz w:val="16"/>
                <w:szCs w:val="16"/>
              </w:rPr>
              <w:t>-7</w:t>
            </w:r>
          </w:p>
        </w:tc>
      </w:tr>
      <w:tr w:rsidR="00133084" w:rsidRPr="006F49D0" w14:paraId="18F3172A" w14:textId="77777777" w:rsidTr="00EE52E1">
        <w:tc>
          <w:tcPr>
            <w:tcW w:w="1939" w:type="dxa"/>
          </w:tcPr>
          <w:p w14:paraId="37775D0F"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TAV</w:t>
            </w:r>
          </w:p>
          <w:p w14:paraId="7939DCF7" w14:textId="77777777" w:rsidR="00133084" w:rsidRPr="006F49D0" w:rsidRDefault="00133084" w:rsidP="00EE52E1">
            <w:pPr>
              <w:widowControl w:val="0"/>
              <w:jc w:val="both"/>
              <w:rPr>
                <w:rFonts w:ascii="Arial" w:hAnsi="Arial" w:cs="Arial"/>
                <w:b/>
                <w:sz w:val="16"/>
                <w:szCs w:val="16"/>
              </w:rPr>
            </w:pPr>
            <w:r w:rsidRPr="006F49D0">
              <w:rPr>
                <w:rFonts w:ascii="Arial" w:hAnsi="Arial" w:cs="Arial"/>
                <w:sz w:val="16"/>
                <w:szCs w:val="16"/>
              </w:rPr>
              <w:t>in Mio. €</w:t>
            </w:r>
          </w:p>
        </w:tc>
        <w:tc>
          <w:tcPr>
            <w:tcW w:w="817" w:type="dxa"/>
            <w:vAlign w:val="center"/>
          </w:tcPr>
          <w:p w14:paraId="3BDEEBBD" w14:textId="6957D7F0" w:rsidR="00133084" w:rsidRPr="000256CF" w:rsidRDefault="00B57476" w:rsidP="00EE52E1">
            <w:pPr>
              <w:widowControl w:val="0"/>
              <w:jc w:val="center"/>
              <w:rPr>
                <w:rFonts w:ascii="Arial" w:hAnsi="Arial" w:cs="Arial"/>
                <w:sz w:val="16"/>
                <w:szCs w:val="16"/>
              </w:rPr>
            </w:pPr>
            <w:r>
              <w:rPr>
                <w:rFonts w:ascii="Arial" w:hAnsi="Arial" w:cs="Arial"/>
                <w:sz w:val="16"/>
                <w:szCs w:val="16"/>
              </w:rPr>
              <w:t>4.340</w:t>
            </w:r>
          </w:p>
        </w:tc>
        <w:tc>
          <w:tcPr>
            <w:tcW w:w="816" w:type="dxa"/>
            <w:vAlign w:val="center"/>
          </w:tcPr>
          <w:p w14:paraId="72067CCF" w14:textId="6359B7D6" w:rsidR="00133084" w:rsidRPr="000256CF" w:rsidRDefault="00B57476" w:rsidP="00EE52E1">
            <w:pPr>
              <w:widowControl w:val="0"/>
              <w:jc w:val="center"/>
              <w:rPr>
                <w:rFonts w:ascii="Arial" w:hAnsi="Arial" w:cs="Arial"/>
                <w:sz w:val="16"/>
                <w:szCs w:val="16"/>
              </w:rPr>
            </w:pPr>
            <w:r>
              <w:rPr>
                <w:rFonts w:ascii="Arial" w:hAnsi="Arial" w:cs="Arial"/>
                <w:sz w:val="16"/>
                <w:szCs w:val="16"/>
              </w:rPr>
              <w:t>11.120</w:t>
            </w:r>
          </w:p>
        </w:tc>
        <w:tc>
          <w:tcPr>
            <w:tcW w:w="933" w:type="dxa"/>
            <w:vAlign w:val="center"/>
          </w:tcPr>
          <w:p w14:paraId="7DEF1884" w14:textId="355D4C9C" w:rsidR="00133084" w:rsidRPr="000256CF" w:rsidRDefault="00B57476" w:rsidP="00EE52E1">
            <w:pPr>
              <w:widowControl w:val="0"/>
              <w:jc w:val="center"/>
              <w:rPr>
                <w:rFonts w:ascii="Arial" w:hAnsi="Arial" w:cs="Arial"/>
                <w:sz w:val="16"/>
                <w:szCs w:val="16"/>
              </w:rPr>
            </w:pPr>
            <w:r>
              <w:rPr>
                <w:rFonts w:ascii="Arial" w:hAnsi="Arial" w:cs="Arial"/>
                <w:sz w:val="16"/>
                <w:szCs w:val="16"/>
              </w:rPr>
              <w:t>3.250</w:t>
            </w:r>
          </w:p>
        </w:tc>
        <w:tc>
          <w:tcPr>
            <w:tcW w:w="937" w:type="dxa"/>
            <w:vAlign w:val="center"/>
          </w:tcPr>
          <w:p w14:paraId="588C81F4" w14:textId="398058D2" w:rsidR="00133084" w:rsidRPr="000256CF" w:rsidRDefault="00B57476" w:rsidP="00EE52E1">
            <w:pPr>
              <w:widowControl w:val="0"/>
              <w:jc w:val="center"/>
              <w:rPr>
                <w:rFonts w:ascii="Arial" w:hAnsi="Arial" w:cs="Arial"/>
                <w:sz w:val="16"/>
                <w:szCs w:val="16"/>
              </w:rPr>
            </w:pPr>
            <w:r>
              <w:rPr>
                <w:rFonts w:ascii="Arial" w:hAnsi="Arial" w:cs="Arial"/>
                <w:sz w:val="16"/>
                <w:szCs w:val="16"/>
              </w:rPr>
              <w:t>3.100</w:t>
            </w:r>
          </w:p>
        </w:tc>
        <w:tc>
          <w:tcPr>
            <w:tcW w:w="937" w:type="dxa"/>
            <w:vAlign w:val="center"/>
          </w:tcPr>
          <w:p w14:paraId="21624D2D" w14:textId="1F37534F" w:rsidR="00133084" w:rsidRPr="000256CF" w:rsidRDefault="00C520C4" w:rsidP="00EE52E1">
            <w:pPr>
              <w:widowControl w:val="0"/>
              <w:jc w:val="center"/>
              <w:rPr>
                <w:rFonts w:ascii="Arial" w:hAnsi="Arial" w:cs="Arial"/>
                <w:sz w:val="16"/>
                <w:szCs w:val="16"/>
              </w:rPr>
            </w:pPr>
            <w:r>
              <w:rPr>
                <w:rFonts w:ascii="Arial" w:hAnsi="Arial" w:cs="Arial"/>
                <w:sz w:val="16"/>
                <w:szCs w:val="16"/>
              </w:rPr>
              <w:t>7.531</w:t>
            </w:r>
          </w:p>
        </w:tc>
        <w:tc>
          <w:tcPr>
            <w:tcW w:w="932" w:type="dxa"/>
            <w:vAlign w:val="center"/>
          </w:tcPr>
          <w:p w14:paraId="53378187" w14:textId="4B0F0BBE" w:rsidR="00133084" w:rsidRPr="000256CF" w:rsidRDefault="00EF0237" w:rsidP="00EE52E1">
            <w:pPr>
              <w:widowControl w:val="0"/>
              <w:jc w:val="center"/>
              <w:rPr>
                <w:rFonts w:ascii="Arial" w:hAnsi="Arial" w:cs="Arial"/>
                <w:sz w:val="16"/>
                <w:szCs w:val="16"/>
              </w:rPr>
            </w:pPr>
            <w:r>
              <w:rPr>
                <w:rFonts w:ascii="Arial" w:hAnsi="Arial" w:cs="Arial"/>
                <w:sz w:val="16"/>
                <w:szCs w:val="16"/>
              </w:rPr>
              <w:t>1.</w:t>
            </w:r>
            <w:r w:rsidR="00B57476">
              <w:rPr>
                <w:rFonts w:ascii="Arial" w:hAnsi="Arial" w:cs="Arial"/>
                <w:sz w:val="16"/>
                <w:szCs w:val="16"/>
              </w:rPr>
              <w:t>770</w:t>
            </w:r>
          </w:p>
        </w:tc>
        <w:tc>
          <w:tcPr>
            <w:tcW w:w="936" w:type="dxa"/>
            <w:vAlign w:val="center"/>
          </w:tcPr>
          <w:p w14:paraId="1370EB24" w14:textId="6145F118" w:rsidR="00133084" w:rsidRPr="000256CF" w:rsidRDefault="00B57476" w:rsidP="00EE52E1">
            <w:pPr>
              <w:widowControl w:val="0"/>
              <w:jc w:val="center"/>
              <w:rPr>
                <w:rFonts w:ascii="Arial" w:hAnsi="Arial" w:cs="Arial"/>
                <w:sz w:val="16"/>
                <w:szCs w:val="16"/>
              </w:rPr>
            </w:pPr>
            <w:r>
              <w:rPr>
                <w:rFonts w:ascii="Arial" w:hAnsi="Arial" w:cs="Arial"/>
                <w:sz w:val="16"/>
                <w:szCs w:val="16"/>
              </w:rPr>
              <w:t>9.763</w:t>
            </w:r>
          </w:p>
        </w:tc>
        <w:tc>
          <w:tcPr>
            <w:tcW w:w="800" w:type="dxa"/>
            <w:vAlign w:val="center"/>
          </w:tcPr>
          <w:p w14:paraId="6DF98869" w14:textId="2766C453" w:rsidR="00133084" w:rsidRPr="000256CF" w:rsidRDefault="00B57476" w:rsidP="00EE52E1">
            <w:pPr>
              <w:widowControl w:val="0"/>
              <w:jc w:val="center"/>
              <w:rPr>
                <w:rFonts w:ascii="Arial" w:hAnsi="Arial" w:cs="Arial"/>
                <w:b/>
                <w:sz w:val="16"/>
                <w:szCs w:val="16"/>
              </w:rPr>
            </w:pPr>
            <w:r>
              <w:rPr>
                <w:rFonts w:ascii="Arial" w:hAnsi="Arial" w:cs="Arial"/>
                <w:b/>
                <w:sz w:val="16"/>
                <w:szCs w:val="16"/>
              </w:rPr>
              <w:t>40.874</w:t>
            </w:r>
          </w:p>
        </w:tc>
      </w:tr>
      <w:tr w:rsidR="00133084" w:rsidRPr="006F49D0" w14:paraId="49DD3D4E" w14:textId="77777777" w:rsidTr="00EE52E1">
        <w:tc>
          <w:tcPr>
            <w:tcW w:w="1939" w:type="dxa"/>
          </w:tcPr>
          <w:p w14:paraId="40CC52D7"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Veränderung</w:t>
            </w:r>
          </w:p>
          <w:p w14:paraId="7992DEDD"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 xml:space="preserve">ggü. Vorjahr </w:t>
            </w:r>
            <w:r w:rsidRPr="006F49D0">
              <w:rPr>
                <w:rFonts w:ascii="Arial" w:hAnsi="Arial" w:cs="Arial"/>
                <w:sz w:val="16"/>
                <w:szCs w:val="16"/>
              </w:rPr>
              <w:t>in %</w:t>
            </w:r>
          </w:p>
        </w:tc>
        <w:tc>
          <w:tcPr>
            <w:tcW w:w="817" w:type="dxa"/>
            <w:vAlign w:val="center"/>
          </w:tcPr>
          <w:p w14:paraId="127CBF8C" w14:textId="745D210D" w:rsidR="00133084" w:rsidRPr="00B45C1F" w:rsidRDefault="000256CF" w:rsidP="00EE52E1">
            <w:pPr>
              <w:widowControl w:val="0"/>
              <w:jc w:val="center"/>
              <w:rPr>
                <w:rFonts w:ascii="Arial" w:hAnsi="Arial" w:cs="Arial"/>
                <w:sz w:val="16"/>
                <w:szCs w:val="16"/>
              </w:rPr>
            </w:pPr>
            <w:r w:rsidRPr="00B45C1F">
              <w:rPr>
                <w:rFonts w:ascii="Arial" w:hAnsi="Arial" w:cs="Arial"/>
                <w:sz w:val="16"/>
                <w:szCs w:val="16"/>
              </w:rPr>
              <w:t>-</w:t>
            </w:r>
            <w:r w:rsidR="00B57476">
              <w:rPr>
                <w:rFonts w:ascii="Arial" w:hAnsi="Arial" w:cs="Arial"/>
                <w:sz w:val="16"/>
                <w:szCs w:val="16"/>
              </w:rPr>
              <w:t>27</w:t>
            </w:r>
          </w:p>
        </w:tc>
        <w:tc>
          <w:tcPr>
            <w:tcW w:w="816" w:type="dxa"/>
            <w:vAlign w:val="center"/>
          </w:tcPr>
          <w:p w14:paraId="56CD09B1" w14:textId="6FAAC53D" w:rsidR="00133084" w:rsidRPr="00B45C1F" w:rsidRDefault="00EF0237" w:rsidP="00EE52E1">
            <w:pPr>
              <w:widowControl w:val="0"/>
              <w:jc w:val="center"/>
              <w:rPr>
                <w:rFonts w:ascii="Arial" w:hAnsi="Arial" w:cs="Arial"/>
                <w:sz w:val="16"/>
                <w:szCs w:val="16"/>
              </w:rPr>
            </w:pPr>
            <w:r>
              <w:rPr>
                <w:rFonts w:ascii="Arial" w:hAnsi="Arial" w:cs="Arial"/>
                <w:sz w:val="16"/>
                <w:szCs w:val="16"/>
              </w:rPr>
              <w:t>+</w:t>
            </w:r>
            <w:r w:rsidR="00B57476">
              <w:rPr>
                <w:rFonts w:ascii="Arial" w:hAnsi="Arial" w:cs="Arial"/>
                <w:sz w:val="16"/>
                <w:szCs w:val="16"/>
              </w:rPr>
              <w:t>65</w:t>
            </w:r>
          </w:p>
        </w:tc>
        <w:tc>
          <w:tcPr>
            <w:tcW w:w="933" w:type="dxa"/>
            <w:vAlign w:val="center"/>
          </w:tcPr>
          <w:p w14:paraId="12F9AF1C" w14:textId="2D6B2556" w:rsidR="00133084" w:rsidRPr="00B45C1F" w:rsidRDefault="003828AE" w:rsidP="00EE52E1">
            <w:pPr>
              <w:widowControl w:val="0"/>
              <w:jc w:val="center"/>
              <w:rPr>
                <w:rFonts w:ascii="Arial" w:hAnsi="Arial" w:cs="Arial"/>
                <w:sz w:val="16"/>
                <w:szCs w:val="16"/>
              </w:rPr>
            </w:pPr>
            <w:r w:rsidRPr="00B45C1F">
              <w:rPr>
                <w:rFonts w:ascii="Arial" w:hAnsi="Arial" w:cs="Arial"/>
                <w:sz w:val="16"/>
                <w:szCs w:val="16"/>
              </w:rPr>
              <w:t>-</w:t>
            </w:r>
            <w:r w:rsidR="00B57476">
              <w:rPr>
                <w:rFonts w:ascii="Arial" w:hAnsi="Arial" w:cs="Arial"/>
                <w:sz w:val="16"/>
                <w:szCs w:val="16"/>
              </w:rPr>
              <w:t>15</w:t>
            </w:r>
          </w:p>
        </w:tc>
        <w:tc>
          <w:tcPr>
            <w:tcW w:w="937" w:type="dxa"/>
            <w:vAlign w:val="center"/>
          </w:tcPr>
          <w:p w14:paraId="0FBF768E" w14:textId="763417FF" w:rsidR="00133084" w:rsidRPr="00B45C1F" w:rsidRDefault="00B57476" w:rsidP="00EE52E1">
            <w:pPr>
              <w:widowControl w:val="0"/>
              <w:jc w:val="center"/>
              <w:rPr>
                <w:rFonts w:ascii="Arial" w:hAnsi="Arial" w:cs="Arial"/>
                <w:sz w:val="16"/>
                <w:szCs w:val="16"/>
              </w:rPr>
            </w:pPr>
            <w:r>
              <w:rPr>
                <w:rFonts w:ascii="Arial" w:hAnsi="Arial" w:cs="Arial"/>
                <w:sz w:val="16"/>
                <w:szCs w:val="16"/>
              </w:rPr>
              <w:t>+48</w:t>
            </w:r>
          </w:p>
        </w:tc>
        <w:tc>
          <w:tcPr>
            <w:tcW w:w="937" w:type="dxa"/>
            <w:vAlign w:val="center"/>
          </w:tcPr>
          <w:p w14:paraId="3F33CD99" w14:textId="6981E41D" w:rsidR="00133084" w:rsidRPr="00B45C1F" w:rsidRDefault="003828AE" w:rsidP="00EE52E1">
            <w:pPr>
              <w:widowControl w:val="0"/>
              <w:jc w:val="center"/>
              <w:rPr>
                <w:rFonts w:ascii="Arial" w:hAnsi="Arial" w:cs="Arial"/>
                <w:sz w:val="16"/>
                <w:szCs w:val="16"/>
              </w:rPr>
            </w:pPr>
            <w:r w:rsidRPr="00B45C1F">
              <w:rPr>
                <w:rFonts w:ascii="Arial" w:hAnsi="Arial" w:cs="Arial"/>
                <w:sz w:val="16"/>
                <w:szCs w:val="16"/>
              </w:rPr>
              <w:t>-</w:t>
            </w:r>
            <w:r w:rsidR="00C520C4">
              <w:rPr>
                <w:rFonts w:ascii="Arial" w:hAnsi="Arial" w:cs="Arial"/>
                <w:sz w:val="16"/>
                <w:szCs w:val="16"/>
              </w:rPr>
              <w:t>22</w:t>
            </w:r>
          </w:p>
        </w:tc>
        <w:tc>
          <w:tcPr>
            <w:tcW w:w="932" w:type="dxa"/>
            <w:vAlign w:val="center"/>
          </w:tcPr>
          <w:p w14:paraId="41634045" w14:textId="6107229C" w:rsidR="00133084" w:rsidRPr="00B45C1F" w:rsidRDefault="003828AE" w:rsidP="00EE52E1">
            <w:pPr>
              <w:widowControl w:val="0"/>
              <w:jc w:val="center"/>
              <w:rPr>
                <w:rFonts w:ascii="Arial" w:hAnsi="Arial" w:cs="Arial"/>
                <w:sz w:val="16"/>
                <w:szCs w:val="16"/>
              </w:rPr>
            </w:pPr>
            <w:r w:rsidRPr="00B45C1F">
              <w:rPr>
                <w:rFonts w:ascii="Arial" w:hAnsi="Arial" w:cs="Arial"/>
                <w:sz w:val="16"/>
                <w:szCs w:val="16"/>
              </w:rPr>
              <w:t>-</w:t>
            </w:r>
            <w:r w:rsidR="00B57476">
              <w:rPr>
                <w:rFonts w:ascii="Arial" w:hAnsi="Arial" w:cs="Arial"/>
                <w:sz w:val="16"/>
                <w:szCs w:val="16"/>
              </w:rPr>
              <w:t>18</w:t>
            </w:r>
          </w:p>
        </w:tc>
        <w:tc>
          <w:tcPr>
            <w:tcW w:w="936" w:type="dxa"/>
            <w:vAlign w:val="center"/>
          </w:tcPr>
          <w:p w14:paraId="17A5812B" w14:textId="0DA61D7D" w:rsidR="00133084" w:rsidRPr="00B45C1F" w:rsidRDefault="00DA2F19" w:rsidP="00EE52E1">
            <w:pPr>
              <w:widowControl w:val="0"/>
              <w:jc w:val="center"/>
              <w:rPr>
                <w:rFonts w:ascii="Arial" w:hAnsi="Arial" w:cs="Arial"/>
                <w:sz w:val="16"/>
                <w:szCs w:val="16"/>
              </w:rPr>
            </w:pPr>
            <w:r>
              <w:rPr>
                <w:rFonts w:ascii="Arial" w:hAnsi="Arial" w:cs="Arial"/>
                <w:sz w:val="16"/>
                <w:szCs w:val="16"/>
              </w:rPr>
              <w:t>+</w:t>
            </w:r>
            <w:r w:rsidR="00B57476">
              <w:rPr>
                <w:rFonts w:ascii="Arial" w:hAnsi="Arial" w:cs="Arial"/>
                <w:sz w:val="16"/>
                <w:szCs w:val="16"/>
              </w:rPr>
              <w:t>57</w:t>
            </w:r>
          </w:p>
        </w:tc>
        <w:tc>
          <w:tcPr>
            <w:tcW w:w="800" w:type="dxa"/>
            <w:vAlign w:val="center"/>
          </w:tcPr>
          <w:p w14:paraId="435909E4" w14:textId="6C9B2FF4" w:rsidR="00133084" w:rsidRPr="00B45C1F" w:rsidRDefault="00B57476" w:rsidP="00EE52E1">
            <w:pPr>
              <w:widowControl w:val="0"/>
              <w:jc w:val="center"/>
              <w:rPr>
                <w:rFonts w:ascii="Arial" w:hAnsi="Arial" w:cs="Arial"/>
                <w:b/>
                <w:sz w:val="16"/>
                <w:szCs w:val="16"/>
              </w:rPr>
            </w:pPr>
            <w:r>
              <w:rPr>
                <w:rFonts w:ascii="Arial" w:hAnsi="Arial" w:cs="Arial"/>
                <w:b/>
                <w:sz w:val="16"/>
                <w:szCs w:val="16"/>
              </w:rPr>
              <w:t>+11</w:t>
            </w:r>
          </w:p>
        </w:tc>
      </w:tr>
      <w:tr w:rsidR="00133084" w:rsidRPr="006F49D0" w14:paraId="0F7A7DA5" w14:textId="77777777" w:rsidTr="00EE52E1">
        <w:tc>
          <w:tcPr>
            <w:tcW w:w="1939" w:type="dxa"/>
          </w:tcPr>
          <w:p w14:paraId="4785AC22" w14:textId="77777777" w:rsidR="00133084" w:rsidRDefault="00133084" w:rsidP="00EE52E1">
            <w:pPr>
              <w:widowControl w:val="0"/>
              <w:jc w:val="both"/>
              <w:rPr>
                <w:rFonts w:ascii="Arial" w:hAnsi="Arial" w:cs="Arial"/>
                <w:b/>
                <w:sz w:val="16"/>
                <w:szCs w:val="16"/>
              </w:rPr>
            </w:pPr>
            <w:r w:rsidRPr="006F49D0">
              <w:rPr>
                <w:rFonts w:ascii="Arial" w:hAnsi="Arial" w:cs="Arial"/>
                <w:b/>
                <w:sz w:val="16"/>
                <w:szCs w:val="16"/>
              </w:rPr>
              <w:t>Spitzenrendite* Büro</w:t>
            </w:r>
          </w:p>
          <w:p w14:paraId="6E29632C" w14:textId="77777777" w:rsidR="00133084" w:rsidRPr="006F49D0" w:rsidRDefault="00133084" w:rsidP="00EE52E1">
            <w:pPr>
              <w:widowControl w:val="0"/>
              <w:jc w:val="both"/>
              <w:rPr>
                <w:rFonts w:ascii="Arial" w:hAnsi="Arial" w:cs="Arial"/>
                <w:b/>
                <w:sz w:val="16"/>
                <w:szCs w:val="16"/>
              </w:rPr>
            </w:pPr>
            <w:r w:rsidRPr="006F49D0">
              <w:rPr>
                <w:rFonts w:ascii="Arial" w:hAnsi="Arial" w:cs="Arial"/>
                <w:sz w:val="16"/>
                <w:szCs w:val="16"/>
              </w:rPr>
              <w:t>in %</w:t>
            </w:r>
          </w:p>
        </w:tc>
        <w:tc>
          <w:tcPr>
            <w:tcW w:w="817" w:type="dxa"/>
            <w:vAlign w:val="center"/>
          </w:tcPr>
          <w:p w14:paraId="44CE927C" w14:textId="145DF358" w:rsidR="00133084" w:rsidRPr="00B372B7" w:rsidRDefault="002E652C" w:rsidP="00EE52E1">
            <w:pPr>
              <w:widowControl w:val="0"/>
              <w:jc w:val="center"/>
              <w:rPr>
                <w:rFonts w:ascii="Arial" w:hAnsi="Arial" w:cs="Arial"/>
                <w:sz w:val="16"/>
                <w:szCs w:val="16"/>
              </w:rPr>
            </w:pPr>
            <w:r w:rsidRPr="00B372B7">
              <w:rPr>
                <w:rFonts w:ascii="Arial" w:hAnsi="Arial" w:cs="Arial"/>
                <w:sz w:val="16"/>
                <w:szCs w:val="16"/>
              </w:rPr>
              <w:t>2,80</w:t>
            </w:r>
          </w:p>
        </w:tc>
        <w:tc>
          <w:tcPr>
            <w:tcW w:w="816" w:type="dxa"/>
            <w:vAlign w:val="center"/>
          </w:tcPr>
          <w:p w14:paraId="43D6707E" w14:textId="3E395CBD" w:rsidR="00133084" w:rsidRPr="00B372B7" w:rsidRDefault="00B778AB" w:rsidP="00EE52E1">
            <w:pPr>
              <w:widowControl w:val="0"/>
              <w:jc w:val="center"/>
              <w:rPr>
                <w:rFonts w:ascii="Arial" w:hAnsi="Arial" w:cs="Arial"/>
                <w:sz w:val="16"/>
                <w:szCs w:val="16"/>
              </w:rPr>
            </w:pPr>
            <w:r w:rsidRPr="00B372B7">
              <w:rPr>
                <w:rFonts w:ascii="Arial" w:hAnsi="Arial" w:cs="Arial"/>
                <w:sz w:val="16"/>
                <w:szCs w:val="16"/>
              </w:rPr>
              <w:t>2,</w:t>
            </w:r>
            <w:r w:rsidR="00B57476">
              <w:rPr>
                <w:rFonts w:ascii="Arial" w:hAnsi="Arial" w:cs="Arial"/>
                <w:sz w:val="16"/>
                <w:szCs w:val="16"/>
              </w:rPr>
              <w:t>7</w:t>
            </w:r>
            <w:r w:rsidRPr="00B372B7">
              <w:rPr>
                <w:rFonts w:ascii="Arial" w:hAnsi="Arial" w:cs="Arial"/>
                <w:sz w:val="16"/>
                <w:szCs w:val="16"/>
              </w:rPr>
              <w:t>0</w:t>
            </w:r>
          </w:p>
        </w:tc>
        <w:tc>
          <w:tcPr>
            <w:tcW w:w="933" w:type="dxa"/>
            <w:vAlign w:val="center"/>
          </w:tcPr>
          <w:p w14:paraId="14A67CA0" w14:textId="666161A4" w:rsidR="00133084" w:rsidRPr="00B372B7" w:rsidRDefault="00EF0237" w:rsidP="00EE52E1">
            <w:pPr>
              <w:widowControl w:val="0"/>
              <w:jc w:val="center"/>
              <w:rPr>
                <w:rFonts w:ascii="Arial" w:hAnsi="Arial" w:cs="Arial"/>
                <w:sz w:val="16"/>
                <w:szCs w:val="16"/>
              </w:rPr>
            </w:pPr>
            <w:r>
              <w:rPr>
                <w:rFonts w:ascii="Arial" w:hAnsi="Arial" w:cs="Arial"/>
                <w:sz w:val="16"/>
                <w:szCs w:val="16"/>
              </w:rPr>
              <w:t>3,00</w:t>
            </w:r>
          </w:p>
        </w:tc>
        <w:tc>
          <w:tcPr>
            <w:tcW w:w="937" w:type="dxa"/>
            <w:vAlign w:val="center"/>
          </w:tcPr>
          <w:p w14:paraId="5207BA59" w14:textId="6D27DCF4" w:rsidR="00133084" w:rsidRPr="00B372B7" w:rsidRDefault="004A45BF" w:rsidP="00EE52E1">
            <w:pPr>
              <w:widowControl w:val="0"/>
              <w:jc w:val="center"/>
              <w:rPr>
                <w:rFonts w:ascii="Arial" w:hAnsi="Arial" w:cs="Arial"/>
                <w:sz w:val="16"/>
                <w:szCs w:val="16"/>
              </w:rPr>
            </w:pPr>
            <w:r w:rsidRPr="00B372B7">
              <w:rPr>
                <w:rFonts w:ascii="Arial" w:hAnsi="Arial" w:cs="Arial"/>
                <w:sz w:val="16"/>
                <w:szCs w:val="16"/>
              </w:rPr>
              <w:t>3,</w:t>
            </w:r>
            <w:r w:rsidR="00B57476">
              <w:rPr>
                <w:rFonts w:ascii="Arial" w:hAnsi="Arial" w:cs="Arial"/>
                <w:sz w:val="16"/>
                <w:szCs w:val="16"/>
              </w:rPr>
              <w:t>1</w:t>
            </w:r>
            <w:r w:rsidR="00B778AB" w:rsidRPr="00B372B7">
              <w:rPr>
                <w:rFonts w:ascii="Arial" w:hAnsi="Arial" w:cs="Arial"/>
                <w:sz w:val="16"/>
                <w:szCs w:val="16"/>
              </w:rPr>
              <w:t>0</w:t>
            </w:r>
          </w:p>
        </w:tc>
        <w:tc>
          <w:tcPr>
            <w:tcW w:w="937" w:type="dxa"/>
            <w:vAlign w:val="center"/>
          </w:tcPr>
          <w:p w14:paraId="0D84D954" w14:textId="1D13727F" w:rsidR="00133084" w:rsidRPr="00B372B7" w:rsidRDefault="005D4413" w:rsidP="00EE52E1">
            <w:pPr>
              <w:widowControl w:val="0"/>
              <w:jc w:val="center"/>
              <w:rPr>
                <w:rFonts w:ascii="Arial" w:hAnsi="Arial" w:cs="Arial"/>
                <w:sz w:val="16"/>
                <w:szCs w:val="16"/>
              </w:rPr>
            </w:pPr>
            <w:r>
              <w:rPr>
                <w:rFonts w:ascii="Arial" w:hAnsi="Arial" w:cs="Arial"/>
                <w:sz w:val="16"/>
                <w:szCs w:val="16"/>
              </w:rPr>
              <w:t>2,95</w:t>
            </w:r>
          </w:p>
        </w:tc>
        <w:tc>
          <w:tcPr>
            <w:tcW w:w="932" w:type="dxa"/>
            <w:vAlign w:val="center"/>
          </w:tcPr>
          <w:p w14:paraId="3C921BB2" w14:textId="0B7F41EE" w:rsidR="00133084" w:rsidRPr="00B372B7" w:rsidRDefault="00552E69" w:rsidP="00EE52E1">
            <w:pPr>
              <w:widowControl w:val="0"/>
              <w:jc w:val="center"/>
              <w:rPr>
                <w:rFonts w:ascii="Arial" w:hAnsi="Arial" w:cs="Arial"/>
                <w:sz w:val="16"/>
                <w:szCs w:val="16"/>
              </w:rPr>
            </w:pPr>
            <w:r w:rsidRPr="00B372B7">
              <w:rPr>
                <w:rFonts w:ascii="Arial" w:hAnsi="Arial" w:cs="Arial"/>
                <w:sz w:val="16"/>
                <w:szCs w:val="16"/>
              </w:rPr>
              <w:t>3,</w:t>
            </w:r>
            <w:r w:rsidR="00C72D31">
              <w:rPr>
                <w:rFonts w:ascii="Arial" w:hAnsi="Arial" w:cs="Arial"/>
                <w:sz w:val="16"/>
                <w:szCs w:val="16"/>
              </w:rPr>
              <w:t>0</w:t>
            </w:r>
            <w:r w:rsidR="00517160" w:rsidRPr="00B372B7">
              <w:rPr>
                <w:rFonts w:ascii="Arial" w:hAnsi="Arial" w:cs="Arial"/>
                <w:sz w:val="16"/>
                <w:szCs w:val="16"/>
              </w:rPr>
              <w:t>0</w:t>
            </w:r>
          </w:p>
        </w:tc>
        <w:tc>
          <w:tcPr>
            <w:tcW w:w="936" w:type="dxa"/>
            <w:vAlign w:val="center"/>
          </w:tcPr>
          <w:p w14:paraId="4C3D4DA3" w14:textId="1D0F9E9A" w:rsidR="00133084" w:rsidRPr="00B372B7" w:rsidRDefault="00EF0237" w:rsidP="00EE52E1">
            <w:pPr>
              <w:widowControl w:val="0"/>
              <w:jc w:val="center"/>
              <w:rPr>
                <w:rFonts w:ascii="Arial" w:hAnsi="Arial" w:cs="Arial"/>
                <w:sz w:val="16"/>
                <w:szCs w:val="16"/>
              </w:rPr>
            </w:pPr>
            <w:r>
              <w:rPr>
                <w:rFonts w:ascii="Arial" w:hAnsi="Arial" w:cs="Arial"/>
                <w:sz w:val="16"/>
                <w:szCs w:val="16"/>
              </w:rPr>
              <w:t>2,</w:t>
            </w:r>
            <w:r w:rsidR="00B57476">
              <w:rPr>
                <w:rFonts w:ascii="Arial" w:hAnsi="Arial" w:cs="Arial"/>
                <w:sz w:val="16"/>
                <w:szCs w:val="16"/>
              </w:rPr>
              <w:t>6</w:t>
            </w:r>
            <w:r>
              <w:rPr>
                <w:rFonts w:ascii="Arial" w:hAnsi="Arial" w:cs="Arial"/>
                <w:sz w:val="16"/>
                <w:szCs w:val="16"/>
              </w:rPr>
              <w:t>0</w:t>
            </w:r>
          </w:p>
        </w:tc>
        <w:tc>
          <w:tcPr>
            <w:tcW w:w="800" w:type="dxa"/>
            <w:vAlign w:val="center"/>
          </w:tcPr>
          <w:p w14:paraId="66D8351D" w14:textId="337E11A0" w:rsidR="00133084" w:rsidRPr="00B372B7" w:rsidRDefault="00976AE9" w:rsidP="00EE52E1">
            <w:pPr>
              <w:widowControl w:val="0"/>
              <w:jc w:val="center"/>
              <w:rPr>
                <w:rFonts w:ascii="Arial" w:hAnsi="Arial" w:cs="Arial"/>
                <w:b/>
                <w:sz w:val="16"/>
                <w:szCs w:val="16"/>
              </w:rPr>
            </w:pPr>
            <w:r>
              <w:rPr>
                <w:rFonts w:ascii="Arial" w:hAnsi="Arial" w:cs="Arial"/>
                <w:b/>
                <w:sz w:val="16"/>
                <w:szCs w:val="16"/>
              </w:rPr>
              <w:t>2,</w:t>
            </w:r>
            <w:r w:rsidR="00B57476">
              <w:rPr>
                <w:rFonts w:ascii="Arial" w:hAnsi="Arial" w:cs="Arial"/>
                <w:b/>
                <w:sz w:val="16"/>
                <w:szCs w:val="16"/>
              </w:rPr>
              <w:t>88</w:t>
            </w:r>
          </w:p>
        </w:tc>
      </w:tr>
      <w:tr w:rsidR="00133084" w:rsidRPr="006F49D0" w14:paraId="7B21C8F1" w14:textId="77777777" w:rsidTr="00EE52E1">
        <w:tc>
          <w:tcPr>
            <w:tcW w:w="1939" w:type="dxa"/>
          </w:tcPr>
          <w:p w14:paraId="6932C9D4" w14:textId="77777777" w:rsidR="00133084" w:rsidRPr="006F49D0" w:rsidRDefault="00133084" w:rsidP="00EE52E1">
            <w:pPr>
              <w:widowControl w:val="0"/>
              <w:jc w:val="both"/>
              <w:rPr>
                <w:rFonts w:ascii="Arial" w:hAnsi="Arial" w:cs="Arial"/>
                <w:b/>
                <w:sz w:val="16"/>
                <w:szCs w:val="16"/>
              </w:rPr>
            </w:pPr>
            <w:r>
              <w:rPr>
                <w:rFonts w:ascii="Arial" w:hAnsi="Arial" w:cs="Arial"/>
                <w:b/>
                <w:sz w:val="16"/>
                <w:szCs w:val="16"/>
              </w:rPr>
              <w:t xml:space="preserve">ggü. Vorjahr </w:t>
            </w:r>
            <w:r w:rsidRPr="003A2101">
              <w:rPr>
                <w:rFonts w:ascii="Arial" w:hAnsi="Arial" w:cs="Arial"/>
                <w:sz w:val="16"/>
                <w:szCs w:val="16"/>
              </w:rPr>
              <w:t>in %-Pkt.</w:t>
            </w:r>
          </w:p>
        </w:tc>
        <w:tc>
          <w:tcPr>
            <w:tcW w:w="817" w:type="dxa"/>
            <w:vAlign w:val="center"/>
          </w:tcPr>
          <w:p w14:paraId="5C75AE45" w14:textId="0F0A2776" w:rsidR="00133084" w:rsidRPr="00806F64" w:rsidRDefault="00EF0237" w:rsidP="00EE52E1">
            <w:pPr>
              <w:widowControl w:val="0"/>
              <w:jc w:val="center"/>
              <w:rPr>
                <w:rFonts w:ascii="Arial" w:hAnsi="Arial" w:cs="Arial"/>
                <w:sz w:val="16"/>
                <w:szCs w:val="16"/>
              </w:rPr>
            </w:pPr>
            <w:r>
              <w:rPr>
                <w:rFonts w:ascii="Arial" w:hAnsi="Arial" w:cs="Arial"/>
                <w:sz w:val="16"/>
                <w:szCs w:val="16"/>
              </w:rPr>
              <w:t>0,00</w:t>
            </w:r>
          </w:p>
        </w:tc>
        <w:tc>
          <w:tcPr>
            <w:tcW w:w="816" w:type="dxa"/>
            <w:vAlign w:val="center"/>
          </w:tcPr>
          <w:p w14:paraId="29AB6841" w14:textId="1CFA0616" w:rsidR="00133084" w:rsidRPr="00806F64" w:rsidRDefault="00E17FA5" w:rsidP="00EE52E1">
            <w:pPr>
              <w:widowControl w:val="0"/>
              <w:jc w:val="center"/>
              <w:rPr>
                <w:rFonts w:ascii="Arial" w:hAnsi="Arial" w:cs="Arial"/>
                <w:sz w:val="16"/>
                <w:szCs w:val="16"/>
              </w:rPr>
            </w:pPr>
            <w:r>
              <w:rPr>
                <w:rFonts w:ascii="Arial" w:hAnsi="Arial" w:cs="Arial"/>
                <w:sz w:val="16"/>
                <w:szCs w:val="16"/>
              </w:rPr>
              <w:t>-</w:t>
            </w:r>
            <w:r w:rsidR="00D30E15" w:rsidRPr="00806F64">
              <w:rPr>
                <w:rFonts w:ascii="Arial" w:hAnsi="Arial" w:cs="Arial"/>
                <w:sz w:val="16"/>
                <w:szCs w:val="16"/>
              </w:rPr>
              <w:t>0,</w:t>
            </w:r>
            <w:r w:rsidR="00B57476">
              <w:rPr>
                <w:rFonts w:ascii="Arial" w:hAnsi="Arial" w:cs="Arial"/>
                <w:sz w:val="16"/>
                <w:szCs w:val="16"/>
              </w:rPr>
              <w:t>3</w:t>
            </w:r>
            <w:r>
              <w:rPr>
                <w:rFonts w:ascii="Arial" w:hAnsi="Arial" w:cs="Arial"/>
                <w:sz w:val="16"/>
                <w:szCs w:val="16"/>
              </w:rPr>
              <w:t>0</w:t>
            </w:r>
          </w:p>
        </w:tc>
        <w:tc>
          <w:tcPr>
            <w:tcW w:w="933" w:type="dxa"/>
            <w:vAlign w:val="center"/>
          </w:tcPr>
          <w:p w14:paraId="2FCB61A0" w14:textId="583611CB" w:rsidR="00133084" w:rsidRPr="00806F64" w:rsidRDefault="003C1DBA" w:rsidP="00EE52E1">
            <w:pPr>
              <w:widowControl w:val="0"/>
              <w:jc w:val="center"/>
              <w:rPr>
                <w:rFonts w:ascii="Arial" w:hAnsi="Arial" w:cs="Arial"/>
                <w:sz w:val="16"/>
                <w:szCs w:val="16"/>
              </w:rPr>
            </w:pPr>
            <w:r>
              <w:rPr>
                <w:rFonts w:ascii="Arial" w:hAnsi="Arial" w:cs="Arial"/>
                <w:sz w:val="16"/>
                <w:szCs w:val="16"/>
              </w:rPr>
              <w:t>0,</w:t>
            </w:r>
            <w:r w:rsidR="00B57476">
              <w:rPr>
                <w:rFonts w:ascii="Arial" w:hAnsi="Arial" w:cs="Arial"/>
                <w:sz w:val="16"/>
                <w:szCs w:val="16"/>
              </w:rPr>
              <w:t>0</w:t>
            </w:r>
            <w:r>
              <w:rPr>
                <w:rFonts w:ascii="Arial" w:hAnsi="Arial" w:cs="Arial"/>
                <w:sz w:val="16"/>
                <w:szCs w:val="16"/>
              </w:rPr>
              <w:t>0</w:t>
            </w:r>
          </w:p>
        </w:tc>
        <w:tc>
          <w:tcPr>
            <w:tcW w:w="937" w:type="dxa"/>
            <w:vAlign w:val="center"/>
          </w:tcPr>
          <w:p w14:paraId="286D1310" w14:textId="2A982267" w:rsidR="00133084" w:rsidRPr="00806F64" w:rsidRDefault="00E17FA5" w:rsidP="00EE52E1">
            <w:pPr>
              <w:widowControl w:val="0"/>
              <w:jc w:val="center"/>
              <w:rPr>
                <w:rFonts w:ascii="Arial" w:hAnsi="Arial" w:cs="Arial"/>
                <w:sz w:val="16"/>
                <w:szCs w:val="16"/>
              </w:rPr>
            </w:pPr>
            <w:r>
              <w:rPr>
                <w:rFonts w:ascii="Arial" w:hAnsi="Arial" w:cs="Arial"/>
                <w:sz w:val="16"/>
                <w:szCs w:val="16"/>
              </w:rPr>
              <w:t>-</w:t>
            </w:r>
            <w:r w:rsidR="00D30E15" w:rsidRPr="00806F64">
              <w:rPr>
                <w:rFonts w:ascii="Arial" w:hAnsi="Arial" w:cs="Arial"/>
                <w:sz w:val="16"/>
                <w:szCs w:val="16"/>
              </w:rPr>
              <w:t>0,</w:t>
            </w:r>
            <w:r w:rsidR="00DA2F19">
              <w:rPr>
                <w:rFonts w:ascii="Arial" w:hAnsi="Arial" w:cs="Arial"/>
                <w:sz w:val="16"/>
                <w:szCs w:val="16"/>
              </w:rPr>
              <w:t>2</w:t>
            </w:r>
            <w:r>
              <w:rPr>
                <w:rFonts w:ascii="Arial" w:hAnsi="Arial" w:cs="Arial"/>
                <w:sz w:val="16"/>
                <w:szCs w:val="16"/>
              </w:rPr>
              <w:t>0</w:t>
            </w:r>
          </w:p>
        </w:tc>
        <w:tc>
          <w:tcPr>
            <w:tcW w:w="937" w:type="dxa"/>
            <w:vAlign w:val="center"/>
          </w:tcPr>
          <w:p w14:paraId="7B8121C7" w14:textId="2F95D9EE" w:rsidR="00133084" w:rsidRPr="00806F64" w:rsidRDefault="002F1E54" w:rsidP="00EE52E1">
            <w:pPr>
              <w:widowControl w:val="0"/>
              <w:jc w:val="center"/>
              <w:rPr>
                <w:rFonts w:ascii="Arial" w:hAnsi="Arial" w:cs="Arial"/>
                <w:sz w:val="16"/>
                <w:szCs w:val="16"/>
              </w:rPr>
            </w:pPr>
            <w:r w:rsidRPr="00806F64">
              <w:rPr>
                <w:rFonts w:ascii="Arial" w:hAnsi="Arial" w:cs="Arial"/>
                <w:sz w:val="16"/>
                <w:szCs w:val="16"/>
              </w:rPr>
              <w:t>-0,</w:t>
            </w:r>
            <w:r w:rsidR="00C520C4">
              <w:rPr>
                <w:rFonts w:ascii="Arial" w:hAnsi="Arial" w:cs="Arial"/>
                <w:sz w:val="16"/>
                <w:szCs w:val="16"/>
              </w:rPr>
              <w:t>05</w:t>
            </w:r>
          </w:p>
        </w:tc>
        <w:tc>
          <w:tcPr>
            <w:tcW w:w="932" w:type="dxa"/>
            <w:vAlign w:val="center"/>
          </w:tcPr>
          <w:p w14:paraId="23F9CEBF" w14:textId="219786BE" w:rsidR="00133084" w:rsidRPr="00806F64" w:rsidRDefault="0063454F" w:rsidP="00EE52E1">
            <w:pPr>
              <w:widowControl w:val="0"/>
              <w:jc w:val="center"/>
              <w:rPr>
                <w:rFonts w:ascii="Arial" w:hAnsi="Arial" w:cs="Arial"/>
                <w:sz w:val="16"/>
                <w:szCs w:val="16"/>
              </w:rPr>
            </w:pPr>
            <w:r w:rsidRPr="00806F64">
              <w:rPr>
                <w:rFonts w:ascii="Arial" w:hAnsi="Arial" w:cs="Arial"/>
                <w:sz w:val="16"/>
                <w:szCs w:val="16"/>
              </w:rPr>
              <w:t>-0,</w:t>
            </w:r>
            <w:r w:rsidR="00B57476">
              <w:rPr>
                <w:rFonts w:ascii="Arial" w:hAnsi="Arial" w:cs="Arial"/>
                <w:sz w:val="16"/>
                <w:szCs w:val="16"/>
              </w:rPr>
              <w:t>3</w:t>
            </w:r>
            <w:r w:rsidR="008A6D56">
              <w:rPr>
                <w:rFonts w:ascii="Arial" w:hAnsi="Arial" w:cs="Arial"/>
                <w:sz w:val="16"/>
                <w:szCs w:val="16"/>
              </w:rPr>
              <w:t>0</w:t>
            </w:r>
          </w:p>
        </w:tc>
        <w:tc>
          <w:tcPr>
            <w:tcW w:w="936" w:type="dxa"/>
            <w:vAlign w:val="center"/>
          </w:tcPr>
          <w:p w14:paraId="417D4E2D" w14:textId="2FE76BF4" w:rsidR="00133084" w:rsidRPr="00806F64" w:rsidRDefault="00DA2F19" w:rsidP="00EE52E1">
            <w:pPr>
              <w:widowControl w:val="0"/>
              <w:jc w:val="center"/>
              <w:rPr>
                <w:rFonts w:ascii="Arial" w:hAnsi="Arial" w:cs="Arial"/>
                <w:sz w:val="16"/>
                <w:szCs w:val="16"/>
              </w:rPr>
            </w:pPr>
            <w:r>
              <w:rPr>
                <w:rFonts w:ascii="Arial" w:hAnsi="Arial" w:cs="Arial"/>
                <w:sz w:val="16"/>
                <w:szCs w:val="16"/>
              </w:rPr>
              <w:t>-</w:t>
            </w:r>
            <w:r w:rsidR="00BA2947" w:rsidRPr="00806F64">
              <w:rPr>
                <w:rFonts w:ascii="Arial" w:hAnsi="Arial" w:cs="Arial"/>
                <w:sz w:val="16"/>
                <w:szCs w:val="16"/>
              </w:rPr>
              <w:t>0,</w:t>
            </w:r>
            <w:r w:rsidR="00B57476">
              <w:rPr>
                <w:rFonts w:ascii="Arial" w:hAnsi="Arial" w:cs="Arial"/>
                <w:sz w:val="16"/>
                <w:szCs w:val="16"/>
              </w:rPr>
              <w:t>25</w:t>
            </w:r>
          </w:p>
        </w:tc>
        <w:tc>
          <w:tcPr>
            <w:tcW w:w="800" w:type="dxa"/>
            <w:vAlign w:val="center"/>
          </w:tcPr>
          <w:p w14:paraId="7F2CF78D" w14:textId="6B249812" w:rsidR="00133084" w:rsidRPr="00806F64" w:rsidRDefault="004F20BB" w:rsidP="00EE52E1">
            <w:pPr>
              <w:widowControl w:val="0"/>
              <w:jc w:val="center"/>
              <w:rPr>
                <w:rFonts w:ascii="Arial" w:hAnsi="Arial" w:cs="Arial"/>
                <w:b/>
                <w:sz w:val="16"/>
                <w:szCs w:val="16"/>
              </w:rPr>
            </w:pPr>
            <w:r w:rsidRPr="00806F64">
              <w:rPr>
                <w:rFonts w:ascii="Arial" w:hAnsi="Arial" w:cs="Arial"/>
                <w:b/>
                <w:sz w:val="16"/>
                <w:szCs w:val="16"/>
              </w:rPr>
              <w:t>-0,</w:t>
            </w:r>
            <w:r w:rsidR="00B57476">
              <w:rPr>
                <w:rFonts w:ascii="Arial" w:hAnsi="Arial" w:cs="Arial"/>
                <w:b/>
                <w:sz w:val="16"/>
                <w:szCs w:val="16"/>
              </w:rPr>
              <w:t>16</w:t>
            </w:r>
          </w:p>
        </w:tc>
      </w:tr>
      <w:tr w:rsidR="00133084" w:rsidRPr="006F49D0" w14:paraId="5CC6852B" w14:textId="77777777" w:rsidTr="00EE52E1">
        <w:tc>
          <w:tcPr>
            <w:tcW w:w="1939" w:type="dxa"/>
          </w:tcPr>
          <w:p w14:paraId="5A26B4F8"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Spitzenrendite* Geschäftshäuser</w:t>
            </w:r>
          </w:p>
          <w:p w14:paraId="19F96BD5" w14:textId="77777777" w:rsidR="00133084" w:rsidRPr="006F49D0" w:rsidRDefault="00133084" w:rsidP="00EE52E1">
            <w:pPr>
              <w:widowControl w:val="0"/>
              <w:jc w:val="both"/>
              <w:rPr>
                <w:rFonts w:ascii="Arial" w:hAnsi="Arial" w:cs="Arial"/>
                <w:b/>
                <w:sz w:val="16"/>
                <w:szCs w:val="16"/>
              </w:rPr>
            </w:pPr>
            <w:r w:rsidRPr="006F49D0">
              <w:rPr>
                <w:rFonts w:ascii="Arial" w:hAnsi="Arial" w:cs="Arial"/>
                <w:sz w:val="16"/>
                <w:szCs w:val="16"/>
              </w:rPr>
              <w:t>in %</w:t>
            </w:r>
          </w:p>
        </w:tc>
        <w:tc>
          <w:tcPr>
            <w:tcW w:w="817" w:type="dxa"/>
            <w:vAlign w:val="center"/>
          </w:tcPr>
          <w:p w14:paraId="10AA86C6" w14:textId="2530FCCA" w:rsidR="00133084" w:rsidRPr="00A80EF6" w:rsidRDefault="00580C25" w:rsidP="00EE52E1">
            <w:pPr>
              <w:widowControl w:val="0"/>
              <w:jc w:val="center"/>
              <w:rPr>
                <w:rFonts w:ascii="Arial" w:hAnsi="Arial" w:cs="Arial"/>
                <w:sz w:val="16"/>
                <w:szCs w:val="16"/>
              </w:rPr>
            </w:pPr>
            <w:r w:rsidRPr="00A80EF6">
              <w:rPr>
                <w:rFonts w:ascii="Arial" w:hAnsi="Arial" w:cs="Arial"/>
                <w:sz w:val="16"/>
                <w:szCs w:val="16"/>
              </w:rPr>
              <w:t>2,70</w:t>
            </w:r>
          </w:p>
        </w:tc>
        <w:tc>
          <w:tcPr>
            <w:tcW w:w="816" w:type="dxa"/>
            <w:vAlign w:val="center"/>
          </w:tcPr>
          <w:p w14:paraId="79011CD6" w14:textId="4C6DD889" w:rsidR="00133084" w:rsidRPr="00A80EF6" w:rsidRDefault="00DC6B64" w:rsidP="00EE52E1">
            <w:pPr>
              <w:widowControl w:val="0"/>
              <w:jc w:val="center"/>
              <w:rPr>
                <w:rFonts w:ascii="Arial" w:hAnsi="Arial" w:cs="Arial"/>
                <w:sz w:val="16"/>
                <w:szCs w:val="16"/>
              </w:rPr>
            </w:pPr>
            <w:r>
              <w:rPr>
                <w:rFonts w:ascii="Arial" w:hAnsi="Arial" w:cs="Arial"/>
                <w:sz w:val="16"/>
                <w:szCs w:val="16"/>
              </w:rPr>
              <w:t>2,</w:t>
            </w:r>
            <w:r w:rsidR="00B57476">
              <w:rPr>
                <w:rFonts w:ascii="Arial" w:hAnsi="Arial" w:cs="Arial"/>
                <w:sz w:val="16"/>
                <w:szCs w:val="16"/>
              </w:rPr>
              <w:t>8</w:t>
            </w:r>
            <w:r w:rsidR="00EB3591" w:rsidRPr="00A80EF6">
              <w:rPr>
                <w:rFonts w:ascii="Arial" w:hAnsi="Arial" w:cs="Arial"/>
                <w:sz w:val="16"/>
                <w:szCs w:val="16"/>
              </w:rPr>
              <w:t>0</w:t>
            </w:r>
          </w:p>
        </w:tc>
        <w:tc>
          <w:tcPr>
            <w:tcW w:w="933" w:type="dxa"/>
            <w:vAlign w:val="center"/>
          </w:tcPr>
          <w:p w14:paraId="3ABC45D0" w14:textId="0F817584" w:rsidR="00133084" w:rsidRPr="00A80EF6" w:rsidRDefault="00DC6B64" w:rsidP="00EE52E1">
            <w:pPr>
              <w:widowControl w:val="0"/>
              <w:jc w:val="center"/>
              <w:rPr>
                <w:rFonts w:ascii="Arial" w:hAnsi="Arial" w:cs="Arial"/>
                <w:sz w:val="16"/>
                <w:szCs w:val="16"/>
              </w:rPr>
            </w:pPr>
            <w:r>
              <w:rPr>
                <w:rFonts w:ascii="Arial" w:hAnsi="Arial" w:cs="Arial"/>
                <w:sz w:val="16"/>
                <w:szCs w:val="16"/>
              </w:rPr>
              <w:t>3,1</w:t>
            </w:r>
            <w:r w:rsidR="00E71EB0" w:rsidRPr="00A80EF6">
              <w:rPr>
                <w:rFonts w:ascii="Arial" w:hAnsi="Arial" w:cs="Arial"/>
                <w:sz w:val="16"/>
                <w:szCs w:val="16"/>
              </w:rPr>
              <w:t>0</w:t>
            </w:r>
          </w:p>
        </w:tc>
        <w:tc>
          <w:tcPr>
            <w:tcW w:w="937" w:type="dxa"/>
            <w:vAlign w:val="center"/>
          </w:tcPr>
          <w:p w14:paraId="63CF1101" w14:textId="3B29E570" w:rsidR="00133084" w:rsidRPr="00A80EF6" w:rsidRDefault="003A4399" w:rsidP="00EE52E1">
            <w:pPr>
              <w:widowControl w:val="0"/>
              <w:jc w:val="center"/>
              <w:rPr>
                <w:rFonts w:ascii="Arial" w:hAnsi="Arial" w:cs="Arial"/>
                <w:sz w:val="16"/>
                <w:szCs w:val="16"/>
              </w:rPr>
            </w:pPr>
            <w:r w:rsidRPr="00A80EF6">
              <w:rPr>
                <w:rFonts w:ascii="Arial" w:hAnsi="Arial" w:cs="Arial"/>
                <w:sz w:val="16"/>
                <w:szCs w:val="16"/>
              </w:rPr>
              <w:t>2,90</w:t>
            </w:r>
          </w:p>
        </w:tc>
        <w:tc>
          <w:tcPr>
            <w:tcW w:w="937" w:type="dxa"/>
            <w:vAlign w:val="center"/>
          </w:tcPr>
          <w:p w14:paraId="19CC4867" w14:textId="594D4088" w:rsidR="00133084" w:rsidRPr="00A80EF6" w:rsidRDefault="00C520C4" w:rsidP="00EE52E1">
            <w:pPr>
              <w:widowControl w:val="0"/>
              <w:jc w:val="center"/>
              <w:rPr>
                <w:rFonts w:ascii="Arial" w:hAnsi="Arial" w:cs="Arial"/>
                <w:sz w:val="16"/>
                <w:szCs w:val="16"/>
              </w:rPr>
            </w:pPr>
            <w:r>
              <w:rPr>
                <w:rFonts w:ascii="Arial" w:hAnsi="Arial" w:cs="Arial"/>
                <w:sz w:val="16"/>
                <w:szCs w:val="16"/>
              </w:rPr>
              <w:t>2,90</w:t>
            </w:r>
          </w:p>
        </w:tc>
        <w:tc>
          <w:tcPr>
            <w:tcW w:w="932" w:type="dxa"/>
            <w:vAlign w:val="center"/>
          </w:tcPr>
          <w:p w14:paraId="4D02669E" w14:textId="673376CD" w:rsidR="00133084" w:rsidRPr="00A80EF6" w:rsidRDefault="00C72D31" w:rsidP="00EE52E1">
            <w:pPr>
              <w:widowControl w:val="0"/>
              <w:jc w:val="center"/>
              <w:rPr>
                <w:rFonts w:ascii="Arial" w:hAnsi="Arial" w:cs="Arial"/>
                <w:sz w:val="16"/>
                <w:szCs w:val="16"/>
              </w:rPr>
            </w:pPr>
            <w:r>
              <w:rPr>
                <w:rFonts w:ascii="Arial" w:hAnsi="Arial" w:cs="Arial"/>
                <w:sz w:val="16"/>
                <w:szCs w:val="16"/>
              </w:rPr>
              <w:t>3</w:t>
            </w:r>
            <w:r w:rsidR="00925D00" w:rsidRPr="00A80EF6">
              <w:rPr>
                <w:rFonts w:ascii="Arial" w:hAnsi="Arial" w:cs="Arial"/>
                <w:sz w:val="16"/>
                <w:szCs w:val="16"/>
              </w:rPr>
              <w:t>,</w:t>
            </w:r>
            <w:r w:rsidR="00EF0237">
              <w:rPr>
                <w:rFonts w:ascii="Arial" w:hAnsi="Arial" w:cs="Arial"/>
                <w:sz w:val="16"/>
                <w:szCs w:val="16"/>
              </w:rPr>
              <w:t>0</w:t>
            </w:r>
            <w:r w:rsidR="00925D00" w:rsidRPr="00A80EF6">
              <w:rPr>
                <w:rFonts w:ascii="Arial" w:hAnsi="Arial" w:cs="Arial"/>
                <w:sz w:val="16"/>
                <w:szCs w:val="16"/>
              </w:rPr>
              <w:t>0</w:t>
            </w:r>
          </w:p>
        </w:tc>
        <w:tc>
          <w:tcPr>
            <w:tcW w:w="936" w:type="dxa"/>
            <w:vAlign w:val="center"/>
          </w:tcPr>
          <w:p w14:paraId="70279503" w14:textId="7B4085D2" w:rsidR="00133084" w:rsidRPr="00A80EF6" w:rsidRDefault="00200CFE" w:rsidP="00EE52E1">
            <w:pPr>
              <w:widowControl w:val="0"/>
              <w:jc w:val="center"/>
              <w:rPr>
                <w:rFonts w:ascii="Arial" w:hAnsi="Arial" w:cs="Arial"/>
                <w:sz w:val="16"/>
                <w:szCs w:val="16"/>
              </w:rPr>
            </w:pPr>
            <w:r w:rsidRPr="00A80EF6">
              <w:rPr>
                <w:rFonts w:ascii="Arial" w:hAnsi="Arial" w:cs="Arial"/>
                <w:sz w:val="16"/>
                <w:szCs w:val="16"/>
              </w:rPr>
              <w:t>2,</w:t>
            </w:r>
            <w:r w:rsidR="00B57476">
              <w:rPr>
                <w:rFonts w:ascii="Arial" w:hAnsi="Arial" w:cs="Arial"/>
                <w:sz w:val="16"/>
                <w:szCs w:val="16"/>
              </w:rPr>
              <w:t>35</w:t>
            </w:r>
          </w:p>
        </w:tc>
        <w:tc>
          <w:tcPr>
            <w:tcW w:w="800" w:type="dxa"/>
            <w:vAlign w:val="center"/>
          </w:tcPr>
          <w:p w14:paraId="398C7738" w14:textId="344A570B" w:rsidR="00133084" w:rsidRPr="00A80EF6" w:rsidRDefault="00200CFE" w:rsidP="00EE52E1">
            <w:pPr>
              <w:widowControl w:val="0"/>
              <w:jc w:val="center"/>
              <w:rPr>
                <w:rFonts w:ascii="Arial" w:hAnsi="Arial" w:cs="Arial"/>
                <w:b/>
                <w:sz w:val="16"/>
                <w:szCs w:val="16"/>
              </w:rPr>
            </w:pPr>
            <w:r w:rsidRPr="00A80EF6">
              <w:rPr>
                <w:rFonts w:ascii="Arial" w:hAnsi="Arial" w:cs="Arial"/>
                <w:b/>
                <w:sz w:val="16"/>
                <w:szCs w:val="16"/>
              </w:rPr>
              <w:t>2,</w:t>
            </w:r>
            <w:r w:rsidR="00EF0237">
              <w:rPr>
                <w:rFonts w:ascii="Arial" w:hAnsi="Arial" w:cs="Arial"/>
                <w:b/>
                <w:sz w:val="16"/>
                <w:szCs w:val="16"/>
              </w:rPr>
              <w:t>8</w:t>
            </w:r>
            <w:r w:rsidR="00B57476">
              <w:rPr>
                <w:rFonts w:ascii="Arial" w:hAnsi="Arial" w:cs="Arial"/>
                <w:b/>
                <w:sz w:val="16"/>
                <w:szCs w:val="16"/>
              </w:rPr>
              <w:t>2</w:t>
            </w:r>
          </w:p>
        </w:tc>
      </w:tr>
      <w:tr w:rsidR="00941A31" w:rsidRPr="00941A31" w14:paraId="50966B58" w14:textId="77777777" w:rsidTr="00EE52E1">
        <w:tc>
          <w:tcPr>
            <w:tcW w:w="1939" w:type="dxa"/>
          </w:tcPr>
          <w:p w14:paraId="46EFBD0E" w14:textId="77777777" w:rsidR="00941A31" w:rsidRPr="006F49D0" w:rsidRDefault="00941A31" w:rsidP="00941A31">
            <w:pPr>
              <w:widowControl w:val="0"/>
              <w:jc w:val="both"/>
              <w:rPr>
                <w:rFonts w:ascii="Arial" w:hAnsi="Arial" w:cs="Arial"/>
                <w:b/>
                <w:sz w:val="16"/>
                <w:szCs w:val="16"/>
              </w:rPr>
            </w:pPr>
            <w:r>
              <w:rPr>
                <w:rFonts w:ascii="Arial" w:hAnsi="Arial" w:cs="Arial"/>
                <w:b/>
                <w:sz w:val="16"/>
                <w:szCs w:val="16"/>
              </w:rPr>
              <w:t xml:space="preserve">ggü. Vorjahr </w:t>
            </w:r>
            <w:r w:rsidRPr="003A2101">
              <w:rPr>
                <w:rFonts w:ascii="Arial" w:hAnsi="Arial" w:cs="Arial"/>
                <w:sz w:val="16"/>
                <w:szCs w:val="16"/>
              </w:rPr>
              <w:t>in %-Pkt.</w:t>
            </w:r>
          </w:p>
        </w:tc>
        <w:tc>
          <w:tcPr>
            <w:tcW w:w="817" w:type="dxa"/>
            <w:vAlign w:val="center"/>
          </w:tcPr>
          <w:p w14:paraId="76349447" w14:textId="39B5849F" w:rsidR="00941A31" w:rsidRPr="009B3838" w:rsidRDefault="00EF0237" w:rsidP="00941A31">
            <w:pPr>
              <w:widowControl w:val="0"/>
              <w:jc w:val="center"/>
              <w:rPr>
                <w:rFonts w:ascii="Arial" w:hAnsi="Arial" w:cs="Arial"/>
                <w:sz w:val="16"/>
                <w:szCs w:val="16"/>
              </w:rPr>
            </w:pPr>
            <w:r>
              <w:rPr>
                <w:rFonts w:ascii="Arial" w:hAnsi="Arial" w:cs="Arial"/>
                <w:sz w:val="16"/>
                <w:szCs w:val="16"/>
              </w:rPr>
              <w:t>0,00</w:t>
            </w:r>
          </w:p>
        </w:tc>
        <w:tc>
          <w:tcPr>
            <w:tcW w:w="816" w:type="dxa"/>
            <w:vAlign w:val="center"/>
          </w:tcPr>
          <w:p w14:paraId="5A2971F6" w14:textId="136C713F" w:rsidR="00941A31" w:rsidRPr="009B3838" w:rsidRDefault="00B57476" w:rsidP="00941A31">
            <w:pPr>
              <w:widowControl w:val="0"/>
              <w:jc w:val="center"/>
              <w:rPr>
                <w:rFonts w:ascii="Arial" w:hAnsi="Arial" w:cs="Arial"/>
                <w:sz w:val="16"/>
                <w:szCs w:val="16"/>
              </w:rPr>
            </w:pPr>
            <w:r>
              <w:rPr>
                <w:rFonts w:ascii="Arial" w:hAnsi="Arial" w:cs="Arial"/>
                <w:sz w:val="16"/>
                <w:szCs w:val="16"/>
              </w:rPr>
              <w:t>-0,10</w:t>
            </w:r>
          </w:p>
        </w:tc>
        <w:tc>
          <w:tcPr>
            <w:tcW w:w="933" w:type="dxa"/>
            <w:vAlign w:val="center"/>
          </w:tcPr>
          <w:p w14:paraId="0305C21D" w14:textId="42413110" w:rsidR="00941A31" w:rsidRPr="009B3838" w:rsidRDefault="00941A31" w:rsidP="00941A31">
            <w:pPr>
              <w:widowControl w:val="0"/>
              <w:jc w:val="center"/>
              <w:rPr>
                <w:rFonts w:ascii="Arial" w:hAnsi="Arial" w:cs="Arial"/>
                <w:sz w:val="16"/>
                <w:szCs w:val="16"/>
              </w:rPr>
            </w:pPr>
            <w:r w:rsidRPr="009B3838">
              <w:rPr>
                <w:rFonts w:ascii="Arial" w:hAnsi="Arial" w:cs="Arial"/>
                <w:sz w:val="16"/>
                <w:szCs w:val="16"/>
              </w:rPr>
              <w:t>0,</w:t>
            </w:r>
            <w:r w:rsidR="00DC6B64">
              <w:rPr>
                <w:rFonts w:ascii="Arial" w:hAnsi="Arial" w:cs="Arial"/>
                <w:sz w:val="16"/>
                <w:szCs w:val="16"/>
              </w:rPr>
              <w:t>1</w:t>
            </w:r>
            <w:r w:rsidR="00CB22B8" w:rsidRPr="009B3838">
              <w:rPr>
                <w:rFonts w:ascii="Arial" w:hAnsi="Arial" w:cs="Arial"/>
                <w:sz w:val="16"/>
                <w:szCs w:val="16"/>
              </w:rPr>
              <w:t>0</w:t>
            </w:r>
          </w:p>
        </w:tc>
        <w:tc>
          <w:tcPr>
            <w:tcW w:w="937" w:type="dxa"/>
            <w:vAlign w:val="center"/>
          </w:tcPr>
          <w:p w14:paraId="0EF47A8D" w14:textId="518399C9" w:rsidR="00941A31" w:rsidRPr="009B3838" w:rsidRDefault="00EF0237" w:rsidP="00941A31">
            <w:pPr>
              <w:widowControl w:val="0"/>
              <w:jc w:val="center"/>
              <w:rPr>
                <w:rFonts w:ascii="Arial" w:hAnsi="Arial" w:cs="Arial"/>
                <w:sz w:val="16"/>
                <w:szCs w:val="16"/>
              </w:rPr>
            </w:pPr>
            <w:r>
              <w:rPr>
                <w:rFonts w:ascii="Arial" w:hAnsi="Arial" w:cs="Arial"/>
                <w:sz w:val="16"/>
                <w:szCs w:val="16"/>
              </w:rPr>
              <w:t>0,00</w:t>
            </w:r>
          </w:p>
        </w:tc>
        <w:tc>
          <w:tcPr>
            <w:tcW w:w="937" w:type="dxa"/>
            <w:vAlign w:val="center"/>
          </w:tcPr>
          <w:p w14:paraId="540E268D" w14:textId="162493D9" w:rsidR="00941A31" w:rsidRPr="009B3838" w:rsidRDefault="00EF0237" w:rsidP="00941A31">
            <w:pPr>
              <w:widowControl w:val="0"/>
              <w:jc w:val="center"/>
              <w:rPr>
                <w:rFonts w:ascii="Arial" w:hAnsi="Arial" w:cs="Arial"/>
                <w:sz w:val="16"/>
                <w:szCs w:val="16"/>
              </w:rPr>
            </w:pPr>
            <w:r>
              <w:rPr>
                <w:rFonts w:ascii="Arial" w:hAnsi="Arial" w:cs="Arial"/>
                <w:sz w:val="16"/>
                <w:szCs w:val="16"/>
              </w:rPr>
              <w:t>0,00</w:t>
            </w:r>
          </w:p>
        </w:tc>
        <w:tc>
          <w:tcPr>
            <w:tcW w:w="932" w:type="dxa"/>
            <w:vAlign w:val="center"/>
          </w:tcPr>
          <w:p w14:paraId="3DE9C9F6" w14:textId="2D556C25" w:rsidR="00941A31" w:rsidRPr="009B3838" w:rsidRDefault="002E1FBD" w:rsidP="00941A31">
            <w:pPr>
              <w:widowControl w:val="0"/>
              <w:jc w:val="center"/>
              <w:rPr>
                <w:rFonts w:ascii="Arial" w:hAnsi="Arial" w:cs="Arial"/>
                <w:sz w:val="16"/>
                <w:szCs w:val="16"/>
              </w:rPr>
            </w:pPr>
            <w:r>
              <w:rPr>
                <w:rFonts w:ascii="Arial" w:hAnsi="Arial" w:cs="Arial"/>
                <w:sz w:val="16"/>
                <w:szCs w:val="16"/>
              </w:rPr>
              <w:t>+</w:t>
            </w:r>
            <w:r w:rsidR="00EF0237">
              <w:rPr>
                <w:rFonts w:ascii="Arial" w:hAnsi="Arial" w:cs="Arial"/>
                <w:sz w:val="16"/>
                <w:szCs w:val="16"/>
              </w:rPr>
              <w:t>0,20</w:t>
            </w:r>
          </w:p>
        </w:tc>
        <w:tc>
          <w:tcPr>
            <w:tcW w:w="936" w:type="dxa"/>
            <w:vAlign w:val="center"/>
          </w:tcPr>
          <w:p w14:paraId="4CF5BAEF" w14:textId="714A69B5" w:rsidR="00941A31" w:rsidRPr="009B3838" w:rsidRDefault="00B57476" w:rsidP="00941A31">
            <w:pPr>
              <w:widowControl w:val="0"/>
              <w:jc w:val="center"/>
              <w:rPr>
                <w:rFonts w:ascii="Arial" w:hAnsi="Arial" w:cs="Arial"/>
                <w:sz w:val="16"/>
                <w:szCs w:val="16"/>
              </w:rPr>
            </w:pPr>
            <w:r>
              <w:rPr>
                <w:rFonts w:ascii="Arial" w:hAnsi="Arial" w:cs="Arial"/>
                <w:sz w:val="16"/>
                <w:szCs w:val="16"/>
              </w:rPr>
              <w:t>-0,05</w:t>
            </w:r>
          </w:p>
        </w:tc>
        <w:tc>
          <w:tcPr>
            <w:tcW w:w="800" w:type="dxa"/>
            <w:vAlign w:val="center"/>
          </w:tcPr>
          <w:p w14:paraId="0A113121" w14:textId="2592B0B9" w:rsidR="00941A31" w:rsidRPr="009B3838" w:rsidRDefault="00EF0237" w:rsidP="00941A31">
            <w:pPr>
              <w:widowControl w:val="0"/>
              <w:jc w:val="center"/>
              <w:rPr>
                <w:rFonts w:ascii="Arial" w:hAnsi="Arial" w:cs="Arial"/>
                <w:b/>
                <w:sz w:val="16"/>
                <w:szCs w:val="16"/>
              </w:rPr>
            </w:pPr>
            <w:r>
              <w:rPr>
                <w:rFonts w:ascii="Arial" w:hAnsi="Arial" w:cs="Arial"/>
                <w:b/>
                <w:sz w:val="16"/>
                <w:szCs w:val="16"/>
              </w:rPr>
              <w:t>0,0</w:t>
            </w:r>
            <w:r w:rsidR="00B57476">
              <w:rPr>
                <w:rFonts w:ascii="Arial" w:hAnsi="Arial" w:cs="Arial"/>
                <w:b/>
                <w:sz w:val="16"/>
                <w:szCs w:val="16"/>
              </w:rPr>
              <w:t>2</w:t>
            </w:r>
          </w:p>
        </w:tc>
      </w:tr>
      <w:tr w:rsidR="00133084" w:rsidRPr="006F49D0" w14:paraId="2FADEB38" w14:textId="77777777" w:rsidTr="00EE52E1">
        <w:tc>
          <w:tcPr>
            <w:tcW w:w="1939" w:type="dxa"/>
          </w:tcPr>
          <w:p w14:paraId="35A0FD30"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 xml:space="preserve">Spitzenrendite* Logistik </w:t>
            </w:r>
            <w:r w:rsidRPr="006F49D0">
              <w:rPr>
                <w:rFonts w:ascii="Arial" w:hAnsi="Arial" w:cs="Arial"/>
                <w:sz w:val="16"/>
                <w:szCs w:val="16"/>
              </w:rPr>
              <w:t>in %</w:t>
            </w:r>
          </w:p>
        </w:tc>
        <w:tc>
          <w:tcPr>
            <w:tcW w:w="817" w:type="dxa"/>
            <w:vAlign w:val="center"/>
          </w:tcPr>
          <w:p w14:paraId="7C1DFBB1" w14:textId="23293553" w:rsidR="00133084" w:rsidRPr="00132236" w:rsidRDefault="00A53D18" w:rsidP="00EE52E1">
            <w:pPr>
              <w:widowControl w:val="0"/>
              <w:jc w:val="center"/>
              <w:rPr>
                <w:rFonts w:ascii="Arial" w:hAnsi="Arial" w:cs="Arial"/>
                <w:sz w:val="16"/>
                <w:szCs w:val="16"/>
              </w:rPr>
            </w:pPr>
            <w:r w:rsidRPr="00132236">
              <w:rPr>
                <w:rFonts w:ascii="Arial" w:hAnsi="Arial" w:cs="Arial"/>
                <w:sz w:val="16"/>
                <w:szCs w:val="16"/>
              </w:rPr>
              <w:t>4,</w:t>
            </w:r>
            <w:r w:rsidR="00B57476">
              <w:rPr>
                <w:rFonts w:ascii="Arial" w:hAnsi="Arial" w:cs="Arial"/>
                <w:sz w:val="16"/>
                <w:szCs w:val="16"/>
              </w:rPr>
              <w:t>25</w:t>
            </w:r>
          </w:p>
        </w:tc>
        <w:tc>
          <w:tcPr>
            <w:tcW w:w="816" w:type="dxa"/>
            <w:vAlign w:val="center"/>
          </w:tcPr>
          <w:p w14:paraId="254DACAA" w14:textId="61D1274C" w:rsidR="00133084" w:rsidRPr="00132236" w:rsidRDefault="00B57476" w:rsidP="00EE52E1">
            <w:pPr>
              <w:widowControl w:val="0"/>
              <w:jc w:val="center"/>
              <w:rPr>
                <w:rFonts w:ascii="Arial" w:hAnsi="Arial" w:cs="Arial"/>
                <w:sz w:val="16"/>
                <w:szCs w:val="16"/>
              </w:rPr>
            </w:pPr>
            <w:r>
              <w:rPr>
                <w:rFonts w:ascii="Arial" w:hAnsi="Arial" w:cs="Arial"/>
                <w:sz w:val="16"/>
                <w:szCs w:val="16"/>
              </w:rPr>
              <w:t>3,80</w:t>
            </w:r>
          </w:p>
        </w:tc>
        <w:tc>
          <w:tcPr>
            <w:tcW w:w="933" w:type="dxa"/>
            <w:vAlign w:val="center"/>
          </w:tcPr>
          <w:p w14:paraId="2FE5B6DF" w14:textId="559B0FD8" w:rsidR="00133084" w:rsidRPr="00132236" w:rsidRDefault="00857AA5" w:rsidP="00EE52E1">
            <w:pPr>
              <w:widowControl w:val="0"/>
              <w:jc w:val="center"/>
              <w:rPr>
                <w:rFonts w:ascii="Arial" w:hAnsi="Arial" w:cs="Arial"/>
                <w:sz w:val="16"/>
                <w:szCs w:val="16"/>
              </w:rPr>
            </w:pPr>
            <w:r w:rsidRPr="00132236">
              <w:rPr>
                <w:rFonts w:ascii="Arial" w:hAnsi="Arial" w:cs="Arial"/>
                <w:sz w:val="16"/>
                <w:szCs w:val="16"/>
              </w:rPr>
              <w:t>4</w:t>
            </w:r>
            <w:r w:rsidR="00B57476">
              <w:rPr>
                <w:rFonts w:ascii="Arial" w:hAnsi="Arial" w:cs="Arial"/>
                <w:sz w:val="16"/>
                <w:szCs w:val="16"/>
              </w:rPr>
              <w:t>,00</w:t>
            </w:r>
          </w:p>
        </w:tc>
        <w:tc>
          <w:tcPr>
            <w:tcW w:w="937" w:type="dxa"/>
            <w:vAlign w:val="center"/>
          </w:tcPr>
          <w:p w14:paraId="1AA55CEF" w14:textId="62006AED" w:rsidR="00133084" w:rsidRPr="00132236" w:rsidRDefault="007540D4" w:rsidP="00EE52E1">
            <w:pPr>
              <w:widowControl w:val="0"/>
              <w:jc w:val="center"/>
              <w:rPr>
                <w:rFonts w:ascii="Arial" w:hAnsi="Arial" w:cs="Arial"/>
                <w:sz w:val="16"/>
                <w:szCs w:val="16"/>
              </w:rPr>
            </w:pPr>
            <w:r w:rsidRPr="00132236">
              <w:rPr>
                <w:rFonts w:ascii="Arial" w:hAnsi="Arial" w:cs="Arial"/>
                <w:sz w:val="16"/>
                <w:szCs w:val="16"/>
              </w:rPr>
              <w:t>4,</w:t>
            </w:r>
            <w:r w:rsidR="00B57476">
              <w:rPr>
                <w:rFonts w:ascii="Arial" w:hAnsi="Arial" w:cs="Arial"/>
                <w:sz w:val="16"/>
                <w:szCs w:val="16"/>
              </w:rPr>
              <w:t>10</w:t>
            </w:r>
          </w:p>
        </w:tc>
        <w:tc>
          <w:tcPr>
            <w:tcW w:w="937" w:type="dxa"/>
            <w:vAlign w:val="center"/>
          </w:tcPr>
          <w:p w14:paraId="54EB0115" w14:textId="7FDF82B4" w:rsidR="00133084" w:rsidRPr="00132236" w:rsidRDefault="00C520C4" w:rsidP="00EE52E1">
            <w:pPr>
              <w:widowControl w:val="0"/>
              <w:jc w:val="center"/>
              <w:rPr>
                <w:rFonts w:ascii="Arial" w:hAnsi="Arial" w:cs="Arial"/>
                <w:sz w:val="16"/>
                <w:szCs w:val="16"/>
              </w:rPr>
            </w:pPr>
            <w:r>
              <w:rPr>
                <w:rFonts w:ascii="Arial" w:hAnsi="Arial" w:cs="Arial"/>
                <w:sz w:val="16"/>
                <w:szCs w:val="16"/>
              </w:rPr>
              <w:t>3,90</w:t>
            </w:r>
          </w:p>
        </w:tc>
        <w:tc>
          <w:tcPr>
            <w:tcW w:w="932" w:type="dxa"/>
            <w:vAlign w:val="center"/>
          </w:tcPr>
          <w:p w14:paraId="56956EAD" w14:textId="77548E59" w:rsidR="00133084" w:rsidRPr="00132236" w:rsidRDefault="00F108E6" w:rsidP="00EE52E1">
            <w:pPr>
              <w:widowControl w:val="0"/>
              <w:jc w:val="center"/>
              <w:rPr>
                <w:rFonts w:ascii="Arial" w:hAnsi="Arial" w:cs="Arial"/>
                <w:sz w:val="16"/>
                <w:szCs w:val="16"/>
              </w:rPr>
            </w:pPr>
            <w:r w:rsidRPr="00132236">
              <w:rPr>
                <w:rFonts w:ascii="Arial" w:hAnsi="Arial" w:cs="Arial"/>
                <w:sz w:val="16"/>
                <w:szCs w:val="16"/>
              </w:rPr>
              <w:t>4,</w:t>
            </w:r>
            <w:r w:rsidR="00B57476">
              <w:rPr>
                <w:rFonts w:ascii="Arial" w:hAnsi="Arial" w:cs="Arial"/>
                <w:sz w:val="16"/>
                <w:szCs w:val="16"/>
              </w:rPr>
              <w:t>20</w:t>
            </w:r>
          </w:p>
        </w:tc>
        <w:tc>
          <w:tcPr>
            <w:tcW w:w="936" w:type="dxa"/>
            <w:vAlign w:val="center"/>
          </w:tcPr>
          <w:p w14:paraId="3DC3B9D7" w14:textId="28944B85" w:rsidR="00133084" w:rsidRPr="00132236" w:rsidRDefault="00B57476" w:rsidP="00EE52E1">
            <w:pPr>
              <w:widowControl w:val="0"/>
              <w:jc w:val="center"/>
              <w:rPr>
                <w:rFonts w:ascii="Arial" w:hAnsi="Arial" w:cs="Arial"/>
                <w:sz w:val="16"/>
                <w:szCs w:val="16"/>
              </w:rPr>
            </w:pPr>
            <w:r>
              <w:rPr>
                <w:rFonts w:ascii="Arial" w:hAnsi="Arial" w:cs="Arial"/>
                <w:sz w:val="16"/>
                <w:szCs w:val="16"/>
              </w:rPr>
              <w:t>3,70</w:t>
            </w:r>
          </w:p>
        </w:tc>
        <w:tc>
          <w:tcPr>
            <w:tcW w:w="800" w:type="dxa"/>
            <w:vAlign w:val="center"/>
          </w:tcPr>
          <w:p w14:paraId="18BD4287" w14:textId="7A8F40DC" w:rsidR="00133084" w:rsidRPr="00132236" w:rsidRDefault="00B57476" w:rsidP="00EE52E1">
            <w:pPr>
              <w:widowControl w:val="0"/>
              <w:jc w:val="center"/>
              <w:rPr>
                <w:rFonts w:ascii="Arial" w:hAnsi="Arial" w:cs="Arial"/>
                <w:b/>
                <w:sz w:val="16"/>
                <w:szCs w:val="16"/>
              </w:rPr>
            </w:pPr>
            <w:r>
              <w:rPr>
                <w:rFonts w:ascii="Arial" w:hAnsi="Arial" w:cs="Arial"/>
                <w:b/>
                <w:sz w:val="16"/>
                <w:szCs w:val="16"/>
              </w:rPr>
              <w:t>3,99</w:t>
            </w:r>
          </w:p>
        </w:tc>
      </w:tr>
      <w:tr w:rsidR="00133084" w:rsidRPr="006F49D0" w14:paraId="6C44AF83" w14:textId="77777777" w:rsidTr="00EE52E1">
        <w:tc>
          <w:tcPr>
            <w:tcW w:w="1939" w:type="dxa"/>
          </w:tcPr>
          <w:p w14:paraId="3E258355" w14:textId="77777777" w:rsidR="00133084" w:rsidRPr="006F49D0" w:rsidRDefault="00133084" w:rsidP="00EE52E1">
            <w:pPr>
              <w:widowControl w:val="0"/>
              <w:jc w:val="both"/>
              <w:rPr>
                <w:rFonts w:ascii="Arial" w:hAnsi="Arial" w:cs="Arial"/>
                <w:b/>
                <w:sz w:val="16"/>
                <w:szCs w:val="16"/>
              </w:rPr>
            </w:pPr>
            <w:r>
              <w:rPr>
                <w:rFonts w:ascii="Arial" w:hAnsi="Arial" w:cs="Arial"/>
                <w:b/>
                <w:sz w:val="16"/>
                <w:szCs w:val="16"/>
              </w:rPr>
              <w:t xml:space="preserve">ggü. Vorjahr </w:t>
            </w:r>
            <w:r w:rsidRPr="003A2101">
              <w:rPr>
                <w:rFonts w:ascii="Arial" w:hAnsi="Arial" w:cs="Arial"/>
                <w:sz w:val="16"/>
                <w:szCs w:val="16"/>
              </w:rPr>
              <w:t>in %-Pkt.</w:t>
            </w:r>
          </w:p>
        </w:tc>
        <w:tc>
          <w:tcPr>
            <w:tcW w:w="817" w:type="dxa"/>
            <w:vAlign w:val="center"/>
          </w:tcPr>
          <w:p w14:paraId="402C325D" w14:textId="221E5630" w:rsidR="00133084" w:rsidRPr="006F37CD" w:rsidRDefault="00B57476" w:rsidP="00EE52E1">
            <w:pPr>
              <w:widowControl w:val="0"/>
              <w:jc w:val="center"/>
              <w:rPr>
                <w:rFonts w:ascii="Arial" w:hAnsi="Arial" w:cs="Arial"/>
                <w:sz w:val="16"/>
                <w:szCs w:val="16"/>
              </w:rPr>
            </w:pPr>
            <w:r>
              <w:rPr>
                <w:rFonts w:ascii="Arial" w:hAnsi="Arial" w:cs="Arial"/>
                <w:sz w:val="16"/>
                <w:szCs w:val="16"/>
              </w:rPr>
              <w:t>-0,25</w:t>
            </w:r>
          </w:p>
        </w:tc>
        <w:tc>
          <w:tcPr>
            <w:tcW w:w="816" w:type="dxa"/>
            <w:vAlign w:val="center"/>
          </w:tcPr>
          <w:p w14:paraId="7A94F57E" w14:textId="402C4A30" w:rsidR="00133084" w:rsidRPr="006F37CD" w:rsidRDefault="00B870BE" w:rsidP="00EE52E1">
            <w:pPr>
              <w:widowControl w:val="0"/>
              <w:jc w:val="center"/>
              <w:rPr>
                <w:rFonts w:ascii="Arial" w:hAnsi="Arial" w:cs="Arial"/>
                <w:sz w:val="16"/>
                <w:szCs w:val="16"/>
              </w:rPr>
            </w:pPr>
            <w:r w:rsidRPr="006F37CD">
              <w:rPr>
                <w:rFonts w:ascii="Arial" w:hAnsi="Arial" w:cs="Arial"/>
                <w:sz w:val="16"/>
                <w:szCs w:val="16"/>
              </w:rPr>
              <w:t>-0,</w:t>
            </w:r>
            <w:r w:rsidR="00B57476">
              <w:rPr>
                <w:rFonts w:ascii="Arial" w:hAnsi="Arial" w:cs="Arial"/>
                <w:sz w:val="16"/>
                <w:szCs w:val="16"/>
              </w:rPr>
              <w:t>4</w:t>
            </w:r>
            <w:r w:rsidRPr="006F37CD">
              <w:rPr>
                <w:rFonts w:ascii="Arial" w:hAnsi="Arial" w:cs="Arial"/>
                <w:sz w:val="16"/>
                <w:szCs w:val="16"/>
              </w:rPr>
              <w:t>0</w:t>
            </w:r>
          </w:p>
        </w:tc>
        <w:tc>
          <w:tcPr>
            <w:tcW w:w="933" w:type="dxa"/>
            <w:vAlign w:val="center"/>
          </w:tcPr>
          <w:p w14:paraId="3F9AEF90" w14:textId="0DF9C889" w:rsidR="00133084" w:rsidRPr="006F37CD" w:rsidRDefault="0065466F" w:rsidP="00EE52E1">
            <w:pPr>
              <w:widowControl w:val="0"/>
              <w:jc w:val="center"/>
              <w:rPr>
                <w:rFonts w:ascii="Arial" w:hAnsi="Arial" w:cs="Arial"/>
                <w:sz w:val="16"/>
                <w:szCs w:val="16"/>
              </w:rPr>
            </w:pPr>
            <w:r w:rsidRPr="006F37CD">
              <w:rPr>
                <w:rFonts w:ascii="Arial" w:hAnsi="Arial" w:cs="Arial"/>
                <w:sz w:val="16"/>
                <w:szCs w:val="16"/>
              </w:rPr>
              <w:t>-0,</w:t>
            </w:r>
            <w:r w:rsidR="00B57476">
              <w:rPr>
                <w:rFonts w:ascii="Arial" w:hAnsi="Arial" w:cs="Arial"/>
                <w:sz w:val="16"/>
                <w:szCs w:val="16"/>
              </w:rPr>
              <w:t>35</w:t>
            </w:r>
          </w:p>
        </w:tc>
        <w:tc>
          <w:tcPr>
            <w:tcW w:w="937" w:type="dxa"/>
            <w:vAlign w:val="center"/>
          </w:tcPr>
          <w:p w14:paraId="35E54CD7" w14:textId="7CBC900F" w:rsidR="00133084" w:rsidRPr="006F37CD" w:rsidRDefault="004C6142" w:rsidP="00EE52E1">
            <w:pPr>
              <w:widowControl w:val="0"/>
              <w:jc w:val="center"/>
              <w:rPr>
                <w:rFonts w:ascii="Arial" w:hAnsi="Arial" w:cs="Arial"/>
                <w:sz w:val="16"/>
                <w:szCs w:val="16"/>
              </w:rPr>
            </w:pPr>
            <w:r w:rsidRPr="006F37CD">
              <w:rPr>
                <w:rFonts w:ascii="Arial" w:hAnsi="Arial" w:cs="Arial"/>
                <w:sz w:val="16"/>
                <w:szCs w:val="16"/>
              </w:rPr>
              <w:t>-0,</w:t>
            </w:r>
            <w:r w:rsidR="00B57476">
              <w:rPr>
                <w:rFonts w:ascii="Arial" w:hAnsi="Arial" w:cs="Arial"/>
                <w:sz w:val="16"/>
                <w:szCs w:val="16"/>
              </w:rPr>
              <w:t>1</w:t>
            </w:r>
            <w:r w:rsidR="00132236" w:rsidRPr="006F37CD">
              <w:rPr>
                <w:rFonts w:ascii="Arial" w:hAnsi="Arial" w:cs="Arial"/>
                <w:sz w:val="16"/>
                <w:szCs w:val="16"/>
              </w:rPr>
              <w:t>0</w:t>
            </w:r>
          </w:p>
        </w:tc>
        <w:tc>
          <w:tcPr>
            <w:tcW w:w="937" w:type="dxa"/>
            <w:vAlign w:val="center"/>
          </w:tcPr>
          <w:p w14:paraId="38C1B2AA" w14:textId="3444163C" w:rsidR="00133084" w:rsidRPr="006F37CD" w:rsidRDefault="00B870BE" w:rsidP="00EE52E1">
            <w:pPr>
              <w:widowControl w:val="0"/>
              <w:jc w:val="center"/>
              <w:rPr>
                <w:rFonts w:ascii="Arial" w:hAnsi="Arial" w:cs="Arial"/>
                <w:sz w:val="16"/>
                <w:szCs w:val="16"/>
              </w:rPr>
            </w:pPr>
            <w:r w:rsidRPr="006F37CD">
              <w:rPr>
                <w:rFonts w:ascii="Arial" w:hAnsi="Arial" w:cs="Arial"/>
                <w:sz w:val="16"/>
                <w:szCs w:val="16"/>
              </w:rPr>
              <w:t>-0,</w:t>
            </w:r>
            <w:r w:rsidR="00C520C4">
              <w:rPr>
                <w:rFonts w:ascii="Arial" w:hAnsi="Arial" w:cs="Arial"/>
                <w:sz w:val="16"/>
                <w:szCs w:val="16"/>
              </w:rPr>
              <w:t>30</w:t>
            </w:r>
          </w:p>
        </w:tc>
        <w:tc>
          <w:tcPr>
            <w:tcW w:w="932" w:type="dxa"/>
            <w:vAlign w:val="center"/>
          </w:tcPr>
          <w:p w14:paraId="79F0066F" w14:textId="63C6B00C" w:rsidR="00133084" w:rsidRPr="006F37CD" w:rsidRDefault="00B57476" w:rsidP="00EE52E1">
            <w:pPr>
              <w:widowControl w:val="0"/>
              <w:jc w:val="center"/>
              <w:rPr>
                <w:rFonts w:ascii="Arial" w:hAnsi="Arial" w:cs="Arial"/>
                <w:sz w:val="16"/>
                <w:szCs w:val="16"/>
              </w:rPr>
            </w:pPr>
            <w:r>
              <w:rPr>
                <w:rFonts w:ascii="Arial" w:hAnsi="Arial" w:cs="Arial"/>
                <w:sz w:val="16"/>
                <w:szCs w:val="16"/>
              </w:rPr>
              <w:t>-0,</w:t>
            </w:r>
            <w:r w:rsidR="002E1FBD">
              <w:rPr>
                <w:rFonts w:ascii="Arial" w:hAnsi="Arial" w:cs="Arial"/>
                <w:sz w:val="16"/>
                <w:szCs w:val="16"/>
              </w:rPr>
              <w:t>3</w:t>
            </w:r>
            <w:r>
              <w:rPr>
                <w:rFonts w:ascii="Arial" w:hAnsi="Arial" w:cs="Arial"/>
                <w:sz w:val="16"/>
                <w:szCs w:val="16"/>
              </w:rPr>
              <w:t>0</w:t>
            </w:r>
          </w:p>
        </w:tc>
        <w:tc>
          <w:tcPr>
            <w:tcW w:w="936" w:type="dxa"/>
            <w:vAlign w:val="center"/>
          </w:tcPr>
          <w:p w14:paraId="0833D8FF" w14:textId="7F5F82CC" w:rsidR="00133084" w:rsidRPr="006F37CD" w:rsidRDefault="00C40DBD" w:rsidP="00EE52E1">
            <w:pPr>
              <w:widowControl w:val="0"/>
              <w:jc w:val="center"/>
              <w:rPr>
                <w:rFonts w:ascii="Arial" w:hAnsi="Arial" w:cs="Arial"/>
                <w:sz w:val="16"/>
                <w:szCs w:val="16"/>
              </w:rPr>
            </w:pPr>
            <w:r>
              <w:rPr>
                <w:rFonts w:ascii="Arial" w:hAnsi="Arial" w:cs="Arial"/>
                <w:sz w:val="16"/>
                <w:szCs w:val="16"/>
              </w:rPr>
              <w:t>-0,</w:t>
            </w:r>
            <w:r w:rsidR="00B57476">
              <w:rPr>
                <w:rFonts w:ascii="Arial" w:hAnsi="Arial" w:cs="Arial"/>
                <w:sz w:val="16"/>
                <w:szCs w:val="16"/>
              </w:rPr>
              <w:t>3</w:t>
            </w:r>
            <w:r>
              <w:rPr>
                <w:rFonts w:ascii="Arial" w:hAnsi="Arial" w:cs="Arial"/>
                <w:sz w:val="16"/>
                <w:szCs w:val="16"/>
              </w:rPr>
              <w:t>0</w:t>
            </w:r>
          </w:p>
        </w:tc>
        <w:tc>
          <w:tcPr>
            <w:tcW w:w="800" w:type="dxa"/>
            <w:vAlign w:val="center"/>
          </w:tcPr>
          <w:p w14:paraId="48186E1A" w14:textId="5F6BC375" w:rsidR="00133084" w:rsidRPr="006F37CD" w:rsidRDefault="00C40DBD" w:rsidP="00976AE9">
            <w:pPr>
              <w:widowControl w:val="0"/>
              <w:jc w:val="center"/>
              <w:rPr>
                <w:rFonts w:ascii="Arial" w:hAnsi="Arial" w:cs="Arial"/>
                <w:b/>
                <w:sz w:val="16"/>
                <w:szCs w:val="16"/>
              </w:rPr>
            </w:pPr>
            <w:r>
              <w:rPr>
                <w:rFonts w:ascii="Arial" w:hAnsi="Arial" w:cs="Arial"/>
                <w:b/>
                <w:sz w:val="16"/>
                <w:szCs w:val="16"/>
              </w:rPr>
              <w:t>-0,</w:t>
            </w:r>
            <w:r w:rsidR="00B57476">
              <w:rPr>
                <w:rFonts w:ascii="Arial" w:hAnsi="Arial" w:cs="Arial"/>
                <w:b/>
                <w:sz w:val="16"/>
                <w:szCs w:val="16"/>
              </w:rPr>
              <w:t>29</w:t>
            </w:r>
          </w:p>
        </w:tc>
      </w:tr>
      <w:tr w:rsidR="00133084" w:rsidRPr="006F49D0" w14:paraId="49E3094E" w14:textId="77777777" w:rsidTr="00EE52E1">
        <w:tc>
          <w:tcPr>
            <w:tcW w:w="1939" w:type="dxa"/>
          </w:tcPr>
          <w:p w14:paraId="220E2D27"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Stärkste</w:t>
            </w:r>
          </w:p>
          <w:p w14:paraId="14E6EEB0"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Assetklasse</w:t>
            </w:r>
          </w:p>
        </w:tc>
        <w:tc>
          <w:tcPr>
            <w:tcW w:w="817" w:type="dxa"/>
            <w:vAlign w:val="center"/>
          </w:tcPr>
          <w:p w14:paraId="7A5F8E48" w14:textId="7EB9323C" w:rsidR="00133084" w:rsidRPr="009A2044" w:rsidRDefault="000270AD" w:rsidP="00EE52E1">
            <w:pPr>
              <w:widowControl w:val="0"/>
              <w:jc w:val="center"/>
              <w:rPr>
                <w:rFonts w:ascii="Arial" w:hAnsi="Arial" w:cs="Arial"/>
                <w:sz w:val="16"/>
                <w:szCs w:val="16"/>
              </w:rPr>
            </w:pPr>
            <w:r w:rsidRPr="009A2044">
              <w:rPr>
                <w:rFonts w:ascii="Arial" w:hAnsi="Arial" w:cs="Arial"/>
                <w:sz w:val="16"/>
                <w:szCs w:val="16"/>
              </w:rPr>
              <w:t>Büro</w:t>
            </w:r>
          </w:p>
        </w:tc>
        <w:tc>
          <w:tcPr>
            <w:tcW w:w="816" w:type="dxa"/>
            <w:vAlign w:val="center"/>
          </w:tcPr>
          <w:p w14:paraId="3EE250C6" w14:textId="1AFCA465"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933" w:type="dxa"/>
            <w:vAlign w:val="center"/>
          </w:tcPr>
          <w:p w14:paraId="0B419612" w14:textId="693B8836"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937" w:type="dxa"/>
            <w:vAlign w:val="center"/>
          </w:tcPr>
          <w:p w14:paraId="6E26F7B8" w14:textId="585340A3" w:rsidR="00133084" w:rsidRPr="009A2044" w:rsidRDefault="00EF0237" w:rsidP="00EE52E1">
            <w:pPr>
              <w:widowControl w:val="0"/>
              <w:jc w:val="center"/>
              <w:rPr>
                <w:rFonts w:ascii="Arial" w:hAnsi="Arial" w:cs="Arial"/>
                <w:sz w:val="16"/>
                <w:szCs w:val="16"/>
              </w:rPr>
            </w:pPr>
            <w:r>
              <w:rPr>
                <w:rFonts w:ascii="Arial" w:hAnsi="Arial" w:cs="Arial"/>
                <w:sz w:val="16"/>
                <w:szCs w:val="16"/>
              </w:rPr>
              <w:t>Büro</w:t>
            </w:r>
          </w:p>
        </w:tc>
        <w:tc>
          <w:tcPr>
            <w:tcW w:w="937" w:type="dxa"/>
            <w:vAlign w:val="center"/>
          </w:tcPr>
          <w:p w14:paraId="67FA3D1C" w14:textId="7F4287BF"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932" w:type="dxa"/>
            <w:vAlign w:val="center"/>
          </w:tcPr>
          <w:p w14:paraId="06075156" w14:textId="42A7DA2B" w:rsidR="00133084" w:rsidRPr="009A2044" w:rsidRDefault="00EF0237" w:rsidP="00EE52E1">
            <w:pPr>
              <w:widowControl w:val="0"/>
              <w:jc w:val="center"/>
              <w:rPr>
                <w:rFonts w:ascii="Arial" w:hAnsi="Arial" w:cs="Arial"/>
                <w:sz w:val="16"/>
                <w:szCs w:val="16"/>
              </w:rPr>
            </w:pPr>
            <w:r>
              <w:rPr>
                <w:rFonts w:ascii="Arial" w:hAnsi="Arial" w:cs="Arial"/>
                <w:sz w:val="16"/>
                <w:szCs w:val="16"/>
              </w:rPr>
              <w:t>Büro</w:t>
            </w:r>
          </w:p>
        </w:tc>
        <w:tc>
          <w:tcPr>
            <w:tcW w:w="936" w:type="dxa"/>
            <w:vAlign w:val="center"/>
          </w:tcPr>
          <w:p w14:paraId="61C814E0" w14:textId="67BDA04B"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800" w:type="dxa"/>
            <w:vAlign w:val="center"/>
          </w:tcPr>
          <w:p w14:paraId="53D5BDE6" w14:textId="6695481E" w:rsidR="00133084" w:rsidRPr="009A2044" w:rsidRDefault="00EF0237" w:rsidP="00EE52E1">
            <w:pPr>
              <w:widowControl w:val="0"/>
              <w:jc w:val="center"/>
              <w:rPr>
                <w:rFonts w:ascii="Arial" w:hAnsi="Arial" w:cs="Arial"/>
                <w:b/>
                <w:sz w:val="16"/>
                <w:szCs w:val="16"/>
              </w:rPr>
            </w:pPr>
            <w:r>
              <w:rPr>
                <w:rFonts w:ascii="Arial" w:hAnsi="Arial" w:cs="Arial"/>
                <w:b/>
                <w:sz w:val="16"/>
                <w:szCs w:val="16"/>
              </w:rPr>
              <w:t>Büro</w:t>
            </w:r>
          </w:p>
        </w:tc>
      </w:tr>
      <w:tr w:rsidR="00133084" w:rsidRPr="006F49D0" w14:paraId="29BDD602" w14:textId="77777777" w:rsidTr="00EE52E1">
        <w:tc>
          <w:tcPr>
            <w:tcW w:w="1939" w:type="dxa"/>
          </w:tcPr>
          <w:p w14:paraId="25E8CCA1"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Stärkste</w:t>
            </w:r>
          </w:p>
          <w:p w14:paraId="6EFF076A"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 xml:space="preserve">Assetklasse </w:t>
            </w:r>
            <w:r w:rsidRPr="006F49D0">
              <w:rPr>
                <w:rFonts w:ascii="Arial" w:hAnsi="Arial" w:cs="Arial"/>
                <w:sz w:val="16"/>
                <w:szCs w:val="16"/>
              </w:rPr>
              <w:t>in %</w:t>
            </w:r>
          </w:p>
        </w:tc>
        <w:tc>
          <w:tcPr>
            <w:tcW w:w="817" w:type="dxa"/>
            <w:vAlign w:val="center"/>
          </w:tcPr>
          <w:p w14:paraId="48CC5FEC" w14:textId="71E6383F" w:rsidR="00133084" w:rsidRPr="00EF0237" w:rsidRDefault="00EF0237" w:rsidP="00EE52E1">
            <w:pPr>
              <w:widowControl w:val="0"/>
              <w:jc w:val="center"/>
              <w:rPr>
                <w:rFonts w:ascii="Arial" w:hAnsi="Arial" w:cs="Arial"/>
                <w:color w:val="000000" w:themeColor="text1"/>
                <w:sz w:val="16"/>
                <w:szCs w:val="16"/>
              </w:rPr>
            </w:pPr>
            <w:r w:rsidRPr="00EF0237">
              <w:rPr>
                <w:rFonts w:ascii="Arial" w:hAnsi="Arial" w:cs="Arial"/>
                <w:color w:val="000000" w:themeColor="text1"/>
                <w:sz w:val="16"/>
                <w:szCs w:val="16"/>
              </w:rPr>
              <w:t>7</w:t>
            </w:r>
            <w:r w:rsidR="00B57476">
              <w:rPr>
                <w:rFonts w:ascii="Arial" w:hAnsi="Arial" w:cs="Arial"/>
                <w:color w:val="000000" w:themeColor="text1"/>
                <w:sz w:val="16"/>
                <w:szCs w:val="16"/>
              </w:rPr>
              <w:t>5</w:t>
            </w:r>
          </w:p>
        </w:tc>
        <w:tc>
          <w:tcPr>
            <w:tcW w:w="816" w:type="dxa"/>
            <w:vAlign w:val="center"/>
          </w:tcPr>
          <w:p w14:paraId="6388C8A8" w14:textId="1D5B16A4" w:rsidR="00133084" w:rsidRPr="00EF0237" w:rsidRDefault="00B57476"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70</w:t>
            </w:r>
          </w:p>
        </w:tc>
        <w:tc>
          <w:tcPr>
            <w:tcW w:w="933" w:type="dxa"/>
            <w:vAlign w:val="center"/>
          </w:tcPr>
          <w:p w14:paraId="1186D2C4" w14:textId="66C6A4A4" w:rsidR="00133084" w:rsidRPr="00EF0237" w:rsidRDefault="00EF0237" w:rsidP="00EE52E1">
            <w:pPr>
              <w:widowControl w:val="0"/>
              <w:jc w:val="center"/>
              <w:rPr>
                <w:rFonts w:ascii="Arial" w:hAnsi="Arial" w:cs="Arial"/>
                <w:color w:val="000000" w:themeColor="text1"/>
                <w:sz w:val="16"/>
                <w:szCs w:val="16"/>
              </w:rPr>
            </w:pPr>
            <w:r w:rsidRPr="00EF0237">
              <w:rPr>
                <w:rFonts w:ascii="Arial" w:hAnsi="Arial" w:cs="Arial"/>
                <w:color w:val="000000" w:themeColor="text1"/>
                <w:sz w:val="16"/>
                <w:szCs w:val="16"/>
              </w:rPr>
              <w:t>60</w:t>
            </w:r>
          </w:p>
        </w:tc>
        <w:tc>
          <w:tcPr>
            <w:tcW w:w="937" w:type="dxa"/>
            <w:vAlign w:val="center"/>
          </w:tcPr>
          <w:p w14:paraId="7C5054BC" w14:textId="3772F71B" w:rsidR="00133084" w:rsidRPr="00EF0237" w:rsidRDefault="00B57476"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66</w:t>
            </w:r>
          </w:p>
        </w:tc>
        <w:tc>
          <w:tcPr>
            <w:tcW w:w="937" w:type="dxa"/>
            <w:vAlign w:val="center"/>
          </w:tcPr>
          <w:p w14:paraId="30CF9E98" w14:textId="68D6D2B1" w:rsidR="00133084" w:rsidRPr="00EF0237" w:rsidRDefault="00EF0237" w:rsidP="00EE52E1">
            <w:pPr>
              <w:widowControl w:val="0"/>
              <w:jc w:val="center"/>
              <w:rPr>
                <w:rFonts w:ascii="Arial" w:hAnsi="Arial" w:cs="Arial"/>
                <w:color w:val="000000" w:themeColor="text1"/>
                <w:sz w:val="16"/>
                <w:szCs w:val="16"/>
              </w:rPr>
            </w:pPr>
            <w:r w:rsidRPr="00EF0237">
              <w:rPr>
                <w:rFonts w:ascii="Arial" w:hAnsi="Arial" w:cs="Arial"/>
                <w:color w:val="000000" w:themeColor="text1"/>
                <w:sz w:val="16"/>
                <w:szCs w:val="16"/>
              </w:rPr>
              <w:t>8</w:t>
            </w:r>
            <w:r w:rsidR="00C520C4">
              <w:rPr>
                <w:rFonts w:ascii="Arial" w:hAnsi="Arial" w:cs="Arial"/>
                <w:color w:val="000000" w:themeColor="text1"/>
                <w:sz w:val="16"/>
                <w:szCs w:val="16"/>
              </w:rPr>
              <w:t>4</w:t>
            </w:r>
          </w:p>
        </w:tc>
        <w:tc>
          <w:tcPr>
            <w:tcW w:w="932" w:type="dxa"/>
            <w:vAlign w:val="center"/>
          </w:tcPr>
          <w:p w14:paraId="2803EF15" w14:textId="7C9F684F" w:rsidR="00133084" w:rsidRPr="00EF0237" w:rsidRDefault="00B57476"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49</w:t>
            </w:r>
          </w:p>
        </w:tc>
        <w:tc>
          <w:tcPr>
            <w:tcW w:w="936" w:type="dxa"/>
            <w:vAlign w:val="center"/>
          </w:tcPr>
          <w:p w14:paraId="39F7C582" w14:textId="224F059D" w:rsidR="00133084" w:rsidRPr="00EF0237" w:rsidRDefault="00B57476"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79</w:t>
            </w:r>
          </w:p>
        </w:tc>
        <w:tc>
          <w:tcPr>
            <w:tcW w:w="800" w:type="dxa"/>
            <w:vAlign w:val="center"/>
          </w:tcPr>
          <w:p w14:paraId="7160CDA3" w14:textId="01877537" w:rsidR="00133084" w:rsidRPr="001D6B1E" w:rsidRDefault="00B57476" w:rsidP="00EE52E1">
            <w:pPr>
              <w:widowControl w:val="0"/>
              <w:jc w:val="center"/>
              <w:rPr>
                <w:rFonts w:ascii="Arial" w:hAnsi="Arial" w:cs="Arial"/>
                <w:b/>
                <w:color w:val="FF0000"/>
                <w:sz w:val="16"/>
                <w:szCs w:val="16"/>
              </w:rPr>
            </w:pPr>
            <w:r>
              <w:rPr>
                <w:rFonts w:ascii="Arial" w:hAnsi="Arial" w:cs="Arial"/>
                <w:b/>
                <w:sz w:val="16"/>
                <w:szCs w:val="16"/>
              </w:rPr>
              <w:t>73</w:t>
            </w:r>
          </w:p>
        </w:tc>
      </w:tr>
    </w:tbl>
    <w:p w14:paraId="112E9948" w14:textId="663EDD33" w:rsidR="004F2836" w:rsidRDefault="00133084" w:rsidP="00936F9F">
      <w:pPr>
        <w:widowControl w:val="0"/>
        <w:spacing w:after="0"/>
        <w:rPr>
          <w:rFonts w:ascii="Arial" w:hAnsi="Arial" w:cs="Arial"/>
          <w:sz w:val="16"/>
          <w:szCs w:val="16"/>
        </w:rPr>
      </w:pPr>
      <w:r w:rsidRPr="00F6792B">
        <w:rPr>
          <w:rFonts w:ascii="Arial" w:hAnsi="Arial" w:cs="Arial"/>
          <w:sz w:val="16"/>
          <w:szCs w:val="16"/>
        </w:rPr>
        <w:t>* Nettoanfangsrendite</w:t>
      </w:r>
      <w:r>
        <w:rPr>
          <w:rFonts w:ascii="Arial" w:hAnsi="Arial" w:cs="Arial"/>
          <w:sz w:val="16"/>
          <w:szCs w:val="16"/>
        </w:rPr>
        <w:t xml:space="preserve">; </w:t>
      </w:r>
      <w:r w:rsidRPr="00F952F7">
        <w:rPr>
          <w:rFonts w:ascii="Arial" w:hAnsi="Arial" w:cs="Arial"/>
          <w:sz w:val="16"/>
          <w:szCs w:val="16"/>
        </w:rPr>
        <w:t>Quelle</w:t>
      </w:r>
      <w:r>
        <w:rPr>
          <w:rFonts w:ascii="Arial" w:hAnsi="Arial" w:cs="Arial"/>
          <w:sz w:val="16"/>
          <w:szCs w:val="16"/>
        </w:rPr>
        <w:t>: German Property Partners (GPP)</w:t>
      </w:r>
    </w:p>
    <w:p w14:paraId="58BECB8C" w14:textId="77777777" w:rsidR="008B3C66" w:rsidRDefault="008B3C66" w:rsidP="009743FB">
      <w:pPr>
        <w:spacing w:after="0" w:line="240" w:lineRule="auto"/>
        <w:jc w:val="center"/>
        <w:rPr>
          <w:rFonts w:ascii="Arial" w:hAnsi="Arial" w:cs="Arial"/>
          <w:b/>
          <w:caps/>
          <w:sz w:val="36"/>
          <w:szCs w:val="36"/>
        </w:rPr>
      </w:pPr>
    </w:p>
    <w:p w14:paraId="7523F3F3" w14:textId="2A93A575" w:rsidR="009E0016" w:rsidRDefault="009E0016" w:rsidP="009743FB">
      <w:pPr>
        <w:spacing w:after="0" w:line="240" w:lineRule="auto"/>
        <w:jc w:val="center"/>
        <w:rPr>
          <w:rFonts w:ascii="Arial" w:hAnsi="Arial" w:cs="Arial"/>
          <w:b/>
          <w:caps/>
          <w:sz w:val="36"/>
          <w:szCs w:val="36"/>
        </w:rPr>
      </w:pPr>
      <w:r w:rsidRPr="009743FB">
        <w:rPr>
          <w:rFonts w:ascii="Arial" w:hAnsi="Arial" w:cs="Arial"/>
          <w:b/>
          <w:caps/>
          <w:sz w:val="36"/>
          <w:szCs w:val="36"/>
        </w:rPr>
        <w:t>TOP-7-INVESTMENTMÄRKTE IM DETAIL</w:t>
      </w:r>
    </w:p>
    <w:p w14:paraId="58984CB1" w14:textId="77777777" w:rsidR="009743FB" w:rsidRPr="009743FB" w:rsidRDefault="009743FB" w:rsidP="009743FB">
      <w:pPr>
        <w:spacing w:after="0" w:line="240" w:lineRule="auto"/>
        <w:jc w:val="center"/>
        <w:rPr>
          <w:rFonts w:ascii="Arial" w:hAnsi="Arial" w:cs="Arial"/>
          <w:b/>
          <w:caps/>
          <w:sz w:val="36"/>
          <w:szCs w:val="36"/>
        </w:rPr>
      </w:pPr>
    </w:p>
    <w:p w14:paraId="02AA60B4" w14:textId="77777777" w:rsidR="004C574A" w:rsidRPr="004D02F0" w:rsidRDefault="004C574A" w:rsidP="004C574A">
      <w:pPr>
        <w:spacing w:after="0" w:line="240" w:lineRule="auto"/>
        <w:jc w:val="both"/>
        <w:rPr>
          <w:rFonts w:ascii="Arial" w:hAnsi="Arial" w:cs="Arial"/>
          <w:b/>
          <w:bCs/>
          <w:caps/>
          <w:sz w:val="24"/>
          <w:szCs w:val="24"/>
        </w:rPr>
      </w:pPr>
      <w:r w:rsidRPr="004D02F0">
        <w:rPr>
          <w:rFonts w:ascii="Arial" w:hAnsi="Arial" w:cs="Arial"/>
          <w:b/>
          <w:bCs/>
          <w:caps/>
          <w:sz w:val="24"/>
          <w:szCs w:val="24"/>
        </w:rPr>
        <w:t xml:space="preserve">BERLIN | </w:t>
      </w:r>
      <w:r w:rsidRPr="004D02F0">
        <w:rPr>
          <w:rFonts w:ascii="Arial" w:hAnsi="Arial" w:cs="Arial"/>
          <w:b/>
          <w:bCs/>
          <w:sz w:val="24"/>
          <w:szCs w:val="24"/>
        </w:rPr>
        <w:t>Grossmann &amp; Berger</w:t>
      </w:r>
    </w:p>
    <w:p w14:paraId="6074C3C9" w14:textId="2513F7BA" w:rsidR="001945D9" w:rsidRDefault="00125F9A" w:rsidP="00F3201C">
      <w:pPr>
        <w:pStyle w:val="Listenabsatz"/>
        <w:numPr>
          <w:ilvl w:val="0"/>
          <w:numId w:val="12"/>
        </w:numPr>
        <w:spacing w:after="0" w:line="240" w:lineRule="auto"/>
        <w:jc w:val="both"/>
        <w:rPr>
          <w:rFonts w:ascii="Arial" w:hAnsi="Arial" w:cs="Arial"/>
          <w:sz w:val="20"/>
          <w:szCs w:val="20"/>
        </w:rPr>
      </w:pPr>
      <w:r>
        <w:rPr>
          <w:rFonts w:ascii="Arial" w:hAnsi="Arial" w:cs="Arial"/>
          <w:sz w:val="20"/>
          <w:szCs w:val="20"/>
        </w:rPr>
        <w:t xml:space="preserve">Für Berlin </w:t>
      </w:r>
      <w:r w:rsidR="000E3808">
        <w:rPr>
          <w:rFonts w:ascii="Arial" w:hAnsi="Arial" w:cs="Arial"/>
          <w:sz w:val="20"/>
          <w:szCs w:val="20"/>
        </w:rPr>
        <w:t xml:space="preserve">war </w:t>
      </w:r>
      <w:r>
        <w:rPr>
          <w:rFonts w:ascii="Arial" w:hAnsi="Arial" w:cs="Arial"/>
          <w:sz w:val="20"/>
          <w:szCs w:val="20"/>
        </w:rPr>
        <w:t>20</w:t>
      </w:r>
      <w:r w:rsidR="00A32619">
        <w:rPr>
          <w:rFonts w:ascii="Arial" w:hAnsi="Arial" w:cs="Arial"/>
          <w:sz w:val="20"/>
          <w:szCs w:val="20"/>
        </w:rPr>
        <w:t>19</w:t>
      </w:r>
      <w:r>
        <w:rPr>
          <w:rFonts w:ascii="Arial" w:hAnsi="Arial" w:cs="Arial"/>
          <w:sz w:val="20"/>
          <w:szCs w:val="20"/>
        </w:rPr>
        <w:t xml:space="preserve"> auch im gewerblichen Immobilien-Investmentbereich ein Rekordjahr: Insgesamt wurden 11,12 Mrd. € TAV erzielt. Alleine 32 Deals wurden zu jeweils mehr als 100 Mio. € gezeichnet.</w:t>
      </w:r>
    </w:p>
    <w:p w14:paraId="653F4CE8" w14:textId="159982DB" w:rsidR="001945D9" w:rsidRDefault="00125F9A" w:rsidP="004C574A">
      <w:pPr>
        <w:pStyle w:val="Listenabsatz"/>
        <w:numPr>
          <w:ilvl w:val="0"/>
          <w:numId w:val="12"/>
        </w:numPr>
        <w:spacing w:after="0" w:line="240" w:lineRule="auto"/>
        <w:jc w:val="both"/>
        <w:rPr>
          <w:rFonts w:ascii="Arial" w:hAnsi="Arial" w:cs="Arial"/>
          <w:sz w:val="20"/>
          <w:szCs w:val="20"/>
        </w:rPr>
      </w:pPr>
      <w:r w:rsidRPr="00125F9A">
        <w:rPr>
          <w:rFonts w:ascii="Arial" w:hAnsi="Arial" w:cs="Arial"/>
          <w:sz w:val="20"/>
          <w:szCs w:val="20"/>
        </w:rPr>
        <w:t>Grund für das höhere TAV liegt im Capital Value, also den höheren Quadratmeterpreisen begründet: Lag bei Büroobjekten im Jahr 2014</w:t>
      </w:r>
      <w:r w:rsidR="00A32619">
        <w:rPr>
          <w:rFonts w:ascii="Arial" w:hAnsi="Arial" w:cs="Arial"/>
          <w:sz w:val="20"/>
          <w:szCs w:val="20"/>
        </w:rPr>
        <w:t xml:space="preserve"> bzw. </w:t>
      </w:r>
      <w:r w:rsidRPr="00125F9A">
        <w:rPr>
          <w:rFonts w:ascii="Arial" w:hAnsi="Arial" w:cs="Arial"/>
          <w:sz w:val="20"/>
          <w:szCs w:val="20"/>
        </w:rPr>
        <w:t>2015 der durchschnittlich erzielte Quadratmeterpreis (über das gesamte Berliner Stadtgebiet gesehen)</w:t>
      </w:r>
      <w:r w:rsidR="000E3808">
        <w:rPr>
          <w:rFonts w:ascii="Arial" w:hAnsi="Arial" w:cs="Arial"/>
          <w:sz w:val="20"/>
          <w:szCs w:val="20"/>
        </w:rPr>
        <w:t xml:space="preserve"> </w:t>
      </w:r>
      <w:r w:rsidRPr="00125F9A">
        <w:rPr>
          <w:rFonts w:ascii="Arial" w:hAnsi="Arial" w:cs="Arial"/>
          <w:sz w:val="20"/>
          <w:szCs w:val="20"/>
        </w:rPr>
        <w:t>noch bei rund 2.300</w:t>
      </w:r>
      <w:r w:rsidR="00A32619">
        <w:rPr>
          <w:rFonts w:ascii="Arial" w:hAnsi="Arial" w:cs="Arial"/>
          <w:sz w:val="20"/>
          <w:szCs w:val="20"/>
        </w:rPr>
        <w:t xml:space="preserve"> bzw. </w:t>
      </w:r>
      <w:r w:rsidRPr="00125F9A">
        <w:rPr>
          <w:rFonts w:ascii="Arial" w:hAnsi="Arial" w:cs="Arial"/>
          <w:sz w:val="20"/>
          <w:szCs w:val="20"/>
        </w:rPr>
        <w:t xml:space="preserve">3.000 €, so lag dieser Wert im Jahr 2019 bereits bei etwas über 6.000 €. </w:t>
      </w:r>
      <w:r w:rsidR="00A32619">
        <w:rPr>
          <w:rFonts w:ascii="Arial" w:hAnsi="Arial" w:cs="Arial"/>
          <w:sz w:val="20"/>
          <w:szCs w:val="20"/>
        </w:rPr>
        <w:t>Werttreiber waren hier die deutlich gestiegenen Mieten von durchschnittlich 21,30 €/m²/Monat in 2018 auf 27,60 €/m²/Monat in 2019. Von 2014 bis 2019 betrug der Mietanstieg sogar 109 %.</w:t>
      </w:r>
    </w:p>
    <w:p w14:paraId="19049895" w14:textId="56A57F93" w:rsidR="00125F9A" w:rsidRDefault="00125F9A" w:rsidP="009F48B9">
      <w:pPr>
        <w:pStyle w:val="Listenabsatz"/>
        <w:numPr>
          <w:ilvl w:val="0"/>
          <w:numId w:val="12"/>
        </w:numPr>
        <w:spacing w:after="0" w:line="240" w:lineRule="auto"/>
        <w:jc w:val="both"/>
        <w:rPr>
          <w:rFonts w:ascii="Arial" w:hAnsi="Arial" w:cs="Arial"/>
          <w:sz w:val="20"/>
          <w:szCs w:val="20"/>
        </w:rPr>
      </w:pPr>
      <w:r w:rsidRPr="00125F9A">
        <w:rPr>
          <w:rFonts w:ascii="Arial" w:hAnsi="Arial" w:cs="Arial"/>
          <w:sz w:val="20"/>
          <w:szCs w:val="20"/>
        </w:rPr>
        <w:t>Aufgrund der Zinsentwicklung bei der EZB bleiben auch niedrige Renditen bei Immobilienkäufen attraktiv. Dementsprechend ist die Rendite auf nunmehr 2,7 % (von 3,0 % 2018) gesunken.</w:t>
      </w:r>
    </w:p>
    <w:p w14:paraId="7D044235" w14:textId="742B3241" w:rsidR="00125F9A" w:rsidRDefault="00125F9A" w:rsidP="00100F33">
      <w:pPr>
        <w:pStyle w:val="Listenabsatz"/>
        <w:numPr>
          <w:ilvl w:val="0"/>
          <w:numId w:val="12"/>
        </w:numPr>
        <w:spacing w:after="0" w:line="240" w:lineRule="auto"/>
        <w:jc w:val="both"/>
        <w:rPr>
          <w:rFonts w:ascii="Arial" w:hAnsi="Arial" w:cs="Arial"/>
          <w:sz w:val="20"/>
          <w:szCs w:val="20"/>
        </w:rPr>
      </w:pPr>
      <w:r w:rsidRPr="00125F9A">
        <w:rPr>
          <w:rFonts w:ascii="Arial" w:hAnsi="Arial" w:cs="Arial"/>
          <w:sz w:val="20"/>
          <w:szCs w:val="20"/>
        </w:rPr>
        <w:t xml:space="preserve">Prognose für 2020: Für das kommende Jahr kann mit einem TAV in Höhe von </w:t>
      </w:r>
      <w:r w:rsidR="00A32619">
        <w:rPr>
          <w:rFonts w:ascii="Arial" w:hAnsi="Arial" w:cs="Arial"/>
          <w:sz w:val="20"/>
          <w:szCs w:val="20"/>
        </w:rPr>
        <w:t>rund</w:t>
      </w:r>
      <w:r w:rsidRPr="00125F9A">
        <w:rPr>
          <w:rFonts w:ascii="Arial" w:hAnsi="Arial" w:cs="Arial"/>
          <w:sz w:val="20"/>
          <w:szCs w:val="20"/>
        </w:rPr>
        <w:t xml:space="preserve"> 8,0 Mrd. € ausgegangen werden</w:t>
      </w:r>
      <w:r w:rsidR="00A32619">
        <w:rPr>
          <w:rFonts w:ascii="Arial" w:hAnsi="Arial" w:cs="Arial"/>
          <w:sz w:val="20"/>
          <w:szCs w:val="20"/>
        </w:rPr>
        <w:t>.</w:t>
      </w:r>
    </w:p>
    <w:p w14:paraId="38718F77" w14:textId="77777777" w:rsidR="002412AD" w:rsidRDefault="002412AD" w:rsidP="002412AD">
      <w:pPr>
        <w:pStyle w:val="Listenabsatz"/>
        <w:spacing w:after="0" w:line="240" w:lineRule="auto"/>
        <w:ind w:left="360"/>
        <w:jc w:val="both"/>
        <w:rPr>
          <w:rFonts w:ascii="Arial" w:hAnsi="Arial" w:cs="Arial"/>
          <w:sz w:val="20"/>
          <w:szCs w:val="20"/>
        </w:rPr>
      </w:pPr>
    </w:p>
    <w:p w14:paraId="673913BE" w14:textId="77777777" w:rsidR="002412AD" w:rsidRPr="004D02F0" w:rsidRDefault="002412AD" w:rsidP="002412AD">
      <w:pPr>
        <w:spacing w:after="0" w:line="240" w:lineRule="auto"/>
        <w:jc w:val="both"/>
        <w:rPr>
          <w:rFonts w:ascii="Arial" w:hAnsi="Arial" w:cs="Arial"/>
          <w:b/>
          <w:bCs/>
          <w:sz w:val="24"/>
          <w:szCs w:val="24"/>
        </w:rPr>
      </w:pPr>
      <w:r w:rsidRPr="004D02F0">
        <w:rPr>
          <w:rFonts w:ascii="Arial" w:hAnsi="Arial" w:cs="Arial"/>
          <w:b/>
          <w:bCs/>
          <w:caps/>
          <w:sz w:val="24"/>
          <w:szCs w:val="24"/>
        </w:rPr>
        <w:t xml:space="preserve">München | </w:t>
      </w:r>
      <w:r w:rsidRPr="004D02F0">
        <w:rPr>
          <w:rFonts w:ascii="Arial" w:hAnsi="Arial" w:cs="Arial"/>
          <w:b/>
          <w:bCs/>
          <w:sz w:val="24"/>
          <w:szCs w:val="24"/>
        </w:rPr>
        <w:t>E &amp; G Real Estate</w:t>
      </w:r>
    </w:p>
    <w:p w14:paraId="13B74062" w14:textId="77777777" w:rsidR="002412AD" w:rsidRDefault="002412AD" w:rsidP="002412AD">
      <w:pPr>
        <w:pStyle w:val="Listenabsatz"/>
        <w:numPr>
          <w:ilvl w:val="0"/>
          <w:numId w:val="12"/>
        </w:numPr>
        <w:spacing w:after="0" w:line="240" w:lineRule="auto"/>
        <w:jc w:val="both"/>
        <w:rPr>
          <w:rFonts w:ascii="Arial" w:hAnsi="Arial" w:cs="Arial"/>
          <w:sz w:val="20"/>
          <w:szCs w:val="20"/>
        </w:rPr>
      </w:pPr>
      <w:r>
        <w:rPr>
          <w:rFonts w:ascii="Arial" w:hAnsi="Arial" w:cs="Arial"/>
          <w:sz w:val="20"/>
          <w:szCs w:val="20"/>
        </w:rPr>
        <w:t xml:space="preserve">Rekord an der Isar! Das TAV lag 2019 bei rund 9,79 Mrd. €. Das macht ein Plus von 57 % im Vergleich zum Vorjahr und ein Allzeithoch. Alleine im vierten Quartal wurden rund fünf Mrd. € erzielt. </w:t>
      </w:r>
    </w:p>
    <w:p w14:paraId="782DB9B4" w14:textId="3B36B7EB" w:rsidR="002412AD" w:rsidRPr="004D02F0" w:rsidRDefault="002412AD" w:rsidP="002412AD">
      <w:pPr>
        <w:pStyle w:val="Listenabsatz"/>
        <w:numPr>
          <w:ilvl w:val="0"/>
          <w:numId w:val="12"/>
        </w:numPr>
        <w:spacing w:after="0" w:line="240" w:lineRule="auto"/>
        <w:jc w:val="both"/>
        <w:rPr>
          <w:rFonts w:ascii="Arial" w:hAnsi="Arial" w:cs="Arial"/>
          <w:sz w:val="20"/>
          <w:szCs w:val="20"/>
        </w:rPr>
      </w:pPr>
      <w:r>
        <w:rPr>
          <w:rFonts w:ascii="Arial" w:hAnsi="Arial" w:cs="Arial"/>
          <w:sz w:val="20"/>
          <w:szCs w:val="20"/>
        </w:rPr>
        <w:t>Die Spitzenrenditen sind im Jahresverlauf bisher nochmal leicht gesunken, stagnieren aber auf einem niedrigen Niveau. Bei Büro-Immobilien liegt sie bei 2,60</w:t>
      </w:r>
      <w:r w:rsidR="002E1FBD">
        <w:rPr>
          <w:rFonts w:ascii="Arial" w:hAnsi="Arial" w:cs="Arial"/>
          <w:sz w:val="20"/>
          <w:szCs w:val="20"/>
        </w:rPr>
        <w:t xml:space="preserve"> %</w:t>
      </w:r>
      <w:r>
        <w:rPr>
          <w:rFonts w:ascii="Arial" w:hAnsi="Arial" w:cs="Arial"/>
          <w:sz w:val="20"/>
          <w:szCs w:val="20"/>
        </w:rPr>
        <w:t xml:space="preserve"> (- 0,25 Prozentpunkte).</w:t>
      </w:r>
    </w:p>
    <w:p w14:paraId="043F31B6" w14:textId="5E4E6279" w:rsidR="002412AD" w:rsidRDefault="002412AD" w:rsidP="009B041C">
      <w:pPr>
        <w:pStyle w:val="Listenabsatz"/>
        <w:numPr>
          <w:ilvl w:val="0"/>
          <w:numId w:val="12"/>
        </w:numPr>
        <w:spacing w:after="0" w:line="240" w:lineRule="auto"/>
        <w:jc w:val="both"/>
        <w:rPr>
          <w:rFonts w:ascii="Arial" w:hAnsi="Arial" w:cs="Arial"/>
          <w:sz w:val="20"/>
          <w:szCs w:val="20"/>
        </w:rPr>
      </w:pPr>
      <w:r w:rsidRPr="002412AD">
        <w:rPr>
          <w:rFonts w:ascii="Arial" w:hAnsi="Arial" w:cs="Arial"/>
          <w:sz w:val="20"/>
          <w:szCs w:val="20"/>
        </w:rPr>
        <w:t>Prognose für 2020: Auch 2020 werden Investoren ungebremst nach Anlagemöglichkeiten suchen.</w:t>
      </w:r>
      <w:r>
        <w:rPr>
          <w:rFonts w:ascii="Arial" w:hAnsi="Arial" w:cs="Arial"/>
          <w:sz w:val="20"/>
          <w:szCs w:val="20"/>
        </w:rPr>
        <w:t xml:space="preserve"> </w:t>
      </w:r>
      <w:r w:rsidRPr="002412AD">
        <w:rPr>
          <w:rFonts w:ascii="Arial" w:hAnsi="Arial" w:cs="Arial"/>
          <w:sz w:val="20"/>
          <w:szCs w:val="20"/>
        </w:rPr>
        <w:t>Letztlich wird die Produktseite das TAV „bremsen“. Die ein oder andere großvolumige Transaktion hat es auch dieses Jahr zum Jahreswechsel nicht geschafft und soll in den nächsten Wochen/Monaten gezeichnet werden.</w:t>
      </w:r>
    </w:p>
    <w:p w14:paraId="0024926E" w14:textId="1D6C4F93" w:rsidR="00CE5789" w:rsidRDefault="00CE5789" w:rsidP="00CE5789">
      <w:pPr>
        <w:spacing w:after="0" w:line="240" w:lineRule="auto"/>
        <w:jc w:val="both"/>
        <w:rPr>
          <w:rFonts w:ascii="Arial" w:hAnsi="Arial" w:cs="Arial"/>
          <w:sz w:val="20"/>
          <w:szCs w:val="20"/>
        </w:rPr>
      </w:pPr>
    </w:p>
    <w:p w14:paraId="5F356AA8" w14:textId="77777777" w:rsidR="00CE5789" w:rsidRPr="00CE5789" w:rsidRDefault="00CE5789" w:rsidP="00CE5789">
      <w:pPr>
        <w:spacing w:after="0" w:line="240" w:lineRule="auto"/>
        <w:jc w:val="both"/>
        <w:rPr>
          <w:rFonts w:ascii="Arial" w:hAnsi="Arial" w:cs="Arial"/>
          <w:sz w:val="20"/>
          <w:szCs w:val="20"/>
        </w:rPr>
      </w:pPr>
    </w:p>
    <w:p w14:paraId="1A295FD1" w14:textId="429E7B0E" w:rsidR="004F2836" w:rsidRDefault="001945D9" w:rsidP="004F2836">
      <w:pPr>
        <w:spacing w:after="0" w:line="240" w:lineRule="auto"/>
        <w:jc w:val="both"/>
        <w:rPr>
          <w:rFonts w:ascii="Arial" w:hAnsi="Arial" w:cs="Arial"/>
          <w:b/>
          <w:sz w:val="20"/>
          <w:szCs w:val="20"/>
        </w:rPr>
      </w:pPr>
      <w:r w:rsidRPr="001945D9">
        <w:rPr>
          <w:rFonts w:ascii="Arial" w:hAnsi="Arial" w:cs="Arial"/>
          <w:sz w:val="20"/>
          <w:szCs w:val="20"/>
        </w:rPr>
        <w:tab/>
      </w:r>
      <w:r w:rsidRPr="001945D9">
        <w:rPr>
          <w:rFonts w:ascii="Arial" w:hAnsi="Arial" w:cs="Arial"/>
          <w:sz w:val="20"/>
          <w:szCs w:val="20"/>
        </w:rPr>
        <w:tab/>
      </w:r>
    </w:p>
    <w:p w14:paraId="29818A99" w14:textId="77777777" w:rsidR="004C574A" w:rsidRDefault="004C574A" w:rsidP="004C574A">
      <w:pPr>
        <w:spacing w:after="0" w:line="240" w:lineRule="auto"/>
        <w:jc w:val="both"/>
        <w:rPr>
          <w:b/>
          <w:bCs/>
          <w:sz w:val="24"/>
          <w:szCs w:val="24"/>
        </w:rPr>
      </w:pPr>
      <w:r>
        <w:rPr>
          <w:rFonts w:ascii="Arial" w:hAnsi="Arial" w:cs="Arial"/>
          <w:b/>
          <w:bCs/>
          <w:caps/>
          <w:sz w:val="24"/>
          <w:szCs w:val="24"/>
        </w:rPr>
        <w:t xml:space="preserve">KÖLN | </w:t>
      </w:r>
      <w:r>
        <w:rPr>
          <w:rFonts w:ascii="Arial" w:hAnsi="Arial" w:cs="Arial"/>
          <w:b/>
          <w:bCs/>
          <w:sz w:val="24"/>
          <w:szCs w:val="24"/>
        </w:rPr>
        <w:t>GREIF &amp; CONTZEN Immobilien</w:t>
      </w:r>
    </w:p>
    <w:p w14:paraId="4DEE38A3" w14:textId="77777777" w:rsidR="00214705" w:rsidRDefault="00214705" w:rsidP="00E6664C">
      <w:pPr>
        <w:pStyle w:val="Listenabsatz"/>
        <w:numPr>
          <w:ilvl w:val="0"/>
          <w:numId w:val="12"/>
        </w:numPr>
        <w:spacing w:after="0" w:line="240" w:lineRule="auto"/>
        <w:jc w:val="both"/>
        <w:rPr>
          <w:rFonts w:ascii="Arial" w:hAnsi="Arial" w:cs="Arial"/>
          <w:sz w:val="20"/>
          <w:szCs w:val="20"/>
        </w:rPr>
      </w:pPr>
      <w:r w:rsidRPr="00214705">
        <w:rPr>
          <w:rFonts w:ascii="Arial" w:hAnsi="Arial" w:cs="Arial"/>
          <w:sz w:val="20"/>
          <w:szCs w:val="20"/>
        </w:rPr>
        <w:t>Mit einem Transaktionsvolumen von rund 3,1 Mrd. € wurde 2019 ein neuer Rekord auf dem Kölner Investmentmarkt für Gewerbeimmobilien erreicht. Der bisherige Rekord von 2,3 Mrd. € aus 2017 wurde um etwa 35 % übertroffen. Gegenüber 2018 beträgt die Zunahme sogar 48 %. Mehr als die Hälfte des gesamten Kapitals wurde allein im vierten Quartal investiert.</w:t>
      </w:r>
    </w:p>
    <w:p w14:paraId="420FF005" w14:textId="7213F206" w:rsidR="00E6664C" w:rsidRDefault="00214705" w:rsidP="00E6664C">
      <w:pPr>
        <w:pStyle w:val="Listenabsatz"/>
        <w:numPr>
          <w:ilvl w:val="0"/>
          <w:numId w:val="12"/>
        </w:numPr>
        <w:spacing w:after="0" w:line="240" w:lineRule="auto"/>
        <w:jc w:val="both"/>
        <w:rPr>
          <w:rFonts w:ascii="Arial" w:hAnsi="Arial" w:cs="Arial"/>
          <w:sz w:val="20"/>
          <w:szCs w:val="20"/>
        </w:rPr>
      </w:pPr>
      <w:r w:rsidRPr="00214705">
        <w:rPr>
          <w:rFonts w:ascii="Arial" w:hAnsi="Arial" w:cs="Arial"/>
          <w:sz w:val="20"/>
          <w:szCs w:val="20"/>
        </w:rPr>
        <w:t>Im Jahresverlauf haben die Spitzenrenditen für Büro- und Logistikimmobilien nochmals leicht nachgegeben. Sie befinden sich nun bei 3,1 %, bzw. 4,1 %. Insbesondere im Bürosegment wirkten sich zudem die steigenden Mieten positiv auf die Kaufpreise aus.</w:t>
      </w:r>
    </w:p>
    <w:p w14:paraId="46928AE4" w14:textId="555938FE" w:rsidR="00214705" w:rsidRDefault="00214705" w:rsidP="00A1413F">
      <w:pPr>
        <w:pStyle w:val="Listenabsatz"/>
        <w:numPr>
          <w:ilvl w:val="0"/>
          <w:numId w:val="12"/>
        </w:numPr>
        <w:spacing w:after="0" w:line="240" w:lineRule="auto"/>
        <w:jc w:val="both"/>
        <w:rPr>
          <w:rFonts w:ascii="Arial" w:hAnsi="Arial" w:cs="Arial"/>
          <w:sz w:val="20"/>
          <w:szCs w:val="20"/>
        </w:rPr>
      </w:pPr>
      <w:r w:rsidRPr="00214705">
        <w:rPr>
          <w:rFonts w:ascii="Arial" w:hAnsi="Arial" w:cs="Arial"/>
          <w:sz w:val="20"/>
          <w:szCs w:val="20"/>
        </w:rPr>
        <w:t>Prognose für 2020: Die Rahmenbedingungen am Kapitalmarkt befeuern weiterhin die Immobilieninvestmentmärkte.</w:t>
      </w:r>
      <w:r>
        <w:rPr>
          <w:rFonts w:ascii="Arial" w:hAnsi="Arial" w:cs="Arial"/>
          <w:sz w:val="20"/>
          <w:szCs w:val="20"/>
        </w:rPr>
        <w:t xml:space="preserve"> </w:t>
      </w:r>
      <w:r w:rsidRPr="00214705">
        <w:rPr>
          <w:rFonts w:ascii="Arial" w:hAnsi="Arial" w:cs="Arial"/>
          <w:sz w:val="20"/>
          <w:szCs w:val="20"/>
        </w:rPr>
        <w:t>Insofern wird die Investoren</w:t>
      </w:r>
      <w:r>
        <w:rPr>
          <w:rFonts w:ascii="Arial" w:hAnsi="Arial" w:cs="Arial"/>
          <w:sz w:val="20"/>
          <w:szCs w:val="20"/>
        </w:rPr>
        <w:t>n</w:t>
      </w:r>
      <w:r w:rsidRPr="00214705">
        <w:rPr>
          <w:rFonts w:ascii="Arial" w:hAnsi="Arial" w:cs="Arial"/>
          <w:sz w:val="20"/>
          <w:szCs w:val="20"/>
        </w:rPr>
        <w:t>achfrage 2020 unvermindert groß sein. Abhängig vom Produktangebot könnte ein Transaktionsvolumen in einem Bereich um 2,3 Mrd. € erzielt werden.</w:t>
      </w:r>
    </w:p>
    <w:p w14:paraId="5AEC5957" w14:textId="02CEBCF7" w:rsidR="002412AD" w:rsidRDefault="002412AD" w:rsidP="002412AD">
      <w:pPr>
        <w:spacing w:after="0" w:line="240" w:lineRule="auto"/>
        <w:jc w:val="both"/>
        <w:rPr>
          <w:rFonts w:ascii="Arial" w:hAnsi="Arial" w:cs="Arial"/>
          <w:sz w:val="20"/>
          <w:szCs w:val="20"/>
        </w:rPr>
      </w:pPr>
    </w:p>
    <w:p w14:paraId="73FC2CFC" w14:textId="77777777" w:rsidR="002412AD" w:rsidRPr="004D02F0" w:rsidRDefault="002412AD" w:rsidP="002412AD">
      <w:pPr>
        <w:spacing w:after="0" w:line="240" w:lineRule="auto"/>
        <w:jc w:val="both"/>
        <w:rPr>
          <w:rFonts w:ascii="Arial" w:hAnsi="Arial" w:cs="Arial"/>
          <w:b/>
          <w:bCs/>
          <w:caps/>
          <w:sz w:val="24"/>
          <w:szCs w:val="24"/>
        </w:rPr>
      </w:pPr>
      <w:r w:rsidRPr="004D02F0">
        <w:rPr>
          <w:rFonts w:ascii="Arial" w:hAnsi="Arial" w:cs="Arial"/>
          <w:b/>
          <w:bCs/>
          <w:caps/>
          <w:sz w:val="24"/>
          <w:szCs w:val="24"/>
        </w:rPr>
        <w:t xml:space="preserve">DÜSSELDORF </w:t>
      </w:r>
      <w:r w:rsidRPr="004D02F0">
        <w:rPr>
          <w:rFonts w:ascii="Arial" w:hAnsi="Arial" w:cs="Arial"/>
          <w:b/>
          <w:bCs/>
          <w:sz w:val="24"/>
          <w:szCs w:val="24"/>
        </w:rPr>
        <w:t>| Anteon</w:t>
      </w:r>
    </w:p>
    <w:p w14:paraId="2C56BA81" w14:textId="77777777" w:rsidR="002412AD" w:rsidRPr="00D814F1" w:rsidRDefault="002412AD" w:rsidP="002412AD">
      <w:pPr>
        <w:pStyle w:val="Listenabsatz"/>
        <w:numPr>
          <w:ilvl w:val="0"/>
          <w:numId w:val="12"/>
        </w:numPr>
        <w:spacing w:after="0" w:line="240" w:lineRule="auto"/>
        <w:jc w:val="both"/>
        <w:rPr>
          <w:rFonts w:ascii="Arial" w:hAnsi="Arial" w:cs="Arial"/>
          <w:sz w:val="20"/>
          <w:szCs w:val="20"/>
        </w:rPr>
      </w:pPr>
      <w:r w:rsidRPr="00D814F1">
        <w:rPr>
          <w:rFonts w:ascii="Arial" w:hAnsi="Arial" w:cs="Arial"/>
          <w:sz w:val="20"/>
          <w:szCs w:val="20"/>
        </w:rPr>
        <w:t xml:space="preserve">Der Düsseldorfer Gewerbeimmobilienmarkt </w:t>
      </w:r>
      <w:r>
        <w:rPr>
          <w:rFonts w:ascii="Arial" w:hAnsi="Arial" w:cs="Arial"/>
          <w:sz w:val="20"/>
          <w:szCs w:val="20"/>
        </w:rPr>
        <w:t>erreicht im</w:t>
      </w:r>
      <w:r w:rsidRPr="00D814F1">
        <w:rPr>
          <w:rFonts w:ascii="Arial" w:hAnsi="Arial" w:cs="Arial"/>
          <w:sz w:val="20"/>
          <w:szCs w:val="20"/>
        </w:rPr>
        <w:t xml:space="preserve"> vierte</w:t>
      </w:r>
      <w:r>
        <w:rPr>
          <w:rFonts w:ascii="Arial" w:hAnsi="Arial" w:cs="Arial"/>
          <w:sz w:val="20"/>
          <w:szCs w:val="20"/>
        </w:rPr>
        <w:t>n</w:t>
      </w:r>
      <w:r w:rsidRPr="00D814F1">
        <w:rPr>
          <w:rFonts w:ascii="Arial" w:hAnsi="Arial" w:cs="Arial"/>
          <w:sz w:val="20"/>
          <w:szCs w:val="20"/>
        </w:rPr>
        <w:t xml:space="preserve"> Jahr in Folge </w:t>
      </w:r>
      <w:r>
        <w:rPr>
          <w:rFonts w:ascii="Arial" w:hAnsi="Arial" w:cs="Arial"/>
          <w:sz w:val="20"/>
          <w:szCs w:val="20"/>
        </w:rPr>
        <w:t>ein sehr hohes TAV mit 3,25 Mrd. € (-15 % gegenüber 2018).</w:t>
      </w:r>
      <w:r w:rsidRPr="00D814F1">
        <w:rPr>
          <w:rFonts w:ascii="Arial" w:hAnsi="Arial" w:cs="Arial"/>
          <w:sz w:val="20"/>
          <w:szCs w:val="20"/>
        </w:rPr>
        <w:t xml:space="preserve"> Somit wurde das zweitbeste Ergebnis seit Erfassung des Düsseldorfer Gewerbeimmobilienmarktes </w:t>
      </w:r>
      <w:r>
        <w:rPr>
          <w:rFonts w:ascii="Arial" w:hAnsi="Arial" w:cs="Arial"/>
          <w:sz w:val="20"/>
          <w:szCs w:val="20"/>
        </w:rPr>
        <w:t>erzielt</w:t>
      </w:r>
      <w:r w:rsidRPr="00D814F1">
        <w:rPr>
          <w:rFonts w:ascii="Arial" w:hAnsi="Arial" w:cs="Arial"/>
          <w:sz w:val="20"/>
          <w:szCs w:val="20"/>
        </w:rPr>
        <w:t xml:space="preserve">. </w:t>
      </w:r>
    </w:p>
    <w:p w14:paraId="163DC38D" w14:textId="77777777" w:rsidR="002412AD" w:rsidRPr="00D814F1" w:rsidRDefault="002412AD" w:rsidP="002412AD">
      <w:pPr>
        <w:pStyle w:val="Listenabsatz"/>
        <w:numPr>
          <w:ilvl w:val="0"/>
          <w:numId w:val="12"/>
        </w:numPr>
        <w:spacing w:after="0" w:line="240" w:lineRule="auto"/>
        <w:jc w:val="both"/>
        <w:rPr>
          <w:rFonts w:ascii="Arial" w:hAnsi="Arial" w:cs="Arial"/>
          <w:sz w:val="20"/>
          <w:szCs w:val="20"/>
        </w:rPr>
      </w:pPr>
      <w:r w:rsidRPr="00D814F1">
        <w:rPr>
          <w:rFonts w:ascii="Arial" w:hAnsi="Arial" w:cs="Arial"/>
          <w:sz w:val="20"/>
          <w:szCs w:val="20"/>
        </w:rPr>
        <w:t xml:space="preserve">Eine weiterhin enorme Nachfrage nach Immobilienprodukten führt zu Höchstpreisen und viel Bewegung </w:t>
      </w:r>
      <w:r>
        <w:rPr>
          <w:rFonts w:ascii="Arial" w:hAnsi="Arial" w:cs="Arial"/>
          <w:sz w:val="20"/>
          <w:szCs w:val="20"/>
        </w:rPr>
        <w:t>am</w:t>
      </w:r>
      <w:r w:rsidRPr="00D814F1">
        <w:rPr>
          <w:rFonts w:ascii="Arial" w:hAnsi="Arial" w:cs="Arial"/>
          <w:sz w:val="20"/>
          <w:szCs w:val="20"/>
        </w:rPr>
        <w:t xml:space="preserve"> Markt: </w:t>
      </w:r>
      <w:r>
        <w:rPr>
          <w:rFonts w:ascii="Arial" w:hAnsi="Arial" w:cs="Arial"/>
          <w:sz w:val="20"/>
          <w:szCs w:val="20"/>
        </w:rPr>
        <w:t>I</w:t>
      </w:r>
      <w:r w:rsidRPr="00D814F1">
        <w:rPr>
          <w:rFonts w:ascii="Arial" w:hAnsi="Arial" w:cs="Arial"/>
          <w:sz w:val="20"/>
          <w:szCs w:val="20"/>
        </w:rPr>
        <w:t>nsgesamt wurden 80 Transaktionen gezählt.</w:t>
      </w:r>
      <w:r>
        <w:rPr>
          <w:rFonts w:ascii="Arial" w:hAnsi="Arial" w:cs="Arial"/>
          <w:sz w:val="20"/>
          <w:szCs w:val="20"/>
        </w:rPr>
        <w:t xml:space="preserve"> </w:t>
      </w:r>
      <w:r w:rsidRPr="00D814F1">
        <w:rPr>
          <w:rFonts w:ascii="Arial" w:hAnsi="Arial" w:cs="Arial"/>
          <w:sz w:val="20"/>
          <w:szCs w:val="20"/>
        </w:rPr>
        <w:t>Allein im vierten Quartal wurden 49 % aller Transaktionen getätigt.</w:t>
      </w:r>
    </w:p>
    <w:p w14:paraId="31712EF9" w14:textId="77777777" w:rsidR="002412AD" w:rsidRDefault="002412AD" w:rsidP="00915704">
      <w:pPr>
        <w:pStyle w:val="Listenabsatz"/>
        <w:numPr>
          <w:ilvl w:val="0"/>
          <w:numId w:val="12"/>
        </w:numPr>
        <w:spacing w:after="0" w:line="240" w:lineRule="auto"/>
        <w:jc w:val="both"/>
        <w:rPr>
          <w:rFonts w:ascii="Arial" w:hAnsi="Arial" w:cs="Arial"/>
          <w:sz w:val="20"/>
          <w:szCs w:val="20"/>
        </w:rPr>
      </w:pPr>
      <w:r w:rsidRPr="002412AD">
        <w:rPr>
          <w:rFonts w:ascii="Arial" w:hAnsi="Arial" w:cs="Arial"/>
          <w:sz w:val="20"/>
          <w:szCs w:val="20"/>
        </w:rPr>
        <w:t>Die sehr niedrige Netto-Spitzenrendite für Büroimmobilien stagniert bei 3,0 %. Bei Geschäftshäusern steigt sie leicht von 3,0 % in 2018 auf 3,1 %.</w:t>
      </w:r>
      <w:r w:rsidRPr="002412AD">
        <w:rPr>
          <w:rFonts w:ascii="Arial" w:hAnsi="Arial" w:cs="Arial"/>
          <w:sz w:val="20"/>
          <w:szCs w:val="20"/>
        </w:rPr>
        <w:tab/>
      </w:r>
    </w:p>
    <w:p w14:paraId="5033F2F3" w14:textId="61811E38" w:rsidR="002412AD" w:rsidRPr="002412AD" w:rsidRDefault="002412AD" w:rsidP="00915704">
      <w:pPr>
        <w:pStyle w:val="Listenabsatz"/>
        <w:numPr>
          <w:ilvl w:val="0"/>
          <w:numId w:val="12"/>
        </w:numPr>
        <w:spacing w:after="0" w:line="240" w:lineRule="auto"/>
        <w:jc w:val="both"/>
        <w:rPr>
          <w:rFonts w:ascii="Arial" w:hAnsi="Arial" w:cs="Arial"/>
          <w:sz w:val="20"/>
          <w:szCs w:val="20"/>
        </w:rPr>
      </w:pPr>
      <w:r w:rsidRPr="002412AD">
        <w:rPr>
          <w:rFonts w:ascii="Arial" w:hAnsi="Arial" w:cs="Arial"/>
          <w:sz w:val="20"/>
          <w:szCs w:val="20"/>
        </w:rPr>
        <w:t xml:space="preserve">Prognose für 2020: Das dynamische Marktgeschehen wird sich auch im Jahr 2020 fortsetzen, das TAV wird deshalb stabil bleiben. Die Nachfrage ist ungebremst hoch. Eine Reihe weiterer großer Abschlüsse befindet sich in konkreten Verhandlungen. Ein leichter Renditerückgang für das kommende Jahr ist möglich.          </w:t>
      </w:r>
    </w:p>
    <w:p w14:paraId="2826C302" w14:textId="77777777" w:rsidR="00214705" w:rsidRPr="00214705" w:rsidRDefault="00214705" w:rsidP="00214705">
      <w:pPr>
        <w:spacing w:after="0" w:line="240" w:lineRule="auto"/>
        <w:jc w:val="both"/>
        <w:rPr>
          <w:rFonts w:ascii="Arial" w:hAnsi="Arial" w:cs="Arial"/>
          <w:sz w:val="20"/>
          <w:szCs w:val="20"/>
        </w:rPr>
      </w:pPr>
    </w:p>
    <w:p w14:paraId="23C2627A" w14:textId="77777777" w:rsidR="00E6664C" w:rsidRPr="004D02F0" w:rsidRDefault="00E6664C" w:rsidP="00E6664C">
      <w:pPr>
        <w:spacing w:after="0" w:line="240" w:lineRule="auto"/>
        <w:jc w:val="both"/>
        <w:rPr>
          <w:rFonts w:ascii="Arial" w:hAnsi="Arial" w:cs="Arial"/>
          <w:b/>
          <w:bCs/>
          <w:caps/>
          <w:sz w:val="24"/>
          <w:szCs w:val="24"/>
        </w:rPr>
      </w:pPr>
      <w:r w:rsidRPr="004D02F0">
        <w:rPr>
          <w:rFonts w:ascii="Arial" w:hAnsi="Arial" w:cs="Arial"/>
          <w:b/>
          <w:bCs/>
          <w:caps/>
          <w:sz w:val="24"/>
          <w:szCs w:val="24"/>
        </w:rPr>
        <w:t xml:space="preserve">STUTTGART | </w:t>
      </w:r>
      <w:r w:rsidRPr="004D02F0">
        <w:rPr>
          <w:rFonts w:ascii="Arial" w:hAnsi="Arial" w:cs="Arial"/>
          <w:b/>
          <w:bCs/>
          <w:sz w:val="24"/>
          <w:szCs w:val="24"/>
        </w:rPr>
        <w:t>E &amp; G Real Estate</w:t>
      </w:r>
    </w:p>
    <w:p w14:paraId="5EAF9EE8" w14:textId="3D3DC4BB" w:rsidR="005F42A9" w:rsidRDefault="005F42A9" w:rsidP="00E6664C">
      <w:pPr>
        <w:pStyle w:val="Listenabsatz"/>
        <w:numPr>
          <w:ilvl w:val="0"/>
          <w:numId w:val="12"/>
        </w:numPr>
        <w:spacing w:after="0" w:line="240" w:lineRule="auto"/>
        <w:jc w:val="both"/>
        <w:rPr>
          <w:rFonts w:ascii="Arial" w:hAnsi="Arial" w:cs="Arial"/>
          <w:sz w:val="20"/>
          <w:szCs w:val="20"/>
        </w:rPr>
      </w:pPr>
      <w:r w:rsidRPr="005F42A9">
        <w:rPr>
          <w:rFonts w:ascii="Arial" w:hAnsi="Arial" w:cs="Arial"/>
          <w:sz w:val="20"/>
          <w:szCs w:val="20"/>
        </w:rPr>
        <w:t xml:space="preserve">Der Stuttgarter Immobilien-Investmentmarkt hat mit einem überdurchschnittlich guten Jahr abgeschlossen. Mit einem ordentlichen </w:t>
      </w:r>
      <w:r>
        <w:rPr>
          <w:rFonts w:ascii="Arial" w:hAnsi="Arial" w:cs="Arial"/>
          <w:sz w:val="20"/>
          <w:szCs w:val="20"/>
        </w:rPr>
        <w:t>vierten</w:t>
      </w:r>
      <w:r w:rsidRPr="005F42A9">
        <w:rPr>
          <w:rFonts w:ascii="Arial" w:hAnsi="Arial" w:cs="Arial"/>
          <w:sz w:val="20"/>
          <w:szCs w:val="20"/>
        </w:rPr>
        <w:t xml:space="preserve"> Quartal</w:t>
      </w:r>
      <w:r w:rsidR="000E3808">
        <w:rPr>
          <w:rFonts w:ascii="Arial" w:hAnsi="Arial" w:cs="Arial"/>
          <w:sz w:val="20"/>
          <w:szCs w:val="20"/>
        </w:rPr>
        <w:t>,</w:t>
      </w:r>
      <w:r w:rsidRPr="005F42A9">
        <w:rPr>
          <w:rFonts w:ascii="Arial" w:hAnsi="Arial" w:cs="Arial"/>
          <w:sz w:val="20"/>
          <w:szCs w:val="20"/>
        </w:rPr>
        <w:t xml:space="preserve"> in dem rund 530 Mi</w:t>
      </w:r>
      <w:r>
        <w:rPr>
          <w:rFonts w:ascii="Arial" w:hAnsi="Arial" w:cs="Arial"/>
          <w:sz w:val="20"/>
          <w:szCs w:val="20"/>
        </w:rPr>
        <w:t>o.</w:t>
      </w:r>
      <w:r w:rsidRPr="005F42A9">
        <w:rPr>
          <w:rFonts w:ascii="Arial" w:hAnsi="Arial" w:cs="Arial"/>
          <w:sz w:val="20"/>
          <w:szCs w:val="20"/>
        </w:rPr>
        <w:t xml:space="preserve"> </w:t>
      </w:r>
      <w:r>
        <w:rPr>
          <w:rFonts w:ascii="Arial" w:hAnsi="Arial" w:cs="Arial"/>
          <w:sz w:val="20"/>
          <w:szCs w:val="20"/>
        </w:rPr>
        <w:t>€</w:t>
      </w:r>
      <w:r w:rsidRPr="005F42A9">
        <w:rPr>
          <w:rFonts w:ascii="Arial" w:hAnsi="Arial" w:cs="Arial"/>
          <w:sz w:val="20"/>
          <w:szCs w:val="20"/>
        </w:rPr>
        <w:t xml:space="preserve"> verzeichnet werden konnten, erhöhte sich das Transaktionsvolumen 2019 auf 1,77 M</w:t>
      </w:r>
      <w:r>
        <w:rPr>
          <w:rFonts w:ascii="Arial" w:hAnsi="Arial" w:cs="Arial"/>
          <w:sz w:val="20"/>
          <w:szCs w:val="20"/>
        </w:rPr>
        <w:t>rd.</w:t>
      </w:r>
      <w:r w:rsidRPr="005F42A9">
        <w:rPr>
          <w:rFonts w:ascii="Arial" w:hAnsi="Arial" w:cs="Arial"/>
          <w:sz w:val="20"/>
          <w:szCs w:val="20"/>
        </w:rPr>
        <w:t xml:space="preserve"> </w:t>
      </w:r>
      <w:r>
        <w:rPr>
          <w:rFonts w:ascii="Arial" w:hAnsi="Arial" w:cs="Arial"/>
          <w:sz w:val="20"/>
          <w:szCs w:val="20"/>
        </w:rPr>
        <w:t>€</w:t>
      </w:r>
      <w:r w:rsidRPr="005F42A9">
        <w:rPr>
          <w:rFonts w:ascii="Arial" w:hAnsi="Arial" w:cs="Arial"/>
          <w:sz w:val="20"/>
          <w:szCs w:val="20"/>
        </w:rPr>
        <w:t xml:space="preserve">. Der Rekordumsatz von 2018 </w:t>
      </w:r>
      <w:r w:rsidR="00C10DE7">
        <w:rPr>
          <w:rFonts w:ascii="Arial" w:hAnsi="Arial" w:cs="Arial"/>
          <w:sz w:val="20"/>
          <w:szCs w:val="20"/>
        </w:rPr>
        <w:t xml:space="preserve">(2,15 Mrd. €) </w:t>
      </w:r>
      <w:r w:rsidRPr="005F42A9">
        <w:rPr>
          <w:rFonts w:ascii="Arial" w:hAnsi="Arial" w:cs="Arial"/>
          <w:sz w:val="20"/>
          <w:szCs w:val="20"/>
        </w:rPr>
        <w:t xml:space="preserve">wurde allerdings nicht erreicht. </w:t>
      </w:r>
    </w:p>
    <w:p w14:paraId="6D7E4F58" w14:textId="6118762D" w:rsidR="00E6664C" w:rsidRDefault="00E6664C" w:rsidP="00E6664C">
      <w:pPr>
        <w:pStyle w:val="Listenabsatz"/>
        <w:numPr>
          <w:ilvl w:val="0"/>
          <w:numId w:val="12"/>
        </w:numPr>
        <w:spacing w:after="0" w:line="240" w:lineRule="auto"/>
        <w:jc w:val="both"/>
        <w:rPr>
          <w:rFonts w:ascii="Arial" w:hAnsi="Arial" w:cs="Arial"/>
          <w:sz w:val="20"/>
          <w:szCs w:val="20"/>
        </w:rPr>
      </w:pPr>
      <w:r>
        <w:rPr>
          <w:rFonts w:ascii="Arial" w:hAnsi="Arial" w:cs="Arial"/>
          <w:sz w:val="20"/>
          <w:szCs w:val="20"/>
        </w:rPr>
        <w:t xml:space="preserve">Die </w:t>
      </w:r>
      <w:r w:rsidR="005F42A9">
        <w:rPr>
          <w:rFonts w:ascii="Arial" w:hAnsi="Arial" w:cs="Arial"/>
          <w:sz w:val="20"/>
          <w:szCs w:val="20"/>
        </w:rPr>
        <w:t>Netto-Spitzenrendite für Büroimmobilien sank von 3,30 % auf 3,0 %, bewegt sich also weiterhin auf einem niedrigen Niveau.</w:t>
      </w:r>
    </w:p>
    <w:p w14:paraId="127E8CDD" w14:textId="77777777" w:rsidR="002412AD" w:rsidRDefault="005F42A9" w:rsidP="002412AD">
      <w:pPr>
        <w:pStyle w:val="Listenabsatz"/>
        <w:numPr>
          <w:ilvl w:val="0"/>
          <w:numId w:val="12"/>
        </w:numPr>
        <w:spacing w:after="0" w:line="240" w:lineRule="auto"/>
        <w:jc w:val="both"/>
        <w:rPr>
          <w:rFonts w:ascii="Arial" w:hAnsi="Arial" w:cs="Arial"/>
          <w:sz w:val="20"/>
          <w:szCs w:val="20"/>
        </w:rPr>
      </w:pPr>
      <w:r>
        <w:rPr>
          <w:rFonts w:ascii="Arial" w:hAnsi="Arial" w:cs="Arial"/>
          <w:sz w:val="20"/>
          <w:szCs w:val="20"/>
        </w:rPr>
        <w:t xml:space="preserve">Prognose für 2020: Zwar sind für 2020 weitere großvolumige Abschlüsse in der Pipeline, dennoch ist </w:t>
      </w:r>
      <w:r w:rsidR="00C10DE7">
        <w:rPr>
          <w:rFonts w:ascii="Arial" w:hAnsi="Arial" w:cs="Arial"/>
          <w:sz w:val="20"/>
          <w:szCs w:val="20"/>
        </w:rPr>
        <w:t>von</w:t>
      </w:r>
      <w:r>
        <w:rPr>
          <w:rFonts w:ascii="Arial" w:hAnsi="Arial" w:cs="Arial"/>
          <w:sz w:val="20"/>
          <w:szCs w:val="20"/>
        </w:rPr>
        <w:t xml:space="preserve"> einem TAV von unter zwei Mrd. € auszugehen.</w:t>
      </w:r>
    </w:p>
    <w:p w14:paraId="2EB46ABB" w14:textId="77777777" w:rsidR="002412AD" w:rsidRDefault="002412AD" w:rsidP="002412AD">
      <w:pPr>
        <w:spacing w:after="0" w:line="240" w:lineRule="auto"/>
        <w:jc w:val="both"/>
        <w:rPr>
          <w:rFonts w:ascii="Arial" w:hAnsi="Arial" w:cs="Arial"/>
          <w:sz w:val="20"/>
          <w:szCs w:val="20"/>
        </w:rPr>
      </w:pPr>
    </w:p>
    <w:p w14:paraId="20D39DAB" w14:textId="77777777" w:rsidR="002412AD" w:rsidRPr="004D02F0" w:rsidRDefault="002412AD" w:rsidP="002412AD">
      <w:pPr>
        <w:spacing w:after="0" w:line="240" w:lineRule="auto"/>
        <w:jc w:val="both"/>
        <w:rPr>
          <w:rFonts w:ascii="Arial" w:hAnsi="Arial" w:cs="Arial"/>
          <w:b/>
          <w:bCs/>
          <w:caps/>
          <w:sz w:val="24"/>
          <w:szCs w:val="24"/>
        </w:rPr>
      </w:pPr>
      <w:r w:rsidRPr="004D02F0">
        <w:rPr>
          <w:rFonts w:ascii="Arial" w:hAnsi="Arial" w:cs="Arial"/>
          <w:b/>
          <w:bCs/>
          <w:caps/>
          <w:sz w:val="24"/>
          <w:szCs w:val="24"/>
        </w:rPr>
        <w:t xml:space="preserve">FRANKFURT | </w:t>
      </w:r>
      <w:r w:rsidRPr="004D02F0">
        <w:rPr>
          <w:rFonts w:ascii="Arial" w:hAnsi="Arial" w:cs="Arial"/>
          <w:b/>
          <w:bCs/>
          <w:sz w:val="24"/>
          <w:szCs w:val="24"/>
        </w:rPr>
        <w:t>blackolive</w:t>
      </w:r>
    </w:p>
    <w:p w14:paraId="715474DF" w14:textId="77777777" w:rsidR="002412AD" w:rsidRDefault="002412AD" w:rsidP="002412AD">
      <w:pPr>
        <w:pStyle w:val="Listenabsatz"/>
        <w:numPr>
          <w:ilvl w:val="0"/>
          <w:numId w:val="12"/>
        </w:numPr>
        <w:spacing w:after="0" w:line="240" w:lineRule="auto"/>
        <w:jc w:val="both"/>
        <w:rPr>
          <w:rFonts w:ascii="Arial" w:hAnsi="Arial" w:cs="Arial"/>
          <w:sz w:val="20"/>
          <w:szCs w:val="20"/>
        </w:rPr>
      </w:pPr>
      <w:r>
        <w:rPr>
          <w:rFonts w:ascii="Arial" w:hAnsi="Arial" w:cs="Arial"/>
          <w:sz w:val="20"/>
          <w:szCs w:val="20"/>
        </w:rPr>
        <w:t>Frankfurt verbucht einen deutlichen Rückgang des Transaktionsvolumens von 9,69 Mrd. € im Jahr 2018 auf 7,53 Mrd. €.</w:t>
      </w:r>
    </w:p>
    <w:p w14:paraId="5014815A" w14:textId="5F9CF78D" w:rsidR="002412AD" w:rsidRDefault="002412AD" w:rsidP="002412AD">
      <w:pPr>
        <w:pStyle w:val="Listenabsatz"/>
        <w:numPr>
          <w:ilvl w:val="0"/>
          <w:numId w:val="12"/>
        </w:numPr>
        <w:spacing w:after="0" w:line="240" w:lineRule="auto"/>
        <w:jc w:val="both"/>
        <w:rPr>
          <w:rFonts w:ascii="Arial" w:hAnsi="Arial" w:cs="Arial"/>
          <w:sz w:val="20"/>
          <w:szCs w:val="20"/>
        </w:rPr>
      </w:pPr>
      <w:r>
        <w:rPr>
          <w:rFonts w:ascii="Arial" w:hAnsi="Arial" w:cs="Arial"/>
          <w:sz w:val="20"/>
          <w:szCs w:val="20"/>
        </w:rPr>
        <w:t xml:space="preserve">Vom mangelnden Angebot profitieren vor allem die B- und C-Lagen, die sich einer sehr </w:t>
      </w:r>
      <w:r w:rsidR="004E6443">
        <w:rPr>
          <w:rFonts w:ascii="Arial" w:hAnsi="Arial" w:cs="Arial"/>
          <w:sz w:val="20"/>
          <w:szCs w:val="20"/>
        </w:rPr>
        <w:t>guten</w:t>
      </w:r>
      <w:r>
        <w:rPr>
          <w:rFonts w:ascii="Arial" w:hAnsi="Arial" w:cs="Arial"/>
          <w:sz w:val="20"/>
          <w:szCs w:val="20"/>
        </w:rPr>
        <w:t xml:space="preserve"> Nachfrage erfreuen.</w:t>
      </w:r>
    </w:p>
    <w:p w14:paraId="3DB33ABA" w14:textId="6E0065DC" w:rsidR="002412AD" w:rsidRPr="00665DDA" w:rsidRDefault="002412AD" w:rsidP="002412AD">
      <w:pPr>
        <w:pStyle w:val="Listenabsatz"/>
        <w:numPr>
          <w:ilvl w:val="0"/>
          <w:numId w:val="12"/>
        </w:numPr>
        <w:spacing w:after="0" w:line="240" w:lineRule="auto"/>
        <w:jc w:val="both"/>
        <w:rPr>
          <w:rFonts w:ascii="Arial" w:hAnsi="Arial" w:cs="Arial"/>
          <w:sz w:val="20"/>
          <w:szCs w:val="20"/>
        </w:rPr>
      </w:pPr>
      <w:r>
        <w:rPr>
          <w:rFonts w:ascii="Arial" w:hAnsi="Arial" w:cs="Arial"/>
          <w:sz w:val="20"/>
          <w:szCs w:val="20"/>
        </w:rPr>
        <w:t xml:space="preserve">Die Renditen sind 2019 leicht gesunken. Die Büro-Nettospitzenrendite sank </w:t>
      </w:r>
      <w:r w:rsidR="004E6443">
        <w:rPr>
          <w:rFonts w:ascii="Arial" w:hAnsi="Arial" w:cs="Arial"/>
          <w:sz w:val="20"/>
          <w:szCs w:val="20"/>
        </w:rPr>
        <w:t xml:space="preserve">im Vergleich zum selben Vorjahreszeitraum </w:t>
      </w:r>
      <w:r>
        <w:rPr>
          <w:rFonts w:ascii="Arial" w:hAnsi="Arial" w:cs="Arial"/>
          <w:sz w:val="20"/>
          <w:szCs w:val="20"/>
        </w:rPr>
        <w:t>um 0,05 Prozentpunkte auf 2,95 %.</w:t>
      </w:r>
    </w:p>
    <w:p w14:paraId="1FE0D407" w14:textId="6421C5C2" w:rsidR="002412AD" w:rsidRPr="007E61C7" w:rsidRDefault="002412AD" w:rsidP="002412AD">
      <w:pPr>
        <w:pStyle w:val="Listenabsatz"/>
        <w:numPr>
          <w:ilvl w:val="0"/>
          <w:numId w:val="12"/>
        </w:numPr>
        <w:spacing w:after="0" w:line="240" w:lineRule="auto"/>
        <w:jc w:val="both"/>
        <w:rPr>
          <w:rFonts w:ascii="Arial" w:hAnsi="Arial" w:cs="Arial"/>
          <w:b/>
          <w:bCs/>
          <w:caps/>
          <w:sz w:val="24"/>
          <w:szCs w:val="24"/>
        </w:rPr>
      </w:pPr>
      <w:r>
        <w:rPr>
          <w:rFonts w:ascii="Arial" w:hAnsi="Arial" w:cs="Arial"/>
          <w:sz w:val="20"/>
          <w:szCs w:val="20"/>
        </w:rPr>
        <w:t xml:space="preserve">Prognose für 2020: </w:t>
      </w:r>
      <w:r w:rsidRPr="00A47A9F">
        <w:rPr>
          <w:rFonts w:ascii="Arial" w:hAnsi="Arial" w:cs="Arial"/>
          <w:sz w:val="20"/>
          <w:szCs w:val="20"/>
        </w:rPr>
        <w:t xml:space="preserve">Das Transaktionsvolumen dürfte 2020 </w:t>
      </w:r>
      <w:r w:rsidR="004E6443">
        <w:rPr>
          <w:rFonts w:ascii="Arial" w:hAnsi="Arial" w:cs="Arial"/>
          <w:sz w:val="20"/>
          <w:szCs w:val="20"/>
        </w:rPr>
        <w:t>aufgrund des knappen Angebotes und dem von 2019 liegen.</w:t>
      </w:r>
      <w:r w:rsidRPr="00A47A9F">
        <w:rPr>
          <w:rFonts w:ascii="Arial" w:hAnsi="Arial" w:cs="Arial"/>
          <w:sz w:val="20"/>
          <w:szCs w:val="20"/>
        </w:rPr>
        <w:t xml:space="preserve"> </w:t>
      </w:r>
      <w:r>
        <w:rPr>
          <w:rFonts w:ascii="Arial" w:hAnsi="Arial" w:cs="Arial"/>
          <w:sz w:val="20"/>
          <w:szCs w:val="20"/>
        </w:rPr>
        <w:t>Realistisch dürfte eine Summe um</w:t>
      </w:r>
      <w:r w:rsidRPr="00A47A9F">
        <w:rPr>
          <w:rFonts w:ascii="Arial" w:hAnsi="Arial" w:cs="Arial"/>
          <w:sz w:val="20"/>
          <w:szCs w:val="20"/>
        </w:rPr>
        <w:t xml:space="preserve"> 6,5 </w:t>
      </w:r>
      <w:r w:rsidR="002E1FBD">
        <w:rPr>
          <w:rFonts w:ascii="Arial" w:hAnsi="Arial" w:cs="Arial"/>
          <w:sz w:val="20"/>
          <w:szCs w:val="20"/>
        </w:rPr>
        <w:t>Mrd.</w:t>
      </w:r>
      <w:r w:rsidRPr="00A47A9F">
        <w:rPr>
          <w:rFonts w:ascii="Arial" w:hAnsi="Arial" w:cs="Arial"/>
          <w:sz w:val="20"/>
          <w:szCs w:val="20"/>
        </w:rPr>
        <w:t xml:space="preserve"> </w:t>
      </w:r>
      <w:r>
        <w:rPr>
          <w:rFonts w:ascii="Arial" w:hAnsi="Arial" w:cs="Arial"/>
          <w:sz w:val="20"/>
          <w:szCs w:val="20"/>
        </w:rPr>
        <w:t>€ sein</w:t>
      </w:r>
      <w:r w:rsidRPr="00A47A9F">
        <w:rPr>
          <w:rFonts w:ascii="Arial" w:hAnsi="Arial" w:cs="Arial"/>
          <w:sz w:val="20"/>
          <w:szCs w:val="20"/>
        </w:rPr>
        <w:t xml:space="preserve">. Investoren nehmen </w:t>
      </w:r>
      <w:r w:rsidRPr="00A47A9F">
        <w:rPr>
          <w:rFonts w:ascii="Arial" w:hAnsi="Arial" w:cs="Arial"/>
          <w:sz w:val="20"/>
          <w:szCs w:val="20"/>
        </w:rPr>
        <w:lastRenderedPageBreak/>
        <w:t>deshalb niedrigere Renditen in Kauf, erweitern ihr Suchfeld auch auf die B- und C-Lagen und legen vermutlich auch verstärkt in Pflege- und Gesundheitsimmobilien sowie Logistik-Flächen an.</w:t>
      </w:r>
      <w:r w:rsidRPr="002412AD">
        <w:rPr>
          <w:rFonts w:ascii="Arial" w:hAnsi="Arial" w:cs="Arial"/>
          <w:sz w:val="20"/>
          <w:szCs w:val="20"/>
        </w:rPr>
        <w:tab/>
      </w:r>
    </w:p>
    <w:p w14:paraId="59FE3123" w14:textId="77777777" w:rsidR="007E61C7" w:rsidRPr="007E61C7" w:rsidRDefault="007E61C7" w:rsidP="007E61C7">
      <w:pPr>
        <w:spacing w:after="0" w:line="240" w:lineRule="auto"/>
        <w:jc w:val="both"/>
        <w:rPr>
          <w:rFonts w:ascii="Arial" w:hAnsi="Arial" w:cs="Arial"/>
          <w:b/>
          <w:bCs/>
          <w:caps/>
          <w:sz w:val="24"/>
          <w:szCs w:val="24"/>
        </w:rPr>
      </w:pPr>
    </w:p>
    <w:p w14:paraId="37E9781D" w14:textId="77777777" w:rsidR="00E6664C" w:rsidRPr="004D02F0" w:rsidRDefault="00E6664C" w:rsidP="00E6664C">
      <w:pPr>
        <w:spacing w:after="0" w:line="240" w:lineRule="auto"/>
        <w:jc w:val="both"/>
        <w:rPr>
          <w:rFonts w:ascii="Arial" w:hAnsi="Arial" w:cs="Arial"/>
          <w:b/>
          <w:bCs/>
          <w:caps/>
          <w:sz w:val="24"/>
          <w:szCs w:val="24"/>
        </w:rPr>
      </w:pPr>
      <w:r w:rsidRPr="004D02F0">
        <w:rPr>
          <w:rFonts w:ascii="Arial" w:hAnsi="Arial" w:cs="Arial"/>
          <w:b/>
          <w:bCs/>
          <w:caps/>
          <w:sz w:val="24"/>
          <w:szCs w:val="24"/>
        </w:rPr>
        <w:t xml:space="preserve">HAMBURG | </w:t>
      </w:r>
      <w:r w:rsidRPr="004D02F0">
        <w:rPr>
          <w:rFonts w:ascii="Arial" w:hAnsi="Arial" w:cs="Arial"/>
          <w:b/>
          <w:bCs/>
          <w:sz w:val="24"/>
          <w:szCs w:val="24"/>
        </w:rPr>
        <w:t>Grossmann &amp; Berger</w:t>
      </w:r>
    </w:p>
    <w:p w14:paraId="5C5F9C08" w14:textId="7006A504" w:rsidR="00B54A7A" w:rsidRDefault="00B54A7A" w:rsidP="00B54A7A">
      <w:pPr>
        <w:pStyle w:val="Listenabsatz"/>
        <w:numPr>
          <w:ilvl w:val="0"/>
          <w:numId w:val="12"/>
        </w:numPr>
        <w:spacing w:after="0" w:line="240" w:lineRule="auto"/>
        <w:jc w:val="both"/>
        <w:rPr>
          <w:rFonts w:ascii="Arial" w:hAnsi="Arial" w:cs="Arial"/>
          <w:sz w:val="20"/>
          <w:szCs w:val="20"/>
        </w:rPr>
      </w:pPr>
      <w:r w:rsidRPr="00B54A7A">
        <w:rPr>
          <w:rFonts w:ascii="Arial" w:hAnsi="Arial" w:cs="Arial"/>
          <w:sz w:val="20"/>
          <w:szCs w:val="20"/>
        </w:rPr>
        <w:t xml:space="preserve">Mit einem Jahresergebnis von rund 4,3 Mrd. € bei etwa 120 Transaktionen verfehlte der Investmentmarkt in Hamburg das Vorjahresergebnis deutlich um 27 %. Dabei bremste insbesondere das limitierte Angebot </w:t>
      </w:r>
      <w:r w:rsidR="00F53F87">
        <w:rPr>
          <w:rFonts w:ascii="Arial" w:hAnsi="Arial" w:cs="Arial"/>
          <w:sz w:val="20"/>
          <w:szCs w:val="20"/>
        </w:rPr>
        <w:t xml:space="preserve">an großvolumigen Objekten </w:t>
      </w:r>
      <w:r w:rsidRPr="00B54A7A">
        <w:rPr>
          <w:rFonts w:ascii="Arial" w:hAnsi="Arial" w:cs="Arial"/>
          <w:sz w:val="20"/>
          <w:szCs w:val="20"/>
        </w:rPr>
        <w:t>das Ergebnis.</w:t>
      </w:r>
    </w:p>
    <w:p w14:paraId="4E4438C6" w14:textId="19368F0D" w:rsidR="00B54A7A" w:rsidRDefault="00B54A7A" w:rsidP="00B54A7A">
      <w:pPr>
        <w:pStyle w:val="Listenabsatz"/>
        <w:numPr>
          <w:ilvl w:val="0"/>
          <w:numId w:val="12"/>
        </w:numPr>
        <w:spacing w:after="0" w:line="240" w:lineRule="auto"/>
        <w:jc w:val="both"/>
        <w:rPr>
          <w:rFonts w:ascii="Arial" w:hAnsi="Arial" w:cs="Arial"/>
          <w:sz w:val="20"/>
          <w:szCs w:val="20"/>
        </w:rPr>
      </w:pPr>
      <w:r w:rsidRPr="00B54A7A">
        <w:rPr>
          <w:rFonts w:ascii="Arial" w:hAnsi="Arial" w:cs="Arial"/>
          <w:sz w:val="20"/>
          <w:szCs w:val="20"/>
        </w:rPr>
        <w:t xml:space="preserve">Zu dem dennoch ordentlichen Jahresabschluss trugen die zahlreichen großvolumigen Portfolioverkäufe mit Hamburger Beteiligung bei, </w:t>
      </w:r>
      <w:r w:rsidR="00F53F87">
        <w:rPr>
          <w:rFonts w:ascii="Arial" w:hAnsi="Arial" w:cs="Arial"/>
          <w:sz w:val="20"/>
          <w:szCs w:val="20"/>
        </w:rPr>
        <w:t>die zusammen einen Anteil von</w:t>
      </w:r>
      <w:r w:rsidRPr="00B54A7A">
        <w:rPr>
          <w:rFonts w:ascii="Arial" w:hAnsi="Arial" w:cs="Arial"/>
          <w:sz w:val="20"/>
          <w:szCs w:val="20"/>
        </w:rPr>
        <w:t xml:space="preserve"> </w:t>
      </w:r>
      <w:r w:rsidR="001A002B">
        <w:rPr>
          <w:rFonts w:ascii="Arial" w:hAnsi="Arial" w:cs="Arial"/>
          <w:sz w:val="20"/>
          <w:szCs w:val="20"/>
        </w:rPr>
        <w:t>r</w:t>
      </w:r>
      <w:r w:rsidRPr="00B54A7A">
        <w:rPr>
          <w:rFonts w:ascii="Arial" w:hAnsi="Arial" w:cs="Arial"/>
          <w:sz w:val="20"/>
          <w:szCs w:val="20"/>
        </w:rPr>
        <w:t>und 40</w:t>
      </w:r>
      <w:r w:rsidR="00C10DE7">
        <w:rPr>
          <w:rFonts w:ascii="Arial" w:hAnsi="Arial" w:cs="Arial"/>
          <w:sz w:val="20"/>
          <w:szCs w:val="20"/>
        </w:rPr>
        <w:t xml:space="preserve"> </w:t>
      </w:r>
      <w:r w:rsidRPr="00B54A7A">
        <w:rPr>
          <w:rFonts w:ascii="Arial" w:hAnsi="Arial" w:cs="Arial"/>
          <w:sz w:val="20"/>
          <w:szCs w:val="20"/>
        </w:rPr>
        <w:t xml:space="preserve">% am </w:t>
      </w:r>
      <w:r w:rsidR="001A002B">
        <w:rPr>
          <w:rFonts w:ascii="Arial" w:hAnsi="Arial" w:cs="Arial"/>
          <w:sz w:val="20"/>
          <w:szCs w:val="20"/>
        </w:rPr>
        <w:t>TAV</w:t>
      </w:r>
      <w:r w:rsidRPr="00B54A7A">
        <w:rPr>
          <w:rFonts w:ascii="Arial" w:hAnsi="Arial" w:cs="Arial"/>
          <w:sz w:val="20"/>
          <w:szCs w:val="20"/>
        </w:rPr>
        <w:t xml:space="preserve"> ausmachten. </w:t>
      </w:r>
    </w:p>
    <w:p w14:paraId="7F23D135" w14:textId="2739A35C" w:rsidR="00B54A7A" w:rsidRDefault="00B54A7A" w:rsidP="00E6664C">
      <w:pPr>
        <w:pStyle w:val="Listenabsatz"/>
        <w:numPr>
          <w:ilvl w:val="0"/>
          <w:numId w:val="12"/>
        </w:numPr>
        <w:spacing w:after="0" w:line="240" w:lineRule="auto"/>
        <w:jc w:val="both"/>
        <w:rPr>
          <w:rFonts w:ascii="Arial" w:hAnsi="Arial" w:cs="Arial"/>
          <w:sz w:val="20"/>
          <w:szCs w:val="20"/>
        </w:rPr>
      </w:pPr>
      <w:r w:rsidRPr="00B54A7A">
        <w:rPr>
          <w:rFonts w:ascii="Arial" w:hAnsi="Arial" w:cs="Arial"/>
          <w:sz w:val="20"/>
          <w:szCs w:val="20"/>
        </w:rPr>
        <w:t>Die Spitzenrenditen für Büro- und Geschäftshäuser sowie für Logistik-Objekte standen zum Jahresende weiter unter hohem Druck, verweilten aber nahezu auf dem niedrigen Stand des Vorjahresendes. Einzig die Renditen der Logistik-Objekte sackten um 0,25</w:t>
      </w:r>
      <w:r w:rsidR="00C10DE7">
        <w:rPr>
          <w:rFonts w:ascii="Arial" w:hAnsi="Arial" w:cs="Arial"/>
          <w:sz w:val="20"/>
          <w:szCs w:val="20"/>
        </w:rPr>
        <w:t xml:space="preserve"> Prozentp</w:t>
      </w:r>
      <w:r w:rsidRPr="00B54A7A">
        <w:rPr>
          <w:rFonts w:ascii="Arial" w:hAnsi="Arial" w:cs="Arial"/>
          <w:sz w:val="20"/>
          <w:szCs w:val="20"/>
        </w:rPr>
        <w:t>unkte</w:t>
      </w:r>
      <w:r>
        <w:rPr>
          <w:rFonts w:ascii="Arial" w:hAnsi="Arial" w:cs="Arial"/>
          <w:sz w:val="20"/>
          <w:szCs w:val="20"/>
        </w:rPr>
        <w:t xml:space="preserve"> auf 4,25 %</w:t>
      </w:r>
      <w:r w:rsidRPr="00B54A7A">
        <w:rPr>
          <w:rFonts w:ascii="Arial" w:hAnsi="Arial" w:cs="Arial"/>
          <w:sz w:val="20"/>
          <w:szCs w:val="20"/>
        </w:rPr>
        <w:t xml:space="preserve"> ab, was Ausdruck der steigenden Nachfrage nach dieser Asset</w:t>
      </w:r>
      <w:r w:rsidR="00C10DE7">
        <w:rPr>
          <w:rFonts w:ascii="Arial" w:hAnsi="Arial" w:cs="Arial"/>
          <w:sz w:val="20"/>
          <w:szCs w:val="20"/>
        </w:rPr>
        <w:t>k</w:t>
      </w:r>
      <w:r w:rsidRPr="00B54A7A">
        <w:rPr>
          <w:rFonts w:ascii="Arial" w:hAnsi="Arial" w:cs="Arial"/>
          <w:sz w:val="20"/>
          <w:szCs w:val="20"/>
        </w:rPr>
        <w:t xml:space="preserve">lasse ist. </w:t>
      </w:r>
      <w:r w:rsidRPr="00B54A7A">
        <w:rPr>
          <w:rFonts w:ascii="Arial" w:hAnsi="Arial" w:cs="Arial"/>
          <w:sz w:val="20"/>
          <w:szCs w:val="20"/>
        </w:rPr>
        <w:tab/>
      </w:r>
    </w:p>
    <w:p w14:paraId="548CC835" w14:textId="7BBF6778" w:rsidR="00E6664C" w:rsidRDefault="001A002B" w:rsidP="00E6664C">
      <w:pPr>
        <w:pStyle w:val="Listenabsatz"/>
        <w:numPr>
          <w:ilvl w:val="0"/>
          <w:numId w:val="12"/>
        </w:numPr>
        <w:spacing w:after="0" w:line="240" w:lineRule="auto"/>
        <w:jc w:val="both"/>
        <w:rPr>
          <w:rFonts w:ascii="Arial" w:hAnsi="Arial" w:cs="Arial"/>
          <w:sz w:val="20"/>
          <w:szCs w:val="20"/>
        </w:rPr>
      </w:pPr>
      <w:r>
        <w:rPr>
          <w:rFonts w:ascii="Arial" w:hAnsi="Arial" w:cs="Arial"/>
          <w:sz w:val="20"/>
          <w:szCs w:val="20"/>
        </w:rPr>
        <w:t xml:space="preserve">Prognose für 2020: </w:t>
      </w:r>
      <w:r w:rsidR="00B54A7A" w:rsidRPr="00B54A7A">
        <w:rPr>
          <w:rFonts w:ascii="Arial" w:hAnsi="Arial" w:cs="Arial"/>
          <w:sz w:val="20"/>
          <w:szCs w:val="20"/>
        </w:rPr>
        <w:t xml:space="preserve">Durch den Fortbestand des Nullzinses, fehlende Anlagealternativen und auslaufende Staatsanleihen steht auch dem Hamburger Investmentmarkt eine Kapitalflut bevor, die in Zeiten der Produktknappheit zu weiter steigenden Kaufpreisen führen wird. Da aber das Angebot gering ist und die Verkaufsbereitschaft für Core-Objekte weiter sinkt, ist für 2020 mit einem Transaktionsvolumen von rund 4,5 Mrd. € zu rechnen. Ein Nachgeben der Renditen im neuen Jahr ist wahrscheinlich. </w:t>
      </w:r>
      <w:r w:rsidR="00B54A7A" w:rsidRPr="00B54A7A">
        <w:rPr>
          <w:rFonts w:ascii="Arial" w:hAnsi="Arial" w:cs="Arial"/>
          <w:sz w:val="20"/>
          <w:szCs w:val="20"/>
        </w:rPr>
        <w:tab/>
      </w:r>
      <w:r w:rsidR="00B54A7A" w:rsidRPr="00B54A7A">
        <w:rPr>
          <w:rFonts w:ascii="Arial" w:hAnsi="Arial" w:cs="Arial"/>
          <w:sz w:val="20"/>
          <w:szCs w:val="20"/>
        </w:rPr>
        <w:tab/>
      </w:r>
    </w:p>
    <w:bookmarkEnd w:id="1"/>
    <w:bookmarkEnd w:id="2"/>
    <w:p w14:paraId="5384AFC8" w14:textId="419FAA52" w:rsidR="00340830" w:rsidRPr="00290519" w:rsidRDefault="00340830" w:rsidP="002412AD">
      <w:pPr>
        <w:spacing w:after="0" w:line="240" w:lineRule="auto"/>
        <w:jc w:val="both"/>
      </w:pPr>
    </w:p>
    <w:p w14:paraId="33641162" w14:textId="7E9FE91E" w:rsidR="3DC821F2" w:rsidRPr="009743FB" w:rsidRDefault="3DC821F2" w:rsidP="009743FB">
      <w:pPr>
        <w:spacing w:after="0" w:line="240" w:lineRule="auto"/>
        <w:jc w:val="both"/>
        <w:rPr>
          <w:i/>
          <w:iCs/>
        </w:rPr>
      </w:pPr>
      <w:r w:rsidRPr="009743FB">
        <w:rPr>
          <w:rFonts w:ascii="Arial" w:eastAsia="Arial" w:hAnsi="Arial" w:cs="Arial"/>
          <w:i/>
          <w:iCs/>
          <w:caps/>
          <w:sz w:val="20"/>
          <w:szCs w:val="20"/>
          <w:lang w:val="de"/>
        </w:rPr>
        <w:t>ÜBER GERMAN PROPERTY PARTNERS</w:t>
      </w:r>
    </w:p>
    <w:p w14:paraId="57B6C009" w14:textId="0E4B367E" w:rsidR="3DC821F2" w:rsidRPr="009743FB" w:rsidRDefault="3DC821F2" w:rsidP="3DC821F2">
      <w:pPr>
        <w:jc w:val="both"/>
        <w:rPr>
          <w:i/>
          <w:iCs/>
        </w:rPr>
      </w:pPr>
      <w:r w:rsidRPr="009743FB">
        <w:rPr>
          <w:rFonts w:ascii="Arial" w:eastAsia="Arial" w:hAnsi="Arial" w:cs="Arial"/>
          <w:i/>
          <w:iCs/>
          <w:sz w:val="20"/>
          <w:szCs w:val="20"/>
          <w:lang w:val="de"/>
        </w:rPr>
        <w:t xml:space="preserve">German Property Partners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Köln | 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über 400 Immobilienspezialisten für das Netzwerk tätig. </w:t>
      </w:r>
      <w:r w:rsidRPr="009743FB">
        <w:rPr>
          <w:rFonts w:ascii="Arial" w:eastAsia="Arial" w:hAnsi="Arial" w:cs="Arial"/>
          <w:b/>
          <w:bCs/>
          <w:i/>
          <w:iCs/>
          <w:sz w:val="20"/>
          <w:szCs w:val="20"/>
          <w:lang w:val="de"/>
        </w:rPr>
        <w:t>2018</w:t>
      </w:r>
      <w:r w:rsidRPr="009743FB">
        <w:rPr>
          <w:rFonts w:ascii="Arial" w:eastAsia="Arial" w:hAnsi="Arial" w:cs="Arial"/>
          <w:i/>
          <w:iCs/>
          <w:sz w:val="20"/>
          <w:szCs w:val="20"/>
          <w:lang w:val="de"/>
        </w:rPr>
        <w:t xml:space="preserve"> vermittelte German Property Partners deutschlandweit rund 556.200 m² Gewerbefläche und betreute ein Transaktionsvolumen in Höhe von rund 2,27 Mrd. €. </w:t>
      </w:r>
      <w:r w:rsidRPr="009743FB">
        <w:rPr>
          <w:rFonts w:ascii="Arial" w:eastAsia="Arial" w:hAnsi="Arial" w:cs="Arial"/>
          <w:i/>
          <w:iCs/>
          <w:sz w:val="20"/>
          <w:szCs w:val="20"/>
        </w:rPr>
        <w:t>[</w:t>
      </w:r>
      <w:hyperlink>
        <w:r w:rsidRPr="009743FB">
          <w:rPr>
            <w:rStyle w:val="Hyperlink"/>
            <w:rFonts w:ascii="Arial" w:eastAsia="Arial" w:hAnsi="Arial" w:cs="Arial"/>
            <w:i/>
            <w:iCs/>
            <w:sz w:val="20"/>
            <w:szCs w:val="20"/>
          </w:rPr>
          <w:t>www.germanpropertypartners.de</w:t>
        </w:r>
      </w:hyperlink>
      <w:r w:rsidRPr="009743FB">
        <w:rPr>
          <w:rFonts w:ascii="Arial" w:eastAsia="Arial" w:hAnsi="Arial" w:cs="Arial"/>
          <w:i/>
          <w:iCs/>
          <w:sz w:val="20"/>
          <w:szCs w:val="20"/>
        </w:rPr>
        <w:t>]</w:t>
      </w:r>
    </w:p>
    <w:p w14:paraId="75725C7B" w14:textId="59E3DE09" w:rsidR="3DC821F2" w:rsidRDefault="3DC821F2" w:rsidP="3DC821F2">
      <w:pPr>
        <w:spacing w:after="0" w:line="240" w:lineRule="auto"/>
        <w:jc w:val="both"/>
        <w:rPr>
          <w:rFonts w:ascii="Arial" w:hAnsi="Arial" w:cs="Arial"/>
          <w:sz w:val="20"/>
          <w:szCs w:val="20"/>
        </w:rPr>
      </w:pPr>
    </w:p>
    <w:sectPr w:rsidR="3DC821F2"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E2D0" w14:textId="77777777" w:rsidR="00A216D9" w:rsidRDefault="00A216D9" w:rsidP="0055466B">
      <w:pPr>
        <w:spacing w:after="0" w:line="240" w:lineRule="auto"/>
      </w:pPr>
      <w:r>
        <w:separator/>
      </w:r>
    </w:p>
  </w:endnote>
  <w:endnote w:type="continuationSeparator" w:id="0">
    <w:p w14:paraId="6945CDD8" w14:textId="77777777" w:rsidR="00A216D9" w:rsidRDefault="00A216D9" w:rsidP="0055466B">
      <w:pPr>
        <w:spacing w:after="0" w:line="240" w:lineRule="auto"/>
      </w:pPr>
      <w:r>
        <w:continuationSeparator/>
      </w:r>
    </w:p>
  </w:endnote>
  <w:endnote w:type="continuationNotice" w:id="1">
    <w:p w14:paraId="5A0A4FAA" w14:textId="77777777" w:rsidR="00A216D9" w:rsidRDefault="00A21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A3D2" w14:textId="370E9FDE" w:rsidR="00F3201C" w:rsidRPr="00DC19BC" w:rsidRDefault="00F3201C">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8245" behindDoc="0" locked="0" layoutInCell="1" allowOverlap="1" wp14:anchorId="286583A5" wp14:editId="59782A68">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62723F27" w14:textId="77777777" w:rsidR="00F3201C" w:rsidRDefault="00F3201C"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286583A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62723F27" w14:textId="77777777" w:rsidR="00F3201C" w:rsidRDefault="00F3201C"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8240" behindDoc="0" locked="0" layoutInCell="1" allowOverlap="1" wp14:anchorId="71FFACF9" wp14:editId="789BBA73">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AA42B94" id="Rechteck 43" o:spid="_x0000_s1026" style="position:absolute;margin-left:-41.55pt;margin-top:13.2pt;width:508.7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CD59C2">
      <w:rPr>
        <w:rFonts w:ascii="Arial" w:hAnsi="Arial" w:cs="Arial"/>
        <w:b/>
        <w:noProof/>
        <w:sz w:val="18"/>
        <w:szCs w:val="18"/>
      </w:rPr>
      <w:t>4</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CD59C2">
      <w:rPr>
        <w:rFonts w:ascii="Arial" w:hAnsi="Arial" w:cs="Arial"/>
        <w:b/>
        <w:noProof/>
        <w:sz w:val="18"/>
        <w:szCs w:val="18"/>
      </w:rPr>
      <w:t>5</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39A3" w14:textId="77777777" w:rsidR="00A216D9" w:rsidRDefault="00A216D9" w:rsidP="0055466B">
      <w:pPr>
        <w:spacing w:after="0" w:line="240" w:lineRule="auto"/>
      </w:pPr>
      <w:r>
        <w:separator/>
      </w:r>
    </w:p>
  </w:footnote>
  <w:footnote w:type="continuationSeparator" w:id="0">
    <w:p w14:paraId="36D1F1FD" w14:textId="77777777" w:rsidR="00A216D9" w:rsidRDefault="00A216D9" w:rsidP="0055466B">
      <w:pPr>
        <w:spacing w:after="0" w:line="240" w:lineRule="auto"/>
      </w:pPr>
      <w:r>
        <w:continuationSeparator/>
      </w:r>
    </w:p>
  </w:footnote>
  <w:footnote w:type="continuationNotice" w:id="1">
    <w:p w14:paraId="5F639B01" w14:textId="77777777" w:rsidR="00A216D9" w:rsidRDefault="00A216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5C35" w14:textId="77777777" w:rsidR="00F3201C" w:rsidRDefault="00F3201C">
    <w:pPr>
      <w:pStyle w:val="Kopfzeile"/>
    </w:pPr>
    <w:r w:rsidRPr="0055466B">
      <w:rPr>
        <w:noProof/>
        <w:lang w:eastAsia="de-DE"/>
      </w:rPr>
      <mc:AlternateContent>
        <mc:Choice Requires="wps">
          <w:drawing>
            <wp:anchor distT="0" distB="0" distL="114300" distR="114300" simplePos="0" relativeHeight="251658242" behindDoc="0" locked="0" layoutInCell="1" allowOverlap="1" wp14:anchorId="40AE792D" wp14:editId="006B8972">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40253098" w14:textId="77777777" w:rsidR="00F3201C" w:rsidRPr="008633D7" w:rsidRDefault="00F3201C"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40AE792D"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40253098" w14:textId="77777777" w:rsidR="00F3201C" w:rsidRPr="008633D7" w:rsidRDefault="00F3201C"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1" behindDoc="0" locked="0" layoutInCell="1" allowOverlap="1" wp14:anchorId="38848294" wp14:editId="4E922907">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4C46E339" id="Rechteck 44" o:spid="_x0000_s1026" style="position:absolute;margin-left:-40.8pt;margin-top:7.75pt;width:508.75pt;height:29.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3" behindDoc="0" locked="0" layoutInCell="1" allowOverlap="1" wp14:anchorId="583CDEDD" wp14:editId="323E9EA6">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47250" id="Rechteck 5" o:spid="_x0000_s1026" style="position:absolute;margin-left:-5.35pt;margin-top:6.1pt;width:74.65pt;height:9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5FC63239" w14:textId="77777777" w:rsidR="00F3201C" w:rsidRDefault="00F3201C">
    <w:pPr>
      <w:pStyle w:val="Kopfzeile"/>
    </w:pPr>
    <w:r>
      <w:rPr>
        <w:noProof/>
        <w:lang w:eastAsia="de-DE"/>
      </w:rPr>
      <w:drawing>
        <wp:anchor distT="0" distB="0" distL="114300" distR="114300" simplePos="0" relativeHeight="251658244" behindDoc="0" locked="0" layoutInCell="1" allowOverlap="1" wp14:anchorId="27592265" wp14:editId="2189393C">
          <wp:simplePos x="0" y="0"/>
          <wp:positionH relativeFrom="column">
            <wp:posOffset>96520</wp:posOffset>
          </wp:positionH>
          <wp:positionV relativeFrom="paragraph">
            <wp:posOffset>53340</wp:posOffset>
          </wp:positionV>
          <wp:extent cx="610321" cy="935515"/>
          <wp:effectExtent l="0" t="0" r="0" b="0"/>
          <wp:wrapNone/>
          <wp:docPr id="3"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C96"/>
    <w:multiLevelType w:val="hybridMultilevel"/>
    <w:tmpl w:val="0DE09B88"/>
    <w:lvl w:ilvl="0" w:tplc="8ACC43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629CE"/>
    <w:multiLevelType w:val="hybridMultilevel"/>
    <w:tmpl w:val="2046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D31FA"/>
    <w:multiLevelType w:val="hybridMultilevel"/>
    <w:tmpl w:val="129A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0B2"/>
    <w:multiLevelType w:val="hybridMultilevel"/>
    <w:tmpl w:val="4878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4389"/>
    <w:multiLevelType w:val="hybridMultilevel"/>
    <w:tmpl w:val="3232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14C5"/>
    <w:multiLevelType w:val="hybridMultilevel"/>
    <w:tmpl w:val="DF96FA4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170EA1"/>
    <w:multiLevelType w:val="multilevel"/>
    <w:tmpl w:val="AC5E4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C000CDD"/>
    <w:multiLevelType w:val="hybridMultilevel"/>
    <w:tmpl w:val="63541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6B541E"/>
    <w:multiLevelType w:val="hybridMultilevel"/>
    <w:tmpl w:val="A12C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62A082C"/>
    <w:multiLevelType w:val="hybridMultilevel"/>
    <w:tmpl w:val="5090FB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num>
  <w:num w:numId="7">
    <w:abstractNumId w:val="3"/>
  </w:num>
  <w:num w:numId="8">
    <w:abstractNumId w:val="4"/>
  </w:num>
  <w:num w:numId="9">
    <w:abstractNumId w:val="2"/>
  </w:num>
  <w:num w:numId="10">
    <w:abstractNumId w:val="1"/>
  </w:num>
  <w:num w:numId="11">
    <w:abstractNumId w:val="9"/>
  </w:num>
  <w:num w:numId="12">
    <w:abstractNumId w:val="10"/>
  </w:num>
  <w:num w:numId="13">
    <w:abstractNumId w:val="11"/>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0"/>
  </w:docVars>
  <w:rsids>
    <w:rsidRoot w:val="0055466B"/>
    <w:rsid w:val="000000F0"/>
    <w:rsid w:val="000006A4"/>
    <w:rsid w:val="000023EA"/>
    <w:rsid w:val="0000255A"/>
    <w:rsid w:val="000027C1"/>
    <w:rsid w:val="000035BA"/>
    <w:rsid w:val="00003912"/>
    <w:rsid w:val="00003EF3"/>
    <w:rsid w:val="000041CB"/>
    <w:rsid w:val="0000627A"/>
    <w:rsid w:val="00007290"/>
    <w:rsid w:val="00007DD2"/>
    <w:rsid w:val="000106EC"/>
    <w:rsid w:val="00010D11"/>
    <w:rsid w:val="00010F9B"/>
    <w:rsid w:val="0001104D"/>
    <w:rsid w:val="00011C9D"/>
    <w:rsid w:val="000125F8"/>
    <w:rsid w:val="00012644"/>
    <w:rsid w:val="00012EDE"/>
    <w:rsid w:val="00013642"/>
    <w:rsid w:val="00013E1B"/>
    <w:rsid w:val="00013F0C"/>
    <w:rsid w:val="00013F60"/>
    <w:rsid w:val="00014428"/>
    <w:rsid w:val="00014678"/>
    <w:rsid w:val="00014AB9"/>
    <w:rsid w:val="0001545C"/>
    <w:rsid w:val="0001557A"/>
    <w:rsid w:val="00016C2F"/>
    <w:rsid w:val="00020CD9"/>
    <w:rsid w:val="0002119F"/>
    <w:rsid w:val="000211B2"/>
    <w:rsid w:val="000214B0"/>
    <w:rsid w:val="00021A44"/>
    <w:rsid w:val="00021A82"/>
    <w:rsid w:val="00021D80"/>
    <w:rsid w:val="00021F8D"/>
    <w:rsid w:val="000224CD"/>
    <w:rsid w:val="00022E37"/>
    <w:rsid w:val="00022E4E"/>
    <w:rsid w:val="000230F2"/>
    <w:rsid w:val="000233B6"/>
    <w:rsid w:val="000239D9"/>
    <w:rsid w:val="00023A90"/>
    <w:rsid w:val="00023AE6"/>
    <w:rsid w:val="00023DA9"/>
    <w:rsid w:val="00024F6F"/>
    <w:rsid w:val="000256CF"/>
    <w:rsid w:val="00025750"/>
    <w:rsid w:val="00025A26"/>
    <w:rsid w:val="00025A9D"/>
    <w:rsid w:val="0002683E"/>
    <w:rsid w:val="000270AD"/>
    <w:rsid w:val="0002721A"/>
    <w:rsid w:val="00027B12"/>
    <w:rsid w:val="00027C36"/>
    <w:rsid w:val="00027E99"/>
    <w:rsid w:val="00031119"/>
    <w:rsid w:val="00031897"/>
    <w:rsid w:val="00032B92"/>
    <w:rsid w:val="00032C55"/>
    <w:rsid w:val="0003376A"/>
    <w:rsid w:val="00033900"/>
    <w:rsid w:val="00033D46"/>
    <w:rsid w:val="00033FCC"/>
    <w:rsid w:val="000347A8"/>
    <w:rsid w:val="0003481C"/>
    <w:rsid w:val="00034DF0"/>
    <w:rsid w:val="00035107"/>
    <w:rsid w:val="000351FE"/>
    <w:rsid w:val="00035689"/>
    <w:rsid w:val="000361B8"/>
    <w:rsid w:val="000365B7"/>
    <w:rsid w:val="00036725"/>
    <w:rsid w:val="00036FC0"/>
    <w:rsid w:val="00037CFB"/>
    <w:rsid w:val="00040E24"/>
    <w:rsid w:val="000415C4"/>
    <w:rsid w:val="00042A89"/>
    <w:rsid w:val="00042CEE"/>
    <w:rsid w:val="00042D36"/>
    <w:rsid w:val="0004347C"/>
    <w:rsid w:val="000440E1"/>
    <w:rsid w:val="00044510"/>
    <w:rsid w:val="00044734"/>
    <w:rsid w:val="00044737"/>
    <w:rsid w:val="00045A69"/>
    <w:rsid w:val="00045DDD"/>
    <w:rsid w:val="00046D73"/>
    <w:rsid w:val="00046E15"/>
    <w:rsid w:val="000473DA"/>
    <w:rsid w:val="00047695"/>
    <w:rsid w:val="00047960"/>
    <w:rsid w:val="00047BAF"/>
    <w:rsid w:val="00047C83"/>
    <w:rsid w:val="0005004D"/>
    <w:rsid w:val="00050CAC"/>
    <w:rsid w:val="00051442"/>
    <w:rsid w:val="000514C1"/>
    <w:rsid w:val="000517EA"/>
    <w:rsid w:val="0005189E"/>
    <w:rsid w:val="000535F3"/>
    <w:rsid w:val="00053942"/>
    <w:rsid w:val="00054372"/>
    <w:rsid w:val="0005459C"/>
    <w:rsid w:val="00054C2C"/>
    <w:rsid w:val="00055450"/>
    <w:rsid w:val="000558C6"/>
    <w:rsid w:val="00056443"/>
    <w:rsid w:val="00057C1A"/>
    <w:rsid w:val="0006075D"/>
    <w:rsid w:val="00060931"/>
    <w:rsid w:val="00060D5B"/>
    <w:rsid w:val="00060DEF"/>
    <w:rsid w:val="00060E18"/>
    <w:rsid w:val="00060F48"/>
    <w:rsid w:val="000615E5"/>
    <w:rsid w:val="00061B3E"/>
    <w:rsid w:val="00062290"/>
    <w:rsid w:val="00062407"/>
    <w:rsid w:val="00062933"/>
    <w:rsid w:val="00062C83"/>
    <w:rsid w:val="00062E5F"/>
    <w:rsid w:val="00063905"/>
    <w:rsid w:val="000642E3"/>
    <w:rsid w:val="00064B74"/>
    <w:rsid w:val="00065CAC"/>
    <w:rsid w:val="00065DF3"/>
    <w:rsid w:val="00065E39"/>
    <w:rsid w:val="00066032"/>
    <w:rsid w:val="00066110"/>
    <w:rsid w:val="0006619A"/>
    <w:rsid w:val="00066526"/>
    <w:rsid w:val="00066B77"/>
    <w:rsid w:val="00066B9B"/>
    <w:rsid w:val="00067B03"/>
    <w:rsid w:val="00070963"/>
    <w:rsid w:val="000709ED"/>
    <w:rsid w:val="00072184"/>
    <w:rsid w:val="00072409"/>
    <w:rsid w:val="000735DD"/>
    <w:rsid w:val="000738E5"/>
    <w:rsid w:val="00073A8E"/>
    <w:rsid w:val="0007424C"/>
    <w:rsid w:val="00074540"/>
    <w:rsid w:val="00074596"/>
    <w:rsid w:val="00074A48"/>
    <w:rsid w:val="00074EE8"/>
    <w:rsid w:val="00075A10"/>
    <w:rsid w:val="00075EEF"/>
    <w:rsid w:val="0007635E"/>
    <w:rsid w:val="00076508"/>
    <w:rsid w:val="00076E19"/>
    <w:rsid w:val="00077E02"/>
    <w:rsid w:val="000804CF"/>
    <w:rsid w:val="00080779"/>
    <w:rsid w:val="00080918"/>
    <w:rsid w:val="00080D33"/>
    <w:rsid w:val="000810B8"/>
    <w:rsid w:val="00081316"/>
    <w:rsid w:val="00081445"/>
    <w:rsid w:val="000814E3"/>
    <w:rsid w:val="000819D1"/>
    <w:rsid w:val="00083AD6"/>
    <w:rsid w:val="00083F49"/>
    <w:rsid w:val="00083F77"/>
    <w:rsid w:val="00085CD9"/>
    <w:rsid w:val="00085F81"/>
    <w:rsid w:val="0008657D"/>
    <w:rsid w:val="00086E6C"/>
    <w:rsid w:val="00087E44"/>
    <w:rsid w:val="000909AB"/>
    <w:rsid w:val="00091232"/>
    <w:rsid w:val="00091506"/>
    <w:rsid w:val="00091923"/>
    <w:rsid w:val="00091B21"/>
    <w:rsid w:val="00091F05"/>
    <w:rsid w:val="000920BD"/>
    <w:rsid w:val="000922C3"/>
    <w:rsid w:val="00092783"/>
    <w:rsid w:val="0009310C"/>
    <w:rsid w:val="000932B4"/>
    <w:rsid w:val="00093847"/>
    <w:rsid w:val="00093FFE"/>
    <w:rsid w:val="0009416D"/>
    <w:rsid w:val="000941E6"/>
    <w:rsid w:val="000949B5"/>
    <w:rsid w:val="00094BA9"/>
    <w:rsid w:val="00094CFA"/>
    <w:rsid w:val="00095515"/>
    <w:rsid w:val="000956AE"/>
    <w:rsid w:val="00095E6D"/>
    <w:rsid w:val="00096225"/>
    <w:rsid w:val="000965BA"/>
    <w:rsid w:val="0009788B"/>
    <w:rsid w:val="000A006B"/>
    <w:rsid w:val="000A0433"/>
    <w:rsid w:val="000A0E9A"/>
    <w:rsid w:val="000A1038"/>
    <w:rsid w:val="000A1C27"/>
    <w:rsid w:val="000A27CB"/>
    <w:rsid w:val="000A2ABB"/>
    <w:rsid w:val="000A32A1"/>
    <w:rsid w:val="000A4519"/>
    <w:rsid w:val="000A4C5D"/>
    <w:rsid w:val="000A4DE8"/>
    <w:rsid w:val="000A5DA8"/>
    <w:rsid w:val="000A7042"/>
    <w:rsid w:val="000A7F48"/>
    <w:rsid w:val="000B0168"/>
    <w:rsid w:val="000B05B9"/>
    <w:rsid w:val="000B12F5"/>
    <w:rsid w:val="000B18EC"/>
    <w:rsid w:val="000B1AE4"/>
    <w:rsid w:val="000B1DE5"/>
    <w:rsid w:val="000B1E51"/>
    <w:rsid w:val="000B242E"/>
    <w:rsid w:val="000B28AF"/>
    <w:rsid w:val="000B34CC"/>
    <w:rsid w:val="000B366E"/>
    <w:rsid w:val="000B3863"/>
    <w:rsid w:val="000B39D9"/>
    <w:rsid w:val="000B39E0"/>
    <w:rsid w:val="000B4D19"/>
    <w:rsid w:val="000B56EB"/>
    <w:rsid w:val="000B5817"/>
    <w:rsid w:val="000B6213"/>
    <w:rsid w:val="000B6AB1"/>
    <w:rsid w:val="000B6BCA"/>
    <w:rsid w:val="000B6DDC"/>
    <w:rsid w:val="000B7319"/>
    <w:rsid w:val="000B78B6"/>
    <w:rsid w:val="000C0C32"/>
    <w:rsid w:val="000C2331"/>
    <w:rsid w:val="000C3120"/>
    <w:rsid w:val="000C32EF"/>
    <w:rsid w:val="000C37E9"/>
    <w:rsid w:val="000C3A62"/>
    <w:rsid w:val="000C43EC"/>
    <w:rsid w:val="000C444F"/>
    <w:rsid w:val="000C4BA4"/>
    <w:rsid w:val="000C611F"/>
    <w:rsid w:val="000C702E"/>
    <w:rsid w:val="000C7070"/>
    <w:rsid w:val="000C70EB"/>
    <w:rsid w:val="000C79CA"/>
    <w:rsid w:val="000C7CF4"/>
    <w:rsid w:val="000C7EB2"/>
    <w:rsid w:val="000C7FA2"/>
    <w:rsid w:val="000D0B70"/>
    <w:rsid w:val="000D118E"/>
    <w:rsid w:val="000D2AF9"/>
    <w:rsid w:val="000D31E8"/>
    <w:rsid w:val="000D3D97"/>
    <w:rsid w:val="000D40AA"/>
    <w:rsid w:val="000D430B"/>
    <w:rsid w:val="000D4876"/>
    <w:rsid w:val="000D4F25"/>
    <w:rsid w:val="000D5B42"/>
    <w:rsid w:val="000D5D7B"/>
    <w:rsid w:val="000D5E44"/>
    <w:rsid w:val="000D6AA9"/>
    <w:rsid w:val="000D71A1"/>
    <w:rsid w:val="000E0FA9"/>
    <w:rsid w:val="000E143F"/>
    <w:rsid w:val="000E1E13"/>
    <w:rsid w:val="000E1E24"/>
    <w:rsid w:val="000E35EF"/>
    <w:rsid w:val="000E3782"/>
    <w:rsid w:val="000E3808"/>
    <w:rsid w:val="000E599D"/>
    <w:rsid w:val="000E616B"/>
    <w:rsid w:val="000E780E"/>
    <w:rsid w:val="000E7938"/>
    <w:rsid w:val="000F05ED"/>
    <w:rsid w:val="000F074C"/>
    <w:rsid w:val="000F14B3"/>
    <w:rsid w:val="000F1BAD"/>
    <w:rsid w:val="000F1FB9"/>
    <w:rsid w:val="000F2008"/>
    <w:rsid w:val="000F2274"/>
    <w:rsid w:val="000F22C2"/>
    <w:rsid w:val="000F3688"/>
    <w:rsid w:val="000F3DB1"/>
    <w:rsid w:val="000F457C"/>
    <w:rsid w:val="000F45F2"/>
    <w:rsid w:val="000F4CF6"/>
    <w:rsid w:val="000F5327"/>
    <w:rsid w:val="000F541F"/>
    <w:rsid w:val="000F5BD4"/>
    <w:rsid w:val="000F5C84"/>
    <w:rsid w:val="000F6159"/>
    <w:rsid w:val="000F64B0"/>
    <w:rsid w:val="000F6642"/>
    <w:rsid w:val="000F6A5B"/>
    <w:rsid w:val="000F6D67"/>
    <w:rsid w:val="000F74BE"/>
    <w:rsid w:val="000F7A7A"/>
    <w:rsid w:val="00100207"/>
    <w:rsid w:val="001007AB"/>
    <w:rsid w:val="00100953"/>
    <w:rsid w:val="00101D52"/>
    <w:rsid w:val="00102464"/>
    <w:rsid w:val="00102C03"/>
    <w:rsid w:val="00102D24"/>
    <w:rsid w:val="0010410A"/>
    <w:rsid w:val="00104A30"/>
    <w:rsid w:val="0010501C"/>
    <w:rsid w:val="00105CB5"/>
    <w:rsid w:val="001060E6"/>
    <w:rsid w:val="0010653E"/>
    <w:rsid w:val="0010686B"/>
    <w:rsid w:val="00106FDB"/>
    <w:rsid w:val="001078B0"/>
    <w:rsid w:val="00107A3C"/>
    <w:rsid w:val="00107AC3"/>
    <w:rsid w:val="00107F6A"/>
    <w:rsid w:val="00110C24"/>
    <w:rsid w:val="0011107B"/>
    <w:rsid w:val="001110CE"/>
    <w:rsid w:val="00111199"/>
    <w:rsid w:val="001119E2"/>
    <w:rsid w:val="0011242A"/>
    <w:rsid w:val="001124C9"/>
    <w:rsid w:val="0011287C"/>
    <w:rsid w:val="00113B83"/>
    <w:rsid w:val="00113DFE"/>
    <w:rsid w:val="001148CF"/>
    <w:rsid w:val="00114901"/>
    <w:rsid w:val="00114B71"/>
    <w:rsid w:val="00114E69"/>
    <w:rsid w:val="001151FD"/>
    <w:rsid w:val="00115C97"/>
    <w:rsid w:val="00116449"/>
    <w:rsid w:val="00116A75"/>
    <w:rsid w:val="00117524"/>
    <w:rsid w:val="00117789"/>
    <w:rsid w:val="001179B8"/>
    <w:rsid w:val="00117E28"/>
    <w:rsid w:val="00121124"/>
    <w:rsid w:val="00121456"/>
    <w:rsid w:val="00121787"/>
    <w:rsid w:val="00121B3C"/>
    <w:rsid w:val="00121ED5"/>
    <w:rsid w:val="00122034"/>
    <w:rsid w:val="0012262D"/>
    <w:rsid w:val="0012282B"/>
    <w:rsid w:val="00122C41"/>
    <w:rsid w:val="00122FE5"/>
    <w:rsid w:val="00123161"/>
    <w:rsid w:val="00123345"/>
    <w:rsid w:val="001239DB"/>
    <w:rsid w:val="001246CC"/>
    <w:rsid w:val="00124923"/>
    <w:rsid w:val="00124AA9"/>
    <w:rsid w:val="00124CB1"/>
    <w:rsid w:val="001253DB"/>
    <w:rsid w:val="001253F4"/>
    <w:rsid w:val="00125F9A"/>
    <w:rsid w:val="001261B4"/>
    <w:rsid w:val="001266FA"/>
    <w:rsid w:val="001267F4"/>
    <w:rsid w:val="0012690C"/>
    <w:rsid w:val="00126959"/>
    <w:rsid w:val="00126EBF"/>
    <w:rsid w:val="0012709B"/>
    <w:rsid w:val="00127222"/>
    <w:rsid w:val="0012740E"/>
    <w:rsid w:val="0012773C"/>
    <w:rsid w:val="00130398"/>
    <w:rsid w:val="001303DB"/>
    <w:rsid w:val="00130637"/>
    <w:rsid w:val="00131445"/>
    <w:rsid w:val="001319F6"/>
    <w:rsid w:val="00131F1B"/>
    <w:rsid w:val="001321D9"/>
    <w:rsid w:val="00132236"/>
    <w:rsid w:val="00132443"/>
    <w:rsid w:val="00132488"/>
    <w:rsid w:val="00132930"/>
    <w:rsid w:val="00133084"/>
    <w:rsid w:val="001331CE"/>
    <w:rsid w:val="0013360B"/>
    <w:rsid w:val="00133B2D"/>
    <w:rsid w:val="00133DF2"/>
    <w:rsid w:val="00134655"/>
    <w:rsid w:val="001346C0"/>
    <w:rsid w:val="00134B2F"/>
    <w:rsid w:val="00134F82"/>
    <w:rsid w:val="00135090"/>
    <w:rsid w:val="00135416"/>
    <w:rsid w:val="001354AA"/>
    <w:rsid w:val="00135933"/>
    <w:rsid w:val="00137923"/>
    <w:rsid w:val="00140640"/>
    <w:rsid w:val="00140B55"/>
    <w:rsid w:val="00141841"/>
    <w:rsid w:val="00142692"/>
    <w:rsid w:val="00142745"/>
    <w:rsid w:val="001427DE"/>
    <w:rsid w:val="00143736"/>
    <w:rsid w:val="00143E3D"/>
    <w:rsid w:val="00144ACB"/>
    <w:rsid w:val="00144B69"/>
    <w:rsid w:val="001450D9"/>
    <w:rsid w:val="00145ACC"/>
    <w:rsid w:val="00145DD2"/>
    <w:rsid w:val="00145EBB"/>
    <w:rsid w:val="001460C2"/>
    <w:rsid w:val="00146C89"/>
    <w:rsid w:val="00146CFE"/>
    <w:rsid w:val="001474D0"/>
    <w:rsid w:val="001476EB"/>
    <w:rsid w:val="0014799E"/>
    <w:rsid w:val="00147C62"/>
    <w:rsid w:val="0015038C"/>
    <w:rsid w:val="001505A8"/>
    <w:rsid w:val="00150C1D"/>
    <w:rsid w:val="0015194F"/>
    <w:rsid w:val="00151E3F"/>
    <w:rsid w:val="00152889"/>
    <w:rsid w:val="0015366B"/>
    <w:rsid w:val="00154208"/>
    <w:rsid w:val="001551E8"/>
    <w:rsid w:val="0015557D"/>
    <w:rsid w:val="00155DD5"/>
    <w:rsid w:val="00156895"/>
    <w:rsid w:val="00156A0A"/>
    <w:rsid w:val="00156A92"/>
    <w:rsid w:val="001572C3"/>
    <w:rsid w:val="001577BF"/>
    <w:rsid w:val="00160194"/>
    <w:rsid w:val="0016033F"/>
    <w:rsid w:val="001609DD"/>
    <w:rsid w:val="00160A3E"/>
    <w:rsid w:val="00160BA0"/>
    <w:rsid w:val="00160BDB"/>
    <w:rsid w:val="00160C90"/>
    <w:rsid w:val="001619FE"/>
    <w:rsid w:val="001629FD"/>
    <w:rsid w:val="00162D76"/>
    <w:rsid w:val="0016341F"/>
    <w:rsid w:val="00164068"/>
    <w:rsid w:val="00164285"/>
    <w:rsid w:val="00164526"/>
    <w:rsid w:val="00164726"/>
    <w:rsid w:val="00164F53"/>
    <w:rsid w:val="001666DF"/>
    <w:rsid w:val="00166CE4"/>
    <w:rsid w:val="00166FD7"/>
    <w:rsid w:val="00167C6A"/>
    <w:rsid w:val="00167E41"/>
    <w:rsid w:val="00167FC6"/>
    <w:rsid w:val="0017007A"/>
    <w:rsid w:val="0017053A"/>
    <w:rsid w:val="001717C4"/>
    <w:rsid w:val="0017203A"/>
    <w:rsid w:val="00172AE3"/>
    <w:rsid w:val="001738F8"/>
    <w:rsid w:val="00173BA5"/>
    <w:rsid w:val="00174223"/>
    <w:rsid w:val="00174E74"/>
    <w:rsid w:val="00175226"/>
    <w:rsid w:val="00175B78"/>
    <w:rsid w:val="00175F18"/>
    <w:rsid w:val="00176D28"/>
    <w:rsid w:val="00177298"/>
    <w:rsid w:val="00177C43"/>
    <w:rsid w:val="0018026A"/>
    <w:rsid w:val="00180938"/>
    <w:rsid w:val="00180971"/>
    <w:rsid w:val="00180BAA"/>
    <w:rsid w:val="00180CA5"/>
    <w:rsid w:val="00182027"/>
    <w:rsid w:val="0018222E"/>
    <w:rsid w:val="00182254"/>
    <w:rsid w:val="00184081"/>
    <w:rsid w:val="00184D06"/>
    <w:rsid w:val="00185225"/>
    <w:rsid w:val="00185971"/>
    <w:rsid w:val="001862E7"/>
    <w:rsid w:val="00186BFF"/>
    <w:rsid w:val="00187482"/>
    <w:rsid w:val="00187651"/>
    <w:rsid w:val="00187CCF"/>
    <w:rsid w:val="00187EA6"/>
    <w:rsid w:val="00190389"/>
    <w:rsid w:val="00190969"/>
    <w:rsid w:val="001923E0"/>
    <w:rsid w:val="00192B83"/>
    <w:rsid w:val="0019440F"/>
    <w:rsid w:val="001945D9"/>
    <w:rsid w:val="00194E7B"/>
    <w:rsid w:val="00194FDA"/>
    <w:rsid w:val="00195D3A"/>
    <w:rsid w:val="00195F00"/>
    <w:rsid w:val="001962D9"/>
    <w:rsid w:val="00196300"/>
    <w:rsid w:val="00196613"/>
    <w:rsid w:val="00196633"/>
    <w:rsid w:val="00196DD4"/>
    <w:rsid w:val="00196EE2"/>
    <w:rsid w:val="00197A15"/>
    <w:rsid w:val="001A0021"/>
    <w:rsid w:val="001A002B"/>
    <w:rsid w:val="001A0403"/>
    <w:rsid w:val="001A0628"/>
    <w:rsid w:val="001A070C"/>
    <w:rsid w:val="001A09F6"/>
    <w:rsid w:val="001A11EC"/>
    <w:rsid w:val="001A15FC"/>
    <w:rsid w:val="001A16E6"/>
    <w:rsid w:val="001A1E14"/>
    <w:rsid w:val="001A291A"/>
    <w:rsid w:val="001A2CF1"/>
    <w:rsid w:val="001A2FA7"/>
    <w:rsid w:val="001A3FDE"/>
    <w:rsid w:val="001A44F6"/>
    <w:rsid w:val="001A490B"/>
    <w:rsid w:val="001A4925"/>
    <w:rsid w:val="001A4AC4"/>
    <w:rsid w:val="001A5176"/>
    <w:rsid w:val="001A5583"/>
    <w:rsid w:val="001A5C60"/>
    <w:rsid w:val="001A5DB9"/>
    <w:rsid w:val="001A6C4C"/>
    <w:rsid w:val="001A6C67"/>
    <w:rsid w:val="001A6E24"/>
    <w:rsid w:val="001A7281"/>
    <w:rsid w:val="001A7C73"/>
    <w:rsid w:val="001B07F0"/>
    <w:rsid w:val="001B0941"/>
    <w:rsid w:val="001B1D1B"/>
    <w:rsid w:val="001B20C3"/>
    <w:rsid w:val="001B2140"/>
    <w:rsid w:val="001B24DD"/>
    <w:rsid w:val="001B274E"/>
    <w:rsid w:val="001B2C25"/>
    <w:rsid w:val="001B2C4F"/>
    <w:rsid w:val="001B3B6D"/>
    <w:rsid w:val="001B3C3E"/>
    <w:rsid w:val="001B4857"/>
    <w:rsid w:val="001B491E"/>
    <w:rsid w:val="001B4A0F"/>
    <w:rsid w:val="001B4E91"/>
    <w:rsid w:val="001B578A"/>
    <w:rsid w:val="001B579D"/>
    <w:rsid w:val="001B5AF3"/>
    <w:rsid w:val="001B64AF"/>
    <w:rsid w:val="001B6D03"/>
    <w:rsid w:val="001B7086"/>
    <w:rsid w:val="001C208A"/>
    <w:rsid w:val="001C21ED"/>
    <w:rsid w:val="001C32C6"/>
    <w:rsid w:val="001C40B3"/>
    <w:rsid w:val="001C420A"/>
    <w:rsid w:val="001C4259"/>
    <w:rsid w:val="001C4283"/>
    <w:rsid w:val="001C502E"/>
    <w:rsid w:val="001C5393"/>
    <w:rsid w:val="001C56BD"/>
    <w:rsid w:val="001C5A0E"/>
    <w:rsid w:val="001C6875"/>
    <w:rsid w:val="001C6A54"/>
    <w:rsid w:val="001C6C03"/>
    <w:rsid w:val="001C6D2C"/>
    <w:rsid w:val="001C74D5"/>
    <w:rsid w:val="001C7F7F"/>
    <w:rsid w:val="001C7FF1"/>
    <w:rsid w:val="001D09E5"/>
    <w:rsid w:val="001D0F69"/>
    <w:rsid w:val="001D1445"/>
    <w:rsid w:val="001D1E76"/>
    <w:rsid w:val="001D2268"/>
    <w:rsid w:val="001D2C3E"/>
    <w:rsid w:val="001D322F"/>
    <w:rsid w:val="001D420A"/>
    <w:rsid w:val="001D454A"/>
    <w:rsid w:val="001D4659"/>
    <w:rsid w:val="001D4A33"/>
    <w:rsid w:val="001D64B8"/>
    <w:rsid w:val="001D6B1E"/>
    <w:rsid w:val="001D7700"/>
    <w:rsid w:val="001E046B"/>
    <w:rsid w:val="001E0680"/>
    <w:rsid w:val="001E0EED"/>
    <w:rsid w:val="001E1362"/>
    <w:rsid w:val="001E15CD"/>
    <w:rsid w:val="001E15DB"/>
    <w:rsid w:val="001E1CF7"/>
    <w:rsid w:val="001E1F3D"/>
    <w:rsid w:val="001E2329"/>
    <w:rsid w:val="001E27B4"/>
    <w:rsid w:val="001E29E9"/>
    <w:rsid w:val="001E3137"/>
    <w:rsid w:val="001E33A0"/>
    <w:rsid w:val="001E41A2"/>
    <w:rsid w:val="001E460B"/>
    <w:rsid w:val="001E5B51"/>
    <w:rsid w:val="001E5E9F"/>
    <w:rsid w:val="001E6286"/>
    <w:rsid w:val="001E6391"/>
    <w:rsid w:val="001E66F1"/>
    <w:rsid w:val="001E7BE6"/>
    <w:rsid w:val="001F0D5E"/>
    <w:rsid w:val="001F0EBD"/>
    <w:rsid w:val="001F15A9"/>
    <w:rsid w:val="001F19A5"/>
    <w:rsid w:val="001F2689"/>
    <w:rsid w:val="001F45F3"/>
    <w:rsid w:val="001F5282"/>
    <w:rsid w:val="001F53F5"/>
    <w:rsid w:val="001F5A12"/>
    <w:rsid w:val="001F5C21"/>
    <w:rsid w:val="001F5E58"/>
    <w:rsid w:val="001F6161"/>
    <w:rsid w:val="001F623E"/>
    <w:rsid w:val="001F6298"/>
    <w:rsid w:val="001F6477"/>
    <w:rsid w:val="001F7ABD"/>
    <w:rsid w:val="00200949"/>
    <w:rsid w:val="00200AF1"/>
    <w:rsid w:val="00200CFE"/>
    <w:rsid w:val="002015CD"/>
    <w:rsid w:val="00201743"/>
    <w:rsid w:val="002018A5"/>
    <w:rsid w:val="00201EDF"/>
    <w:rsid w:val="00202E26"/>
    <w:rsid w:val="00203D22"/>
    <w:rsid w:val="00204A1B"/>
    <w:rsid w:val="00204D59"/>
    <w:rsid w:val="0020589A"/>
    <w:rsid w:val="00205A5E"/>
    <w:rsid w:val="002060DF"/>
    <w:rsid w:val="00206762"/>
    <w:rsid w:val="00206976"/>
    <w:rsid w:val="002070C1"/>
    <w:rsid w:val="00210911"/>
    <w:rsid w:val="00210D01"/>
    <w:rsid w:val="00210E6A"/>
    <w:rsid w:val="00210FAC"/>
    <w:rsid w:val="002110E4"/>
    <w:rsid w:val="00211C31"/>
    <w:rsid w:val="00213EEE"/>
    <w:rsid w:val="00214705"/>
    <w:rsid w:val="002150F0"/>
    <w:rsid w:val="002154AD"/>
    <w:rsid w:val="00215B23"/>
    <w:rsid w:val="00215EF0"/>
    <w:rsid w:val="002179F6"/>
    <w:rsid w:val="00217A0F"/>
    <w:rsid w:val="00217B23"/>
    <w:rsid w:val="002203A5"/>
    <w:rsid w:val="0022182F"/>
    <w:rsid w:val="00222A55"/>
    <w:rsid w:val="00222C6D"/>
    <w:rsid w:val="00223562"/>
    <w:rsid w:val="00224918"/>
    <w:rsid w:val="00225173"/>
    <w:rsid w:val="0022567C"/>
    <w:rsid w:val="002257DC"/>
    <w:rsid w:val="002261EC"/>
    <w:rsid w:val="002265DF"/>
    <w:rsid w:val="0022780A"/>
    <w:rsid w:val="002279E7"/>
    <w:rsid w:val="00227BB8"/>
    <w:rsid w:val="00227EFD"/>
    <w:rsid w:val="00227FFC"/>
    <w:rsid w:val="002308D9"/>
    <w:rsid w:val="0023235D"/>
    <w:rsid w:val="002323C2"/>
    <w:rsid w:val="0023240E"/>
    <w:rsid w:val="00232614"/>
    <w:rsid w:val="002327CC"/>
    <w:rsid w:val="00232C5F"/>
    <w:rsid w:val="00232E59"/>
    <w:rsid w:val="00232E84"/>
    <w:rsid w:val="0023320C"/>
    <w:rsid w:val="002332CD"/>
    <w:rsid w:val="0023366A"/>
    <w:rsid w:val="00233931"/>
    <w:rsid w:val="00233CE9"/>
    <w:rsid w:val="00233D4D"/>
    <w:rsid w:val="00233E47"/>
    <w:rsid w:val="002347BF"/>
    <w:rsid w:val="002354EE"/>
    <w:rsid w:val="00235C75"/>
    <w:rsid w:val="00235E13"/>
    <w:rsid w:val="0023647A"/>
    <w:rsid w:val="0023647C"/>
    <w:rsid w:val="00236880"/>
    <w:rsid w:val="00236985"/>
    <w:rsid w:val="00236A51"/>
    <w:rsid w:val="00236D04"/>
    <w:rsid w:val="002401D1"/>
    <w:rsid w:val="00241149"/>
    <w:rsid w:val="002412AD"/>
    <w:rsid w:val="00241365"/>
    <w:rsid w:val="00241401"/>
    <w:rsid w:val="00241A7D"/>
    <w:rsid w:val="002423EE"/>
    <w:rsid w:val="00242592"/>
    <w:rsid w:val="0024382C"/>
    <w:rsid w:val="00243E88"/>
    <w:rsid w:val="00244294"/>
    <w:rsid w:val="0024462D"/>
    <w:rsid w:val="00245620"/>
    <w:rsid w:val="002456BF"/>
    <w:rsid w:val="0024582B"/>
    <w:rsid w:val="00245E85"/>
    <w:rsid w:val="0024650A"/>
    <w:rsid w:val="002467D5"/>
    <w:rsid w:val="00247B11"/>
    <w:rsid w:val="00247F36"/>
    <w:rsid w:val="002511B2"/>
    <w:rsid w:val="002516D8"/>
    <w:rsid w:val="00251BBE"/>
    <w:rsid w:val="002524DE"/>
    <w:rsid w:val="00253196"/>
    <w:rsid w:val="00253242"/>
    <w:rsid w:val="00254086"/>
    <w:rsid w:val="00254178"/>
    <w:rsid w:val="00254568"/>
    <w:rsid w:val="00254F44"/>
    <w:rsid w:val="002555E5"/>
    <w:rsid w:val="00255F2F"/>
    <w:rsid w:val="00255F6A"/>
    <w:rsid w:val="00256274"/>
    <w:rsid w:val="002566F8"/>
    <w:rsid w:val="00256808"/>
    <w:rsid w:val="0025734F"/>
    <w:rsid w:val="002578F8"/>
    <w:rsid w:val="00257B6A"/>
    <w:rsid w:val="00257C9C"/>
    <w:rsid w:val="00257DBB"/>
    <w:rsid w:val="00257E90"/>
    <w:rsid w:val="002600B6"/>
    <w:rsid w:val="002604CC"/>
    <w:rsid w:val="00260917"/>
    <w:rsid w:val="00260D0C"/>
    <w:rsid w:val="002612F2"/>
    <w:rsid w:val="00261461"/>
    <w:rsid w:val="00261BD7"/>
    <w:rsid w:val="00262012"/>
    <w:rsid w:val="0026298F"/>
    <w:rsid w:val="00263005"/>
    <w:rsid w:val="0026301A"/>
    <w:rsid w:val="00263698"/>
    <w:rsid w:val="002637FD"/>
    <w:rsid w:val="00263CA0"/>
    <w:rsid w:val="00264536"/>
    <w:rsid w:val="002649AE"/>
    <w:rsid w:val="00264A4B"/>
    <w:rsid w:val="002650FA"/>
    <w:rsid w:val="002651AC"/>
    <w:rsid w:val="0026698D"/>
    <w:rsid w:val="00266BCC"/>
    <w:rsid w:val="00267A4E"/>
    <w:rsid w:val="00270411"/>
    <w:rsid w:val="002707A4"/>
    <w:rsid w:val="00270A39"/>
    <w:rsid w:val="00270BED"/>
    <w:rsid w:val="0027133B"/>
    <w:rsid w:val="002718BF"/>
    <w:rsid w:val="00273547"/>
    <w:rsid w:val="00273939"/>
    <w:rsid w:val="00273C07"/>
    <w:rsid w:val="00274681"/>
    <w:rsid w:val="00274970"/>
    <w:rsid w:val="002749FB"/>
    <w:rsid w:val="00275553"/>
    <w:rsid w:val="00275B7E"/>
    <w:rsid w:val="00275F7B"/>
    <w:rsid w:val="002769C1"/>
    <w:rsid w:val="00276A39"/>
    <w:rsid w:val="002771B1"/>
    <w:rsid w:val="002776D4"/>
    <w:rsid w:val="002777F4"/>
    <w:rsid w:val="00277A4C"/>
    <w:rsid w:val="002800C8"/>
    <w:rsid w:val="002803BD"/>
    <w:rsid w:val="00280FA6"/>
    <w:rsid w:val="002814FD"/>
    <w:rsid w:val="00282BE8"/>
    <w:rsid w:val="00283514"/>
    <w:rsid w:val="00284A83"/>
    <w:rsid w:val="00284E1C"/>
    <w:rsid w:val="002857A9"/>
    <w:rsid w:val="002869BA"/>
    <w:rsid w:val="0028749F"/>
    <w:rsid w:val="00287658"/>
    <w:rsid w:val="002900DC"/>
    <w:rsid w:val="002904D4"/>
    <w:rsid w:val="00290519"/>
    <w:rsid w:val="00290774"/>
    <w:rsid w:val="00292A12"/>
    <w:rsid w:val="002930B4"/>
    <w:rsid w:val="0029322D"/>
    <w:rsid w:val="00293BFA"/>
    <w:rsid w:val="00293D31"/>
    <w:rsid w:val="00294082"/>
    <w:rsid w:val="00294342"/>
    <w:rsid w:val="00294BD8"/>
    <w:rsid w:val="00294CB7"/>
    <w:rsid w:val="00294DCE"/>
    <w:rsid w:val="00295587"/>
    <w:rsid w:val="00295A98"/>
    <w:rsid w:val="00295CC0"/>
    <w:rsid w:val="00296022"/>
    <w:rsid w:val="002966CC"/>
    <w:rsid w:val="00296CA4"/>
    <w:rsid w:val="00297673"/>
    <w:rsid w:val="00297E99"/>
    <w:rsid w:val="002A015B"/>
    <w:rsid w:val="002A0920"/>
    <w:rsid w:val="002A0938"/>
    <w:rsid w:val="002A0FCC"/>
    <w:rsid w:val="002A1795"/>
    <w:rsid w:val="002A2A21"/>
    <w:rsid w:val="002A5CEE"/>
    <w:rsid w:val="002A69D0"/>
    <w:rsid w:val="002A6BB3"/>
    <w:rsid w:val="002A6E74"/>
    <w:rsid w:val="002A71F3"/>
    <w:rsid w:val="002A77F0"/>
    <w:rsid w:val="002A78C4"/>
    <w:rsid w:val="002A78EB"/>
    <w:rsid w:val="002B01AB"/>
    <w:rsid w:val="002B028C"/>
    <w:rsid w:val="002B03E2"/>
    <w:rsid w:val="002B098F"/>
    <w:rsid w:val="002B0B08"/>
    <w:rsid w:val="002B14B6"/>
    <w:rsid w:val="002B1AC3"/>
    <w:rsid w:val="002B1B21"/>
    <w:rsid w:val="002B1F0A"/>
    <w:rsid w:val="002B2390"/>
    <w:rsid w:val="002B2489"/>
    <w:rsid w:val="002B3B6A"/>
    <w:rsid w:val="002B3C2F"/>
    <w:rsid w:val="002B42E5"/>
    <w:rsid w:val="002B5D04"/>
    <w:rsid w:val="002B5EFC"/>
    <w:rsid w:val="002B665F"/>
    <w:rsid w:val="002B6C7E"/>
    <w:rsid w:val="002B707F"/>
    <w:rsid w:val="002B746A"/>
    <w:rsid w:val="002B752E"/>
    <w:rsid w:val="002B7872"/>
    <w:rsid w:val="002B7F6F"/>
    <w:rsid w:val="002B7F7E"/>
    <w:rsid w:val="002C0182"/>
    <w:rsid w:val="002C0283"/>
    <w:rsid w:val="002C0721"/>
    <w:rsid w:val="002C1B2C"/>
    <w:rsid w:val="002C27E6"/>
    <w:rsid w:val="002C34F4"/>
    <w:rsid w:val="002C373F"/>
    <w:rsid w:val="002C39E7"/>
    <w:rsid w:val="002C3A83"/>
    <w:rsid w:val="002C424D"/>
    <w:rsid w:val="002C48A1"/>
    <w:rsid w:val="002C4A12"/>
    <w:rsid w:val="002C4F88"/>
    <w:rsid w:val="002C58BF"/>
    <w:rsid w:val="002C5A4B"/>
    <w:rsid w:val="002C5F15"/>
    <w:rsid w:val="002C66BA"/>
    <w:rsid w:val="002C66C5"/>
    <w:rsid w:val="002C70DC"/>
    <w:rsid w:val="002C7646"/>
    <w:rsid w:val="002C7B53"/>
    <w:rsid w:val="002C7DF3"/>
    <w:rsid w:val="002D00A8"/>
    <w:rsid w:val="002D019A"/>
    <w:rsid w:val="002D097C"/>
    <w:rsid w:val="002D0CA7"/>
    <w:rsid w:val="002D18E1"/>
    <w:rsid w:val="002D1B88"/>
    <w:rsid w:val="002D1C9B"/>
    <w:rsid w:val="002D2169"/>
    <w:rsid w:val="002D26A0"/>
    <w:rsid w:val="002D2985"/>
    <w:rsid w:val="002D2AD0"/>
    <w:rsid w:val="002D2AEA"/>
    <w:rsid w:val="002D2C1B"/>
    <w:rsid w:val="002D315C"/>
    <w:rsid w:val="002D482B"/>
    <w:rsid w:val="002D5146"/>
    <w:rsid w:val="002D54F3"/>
    <w:rsid w:val="002D56DB"/>
    <w:rsid w:val="002D59D1"/>
    <w:rsid w:val="002D5EED"/>
    <w:rsid w:val="002D6FF8"/>
    <w:rsid w:val="002D7264"/>
    <w:rsid w:val="002D78D9"/>
    <w:rsid w:val="002D78E6"/>
    <w:rsid w:val="002E03CD"/>
    <w:rsid w:val="002E05BD"/>
    <w:rsid w:val="002E1B16"/>
    <w:rsid w:val="002E1CC1"/>
    <w:rsid w:val="002E1FBD"/>
    <w:rsid w:val="002E2110"/>
    <w:rsid w:val="002E2D30"/>
    <w:rsid w:val="002E3555"/>
    <w:rsid w:val="002E35BD"/>
    <w:rsid w:val="002E3D69"/>
    <w:rsid w:val="002E3EEB"/>
    <w:rsid w:val="002E45CF"/>
    <w:rsid w:val="002E479A"/>
    <w:rsid w:val="002E4BC0"/>
    <w:rsid w:val="002E4BF4"/>
    <w:rsid w:val="002E4D96"/>
    <w:rsid w:val="002E51E2"/>
    <w:rsid w:val="002E5292"/>
    <w:rsid w:val="002E55E6"/>
    <w:rsid w:val="002E59C5"/>
    <w:rsid w:val="002E5A36"/>
    <w:rsid w:val="002E5C4D"/>
    <w:rsid w:val="002E62E2"/>
    <w:rsid w:val="002E652C"/>
    <w:rsid w:val="002E6A29"/>
    <w:rsid w:val="002E7023"/>
    <w:rsid w:val="002E749E"/>
    <w:rsid w:val="002F02EB"/>
    <w:rsid w:val="002F04D5"/>
    <w:rsid w:val="002F1E54"/>
    <w:rsid w:val="002F2EFF"/>
    <w:rsid w:val="002F2FFF"/>
    <w:rsid w:val="002F34AC"/>
    <w:rsid w:val="002F3664"/>
    <w:rsid w:val="002F37DA"/>
    <w:rsid w:val="002F4073"/>
    <w:rsid w:val="002F410C"/>
    <w:rsid w:val="002F46D3"/>
    <w:rsid w:val="002F4EA1"/>
    <w:rsid w:val="002F54DE"/>
    <w:rsid w:val="002F5ACE"/>
    <w:rsid w:val="002F5EB7"/>
    <w:rsid w:val="002F64EB"/>
    <w:rsid w:val="002F6876"/>
    <w:rsid w:val="002F69A3"/>
    <w:rsid w:val="002F6C5B"/>
    <w:rsid w:val="002F75C0"/>
    <w:rsid w:val="002F7B58"/>
    <w:rsid w:val="002F7D16"/>
    <w:rsid w:val="003006B8"/>
    <w:rsid w:val="00300808"/>
    <w:rsid w:val="003009D1"/>
    <w:rsid w:val="0030155C"/>
    <w:rsid w:val="00302814"/>
    <w:rsid w:val="00302F77"/>
    <w:rsid w:val="00303069"/>
    <w:rsid w:val="00303A49"/>
    <w:rsid w:val="00303ADF"/>
    <w:rsid w:val="00303B65"/>
    <w:rsid w:val="00305580"/>
    <w:rsid w:val="00305C26"/>
    <w:rsid w:val="00305D1F"/>
    <w:rsid w:val="00306A5A"/>
    <w:rsid w:val="00306D60"/>
    <w:rsid w:val="00306F82"/>
    <w:rsid w:val="003078DA"/>
    <w:rsid w:val="003079CD"/>
    <w:rsid w:val="003107A8"/>
    <w:rsid w:val="00310AF5"/>
    <w:rsid w:val="00310C48"/>
    <w:rsid w:val="00310F26"/>
    <w:rsid w:val="00311689"/>
    <w:rsid w:val="00312540"/>
    <w:rsid w:val="00312F05"/>
    <w:rsid w:val="00313330"/>
    <w:rsid w:val="003134B4"/>
    <w:rsid w:val="00313586"/>
    <w:rsid w:val="003135A2"/>
    <w:rsid w:val="00313B6C"/>
    <w:rsid w:val="00313E13"/>
    <w:rsid w:val="00314755"/>
    <w:rsid w:val="00314B1C"/>
    <w:rsid w:val="00314C8D"/>
    <w:rsid w:val="00314E02"/>
    <w:rsid w:val="00315E4D"/>
    <w:rsid w:val="0031611A"/>
    <w:rsid w:val="0031614D"/>
    <w:rsid w:val="0031672F"/>
    <w:rsid w:val="003167CA"/>
    <w:rsid w:val="00317675"/>
    <w:rsid w:val="00317FC6"/>
    <w:rsid w:val="00320A36"/>
    <w:rsid w:val="00320ECF"/>
    <w:rsid w:val="0032198A"/>
    <w:rsid w:val="00321AF5"/>
    <w:rsid w:val="00321B34"/>
    <w:rsid w:val="00321F59"/>
    <w:rsid w:val="00322265"/>
    <w:rsid w:val="00322533"/>
    <w:rsid w:val="00322CF2"/>
    <w:rsid w:val="00322D23"/>
    <w:rsid w:val="0032301C"/>
    <w:rsid w:val="003236B6"/>
    <w:rsid w:val="00323B00"/>
    <w:rsid w:val="0032430A"/>
    <w:rsid w:val="00324354"/>
    <w:rsid w:val="00324EB6"/>
    <w:rsid w:val="003251FB"/>
    <w:rsid w:val="0032544E"/>
    <w:rsid w:val="0032564D"/>
    <w:rsid w:val="00326492"/>
    <w:rsid w:val="00326590"/>
    <w:rsid w:val="00326635"/>
    <w:rsid w:val="003269E4"/>
    <w:rsid w:val="003274CE"/>
    <w:rsid w:val="00327CB6"/>
    <w:rsid w:val="003301DC"/>
    <w:rsid w:val="003303FF"/>
    <w:rsid w:val="00330772"/>
    <w:rsid w:val="0033095C"/>
    <w:rsid w:val="00330B7C"/>
    <w:rsid w:val="00330BFA"/>
    <w:rsid w:val="00331A9B"/>
    <w:rsid w:val="0033255E"/>
    <w:rsid w:val="00333B21"/>
    <w:rsid w:val="003347A4"/>
    <w:rsid w:val="003350AA"/>
    <w:rsid w:val="003360C4"/>
    <w:rsid w:val="00336379"/>
    <w:rsid w:val="00336931"/>
    <w:rsid w:val="00336A47"/>
    <w:rsid w:val="003372CD"/>
    <w:rsid w:val="003379AC"/>
    <w:rsid w:val="00337D65"/>
    <w:rsid w:val="00340830"/>
    <w:rsid w:val="00341210"/>
    <w:rsid w:val="00341F63"/>
    <w:rsid w:val="003428ED"/>
    <w:rsid w:val="003429D1"/>
    <w:rsid w:val="00342D2E"/>
    <w:rsid w:val="00342E73"/>
    <w:rsid w:val="0034382A"/>
    <w:rsid w:val="00343CB9"/>
    <w:rsid w:val="003446CB"/>
    <w:rsid w:val="00344FE9"/>
    <w:rsid w:val="00345159"/>
    <w:rsid w:val="00345301"/>
    <w:rsid w:val="0034561D"/>
    <w:rsid w:val="00345711"/>
    <w:rsid w:val="00345DF3"/>
    <w:rsid w:val="003464DF"/>
    <w:rsid w:val="0034653A"/>
    <w:rsid w:val="003465C4"/>
    <w:rsid w:val="003466E0"/>
    <w:rsid w:val="00346BDA"/>
    <w:rsid w:val="00347212"/>
    <w:rsid w:val="0034795C"/>
    <w:rsid w:val="00347C36"/>
    <w:rsid w:val="00350B01"/>
    <w:rsid w:val="00350E18"/>
    <w:rsid w:val="003514FA"/>
    <w:rsid w:val="00352085"/>
    <w:rsid w:val="00352E6D"/>
    <w:rsid w:val="00352F33"/>
    <w:rsid w:val="00352FDD"/>
    <w:rsid w:val="0035321D"/>
    <w:rsid w:val="00353634"/>
    <w:rsid w:val="003536E3"/>
    <w:rsid w:val="0035441A"/>
    <w:rsid w:val="00355505"/>
    <w:rsid w:val="0035624F"/>
    <w:rsid w:val="00356668"/>
    <w:rsid w:val="00356A8A"/>
    <w:rsid w:val="00356DE3"/>
    <w:rsid w:val="003573A7"/>
    <w:rsid w:val="003575B3"/>
    <w:rsid w:val="0035786F"/>
    <w:rsid w:val="0035793F"/>
    <w:rsid w:val="00357EC3"/>
    <w:rsid w:val="00357EFB"/>
    <w:rsid w:val="00360441"/>
    <w:rsid w:val="00360ED7"/>
    <w:rsid w:val="003616E1"/>
    <w:rsid w:val="00361B3A"/>
    <w:rsid w:val="00361D2B"/>
    <w:rsid w:val="003630C6"/>
    <w:rsid w:val="00363B54"/>
    <w:rsid w:val="003648C6"/>
    <w:rsid w:val="00364A00"/>
    <w:rsid w:val="00364C08"/>
    <w:rsid w:val="00364F41"/>
    <w:rsid w:val="00365550"/>
    <w:rsid w:val="00365B7E"/>
    <w:rsid w:val="00366377"/>
    <w:rsid w:val="0036663B"/>
    <w:rsid w:val="003666B1"/>
    <w:rsid w:val="00366A5F"/>
    <w:rsid w:val="003675B2"/>
    <w:rsid w:val="003677D5"/>
    <w:rsid w:val="0036781F"/>
    <w:rsid w:val="00370624"/>
    <w:rsid w:val="00370C24"/>
    <w:rsid w:val="00370C70"/>
    <w:rsid w:val="00370E7C"/>
    <w:rsid w:val="0037201B"/>
    <w:rsid w:val="003721BF"/>
    <w:rsid w:val="00372696"/>
    <w:rsid w:val="00372946"/>
    <w:rsid w:val="00372C33"/>
    <w:rsid w:val="00372DE4"/>
    <w:rsid w:val="0037395C"/>
    <w:rsid w:val="00373EC5"/>
    <w:rsid w:val="003740D6"/>
    <w:rsid w:val="00375003"/>
    <w:rsid w:val="00375136"/>
    <w:rsid w:val="003753DE"/>
    <w:rsid w:val="003757BE"/>
    <w:rsid w:val="00376A7F"/>
    <w:rsid w:val="00376CAE"/>
    <w:rsid w:val="00376E08"/>
    <w:rsid w:val="003773D6"/>
    <w:rsid w:val="00377621"/>
    <w:rsid w:val="00377645"/>
    <w:rsid w:val="0037775C"/>
    <w:rsid w:val="003779EB"/>
    <w:rsid w:val="00377AC3"/>
    <w:rsid w:val="00377BCA"/>
    <w:rsid w:val="00380030"/>
    <w:rsid w:val="0038007E"/>
    <w:rsid w:val="003811EA"/>
    <w:rsid w:val="00381AE5"/>
    <w:rsid w:val="00381B94"/>
    <w:rsid w:val="0038287E"/>
    <w:rsid w:val="003828AE"/>
    <w:rsid w:val="00382A27"/>
    <w:rsid w:val="00383A27"/>
    <w:rsid w:val="003841A2"/>
    <w:rsid w:val="003843C5"/>
    <w:rsid w:val="003846E9"/>
    <w:rsid w:val="00384BA6"/>
    <w:rsid w:val="00384E79"/>
    <w:rsid w:val="00386585"/>
    <w:rsid w:val="003874E7"/>
    <w:rsid w:val="00387A8F"/>
    <w:rsid w:val="00387D82"/>
    <w:rsid w:val="003900CB"/>
    <w:rsid w:val="003902B8"/>
    <w:rsid w:val="003905A9"/>
    <w:rsid w:val="00390DE9"/>
    <w:rsid w:val="00391540"/>
    <w:rsid w:val="003925BA"/>
    <w:rsid w:val="003928A1"/>
    <w:rsid w:val="00392FE0"/>
    <w:rsid w:val="00393E19"/>
    <w:rsid w:val="00393E83"/>
    <w:rsid w:val="003958D8"/>
    <w:rsid w:val="0039593A"/>
    <w:rsid w:val="00395EF7"/>
    <w:rsid w:val="003960CE"/>
    <w:rsid w:val="00396D96"/>
    <w:rsid w:val="00396F4E"/>
    <w:rsid w:val="00397D5C"/>
    <w:rsid w:val="003A0888"/>
    <w:rsid w:val="003A0904"/>
    <w:rsid w:val="003A14EA"/>
    <w:rsid w:val="003A15BA"/>
    <w:rsid w:val="003A1BE1"/>
    <w:rsid w:val="003A1CEC"/>
    <w:rsid w:val="003A1E0B"/>
    <w:rsid w:val="003A2101"/>
    <w:rsid w:val="003A2593"/>
    <w:rsid w:val="003A2595"/>
    <w:rsid w:val="003A29EE"/>
    <w:rsid w:val="003A2DF5"/>
    <w:rsid w:val="003A39B6"/>
    <w:rsid w:val="003A3D3B"/>
    <w:rsid w:val="003A403F"/>
    <w:rsid w:val="003A4390"/>
    <w:rsid w:val="003A4399"/>
    <w:rsid w:val="003A4681"/>
    <w:rsid w:val="003A49C9"/>
    <w:rsid w:val="003A4A2B"/>
    <w:rsid w:val="003A4D9E"/>
    <w:rsid w:val="003A4F71"/>
    <w:rsid w:val="003A4FED"/>
    <w:rsid w:val="003A5384"/>
    <w:rsid w:val="003A5763"/>
    <w:rsid w:val="003A5BC6"/>
    <w:rsid w:val="003A5D46"/>
    <w:rsid w:val="003A7A43"/>
    <w:rsid w:val="003A7E17"/>
    <w:rsid w:val="003B28C6"/>
    <w:rsid w:val="003B377C"/>
    <w:rsid w:val="003B37FC"/>
    <w:rsid w:val="003B4295"/>
    <w:rsid w:val="003B46B4"/>
    <w:rsid w:val="003B47B3"/>
    <w:rsid w:val="003B591A"/>
    <w:rsid w:val="003B59F1"/>
    <w:rsid w:val="003B661F"/>
    <w:rsid w:val="003B6688"/>
    <w:rsid w:val="003B736B"/>
    <w:rsid w:val="003B7938"/>
    <w:rsid w:val="003C0AD2"/>
    <w:rsid w:val="003C11E5"/>
    <w:rsid w:val="003C177A"/>
    <w:rsid w:val="003C1DBA"/>
    <w:rsid w:val="003C1DE3"/>
    <w:rsid w:val="003C293D"/>
    <w:rsid w:val="003C30BD"/>
    <w:rsid w:val="003C3353"/>
    <w:rsid w:val="003C3DF8"/>
    <w:rsid w:val="003C3E87"/>
    <w:rsid w:val="003C3FC3"/>
    <w:rsid w:val="003C4770"/>
    <w:rsid w:val="003C480A"/>
    <w:rsid w:val="003C4A0D"/>
    <w:rsid w:val="003C501C"/>
    <w:rsid w:val="003C5153"/>
    <w:rsid w:val="003C5682"/>
    <w:rsid w:val="003C5855"/>
    <w:rsid w:val="003C5986"/>
    <w:rsid w:val="003C5D6C"/>
    <w:rsid w:val="003C60C6"/>
    <w:rsid w:val="003C65A5"/>
    <w:rsid w:val="003C66B5"/>
    <w:rsid w:val="003C675B"/>
    <w:rsid w:val="003C704B"/>
    <w:rsid w:val="003C728D"/>
    <w:rsid w:val="003C7917"/>
    <w:rsid w:val="003C7927"/>
    <w:rsid w:val="003D019E"/>
    <w:rsid w:val="003D02DD"/>
    <w:rsid w:val="003D03D6"/>
    <w:rsid w:val="003D10EC"/>
    <w:rsid w:val="003D1383"/>
    <w:rsid w:val="003D1C64"/>
    <w:rsid w:val="003D21A8"/>
    <w:rsid w:val="003D2792"/>
    <w:rsid w:val="003D2C2F"/>
    <w:rsid w:val="003D3FB0"/>
    <w:rsid w:val="003D41C7"/>
    <w:rsid w:val="003D4EC0"/>
    <w:rsid w:val="003D569B"/>
    <w:rsid w:val="003D579F"/>
    <w:rsid w:val="003D58BC"/>
    <w:rsid w:val="003D5EEF"/>
    <w:rsid w:val="003D6195"/>
    <w:rsid w:val="003D7BFB"/>
    <w:rsid w:val="003D7C16"/>
    <w:rsid w:val="003D7D52"/>
    <w:rsid w:val="003E0B2C"/>
    <w:rsid w:val="003E13F6"/>
    <w:rsid w:val="003E1576"/>
    <w:rsid w:val="003E1868"/>
    <w:rsid w:val="003E2080"/>
    <w:rsid w:val="003E20FD"/>
    <w:rsid w:val="003E23D4"/>
    <w:rsid w:val="003E28BF"/>
    <w:rsid w:val="003E2D41"/>
    <w:rsid w:val="003E2E3C"/>
    <w:rsid w:val="003E30E0"/>
    <w:rsid w:val="003E35EE"/>
    <w:rsid w:val="003E3A51"/>
    <w:rsid w:val="003E3ED9"/>
    <w:rsid w:val="003E45E7"/>
    <w:rsid w:val="003E4815"/>
    <w:rsid w:val="003E4F82"/>
    <w:rsid w:val="003E552E"/>
    <w:rsid w:val="003E56C1"/>
    <w:rsid w:val="003E581C"/>
    <w:rsid w:val="003E69AD"/>
    <w:rsid w:val="003E6A03"/>
    <w:rsid w:val="003E6D1E"/>
    <w:rsid w:val="003E72EB"/>
    <w:rsid w:val="003F0955"/>
    <w:rsid w:val="003F0BA0"/>
    <w:rsid w:val="003F0EAD"/>
    <w:rsid w:val="003F11CD"/>
    <w:rsid w:val="003F18BD"/>
    <w:rsid w:val="003F1B33"/>
    <w:rsid w:val="003F1BFF"/>
    <w:rsid w:val="003F2DBA"/>
    <w:rsid w:val="003F3AC9"/>
    <w:rsid w:val="003F3AE2"/>
    <w:rsid w:val="003F4641"/>
    <w:rsid w:val="003F4DDA"/>
    <w:rsid w:val="003F50D5"/>
    <w:rsid w:val="003F52B9"/>
    <w:rsid w:val="003F539E"/>
    <w:rsid w:val="003F59A6"/>
    <w:rsid w:val="003F6B10"/>
    <w:rsid w:val="003F70EE"/>
    <w:rsid w:val="003F73E8"/>
    <w:rsid w:val="003F78E5"/>
    <w:rsid w:val="003F7912"/>
    <w:rsid w:val="003F7AAB"/>
    <w:rsid w:val="003F7D29"/>
    <w:rsid w:val="003F7F50"/>
    <w:rsid w:val="003F7F76"/>
    <w:rsid w:val="00400502"/>
    <w:rsid w:val="00400693"/>
    <w:rsid w:val="00400A1E"/>
    <w:rsid w:val="00401F77"/>
    <w:rsid w:val="00402283"/>
    <w:rsid w:val="00402445"/>
    <w:rsid w:val="00403152"/>
    <w:rsid w:val="004031DF"/>
    <w:rsid w:val="00403698"/>
    <w:rsid w:val="00403B2C"/>
    <w:rsid w:val="004043D6"/>
    <w:rsid w:val="00405EAC"/>
    <w:rsid w:val="004062A6"/>
    <w:rsid w:val="00410366"/>
    <w:rsid w:val="00410EC7"/>
    <w:rsid w:val="00410F61"/>
    <w:rsid w:val="0041177A"/>
    <w:rsid w:val="00412595"/>
    <w:rsid w:val="0041264F"/>
    <w:rsid w:val="004133C0"/>
    <w:rsid w:val="004136DD"/>
    <w:rsid w:val="004138F7"/>
    <w:rsid w:val="00413B61"/>
    <w:rsid w:val="00413F28"/>
    <w:rsid w:val="004147E6"/>
    <w:rsid w:val="00415EC6"/>
    <w:rsid w:val="004161F5"/>
    <w:rsid w:val="00416297"/>
    <w:rsid w:val="00417223"/>
    <w:rsid w:val="00417623"/>
    <w:rsid w:val="004179D8"/>
    <w:rsid w:val="00417EC6"/>
    <w:rsid w:val="00420AD1"/>
    <w:rsid w:val="00420F2A"/>
    <w:rsid w:val="004215C4"/>
    <w:rsid w:val="004216B3"/>
    <w:rsid w:val="00422858"/>
    <w:rsid w:val="00422896"/>
    <w:rsid w:val="00422B09"/>
    <w:rsid w:val="00422FB6"/>
    <w:rsid w:val="004238DB"/>
    <w:rsid w:val="00423AE9"/>
    <w:rsid w:val="004243B1"/>
    <w:rsid w:val="004244F7"/>
    <w:rsid w:val="00424B32"/>
    <w:rsid w:val="00424EED"/>
    <w:rsid w:val="00425076"/>
    <w:rsid w:val="00425977"/>
    <w:rsid w:val="00426148"/>
    <w:rsid w:val="00426B18"/>
    <w:rsid w:val="00426FDC"/>
    <w:rsid w:val="0042721A"/>
    <w:rsid w:val="00427666"/>
    <w:rsid w:val="00427E0D"/>
    <w:rsid w:val="004304B9"/>
    <w:rsid w:val="00431069"/>
    <w:rsid w:val="004316BA"/>
    <w:rsid w:val="00431728"/>
    <w:rsid w:val="00431E5D"/>
    <w:rsid w:val="00431EDA"/>
    <w:rsid w:val="00432A88"/>
    <w:rsid w:val="00432F3C"/>
    <w:rsid w:val="00433A71"/>
    <w:rsid w:val="00433E93"/>
    <w:rsid w:val="00434302"/>
    <w:rsid w:val="00434432"/>
    <w:rsid w:val="004345D0"/>
    <w:rsid w:val="00434835"/>
    <w:rsid w:val="00434A33"/>
    <w:rsid w:val="00434DD0"/>
    <w:rsid w:val="00435574"/>
    <w:rsid w:val="00435D27"/>
    <w:rsid w:val="004360DA"/>
    <w:rsid w:val="00436816"/>
    <w:rsid w:val="00436C84"/>
    <w:rsid w:val="00436F48"/>
    <w:rsid w:val="00436FE0"/>
    <w:rsid w:val="004372AA"/>
    <w:rsid w:val="0044159E"/>
    <w:rsid w:val="00441AB0"/>
    <w:rsid w:val="00441C70"/>
    <w:rsid w:val="00442BD0"/>
    <w:rsid w:val="00442E65"/>
    <w:rsid w:val="0044311D"/>
    <w:rsid w:val="004437D9"/>
    <w:rsid w:val="00443896"/>
    <w:rsid w:val="0044409D"/>
    <w:rsid w:val="004449B8"/>
    <w:rsid w:val="00445A57"/>
    <w:rsid w:val="00445F3B"/>
    <w:rsid w:val="004460F1"/>
    <w:rsid w:val="004466AC"/>
    <w:rsid w:val="004467D4"/>
    <w:rsid w:val="00446B0A"/>
    <w:rsid w:val="00446B0E"/>
    <w:rsid w:val="004470B1"/>
    <w:rsid w:val="00447323"/>
    <w:rsid w:val="0044750E"/>
    <w:rsid w:val="004476E6"/>
    <w:rsid w:val="004500C1"/>
    <w:rsid w:val="004520C8"/>
    <w:rsid w:val="00452261"/>
    <w:rsid w:val="00452671"/>
    <w:rsid w:val="00453916"/>
    <w:rsid w:val="00453EE6"/>
    <w:rsid w:val="00454489"/>
    <w:rsid w:val="0045456D"/>
    <w:rsid w:val="00454CBC"/>
    <w:rsid w:val="0045524B"/>
    <w:rsid w:val="0045537F"/>
    <w:rsid w:val="00455AFE"/>
    <w:rsid w:val="0045630E"/>
    <w:rsid w:val="0045716F"/>
    <w:rsid w:val="0045719F"/>
    <w:rsid w:val="0045796E"/>
    <w:rsid w:val="0046096A"/>
    <w:rsid w:val="00460E0E"/>
    <w:rsid w:val="004614C7"/>
    <w:rsid w:val="004620AD"/>
    <w:rsid w:val="0046277E"/>
    <w:rsid w:val="00462FC6"/>
    <w:rsid w:val="00463157"/>
    <w:rsid w:val="004633A2"/>
    <w:rsid w:val="004635B9"/>
    <w:rsid w:val="00463742"/>
    <w:rsid w:val="00463FC2"/>
    <w:rsid w:val="0046407E"/>
    <w:rsid w:val="00464509"/>
    <w:rsid w:val="00464DEB"/>
    <w:rsid w:val="004650A5"/>
    <w:rsid w:val="004654A7"/>
    <w:rsid w:val="0046619C"/>
    <w:rsid w:val="004662A3"/>
    <w:rsid w:val="00466CCF"/>
    <w:rsid w:val="00467EA5"/>
    <w:rsid w:val="0047027C"/>
    <w:rsid w:val="00470435"/>
    <w:rsid w:val="00470F83"/>
    <w:rsid w:val="004723B2"/>
    <w:rsid w:val="00472618"/>
    <w:rsid w:val="00472976"/>
    <w:rsid w:val="004729EC"/>
    <w:rsid w:val="00473188"/>
    <w:rsid w:val="00473197"/>
    <w:rsid w:val="00473D1C"/>
    <w:rsid w:val="0047507E"/>
    <w:rsid w:val="00475851"/>
    <w:rsid w:val="00475B38"/>
    <w:rsid w:val="00475B58"/>
    <w:rsid w:val="0047653D"/>
    <w:rsid w:val="00476808"/>
    <w:rsid w:val="00476F21"/>
    <w:rsid w:val="004775D2"/>
    <w:rsid w:val="004777E1"/>
    <w:rsid w:val="00477942"/>
    <w:rsid w:val="00480305"/>
    <w:rsid w:val="00480307"/>
    <w:rsid w:val="004805E5"/>
    <w:rsid w:val="00480CC2"/>
    <w:rsid w:val="00480CD1"/>
    <w:rsid w:val="00480DE6"/>
    <w:rsid w:val="00481B4A"/>
    <w:rsid w:val="00482627"/>
    <w:rsid w:val="00482A61"/>
    <w:rsid w:val="00482F5E"/>
    <w:rsid w:val="0048345D"/>
    <w:rsid w:val="0048374E"/>
    <w:rsid w:val="00483C18"/>
    <w:rsid w:val="0048479C"/>
    <w:rsid w:val="00484C0C"/>
    <w:rsid w:val="004850C5"/>
    <w:rsid w:val="004855E6"/>
    <w:rsid w:val="0048586E"/>
    <w:rsid w:val="00485C19"/>
    <w:rsid w:val="004861EF"/>
    <w:rsid w:val="004867D5"/>
    <w:rsid w:val="00486F0C"/>
    <w:rsid w:val="004870B1"/>
    <w:rsid w:val="00490E92"/>
    <w:rsid w:val="00491001"/>
    <w:rsid w:val="004911A7"/>
    <w:rsid w:val="004914CA"/>
    <w:rsid w:val="0049184A"/>
    <w:rsid w:val="004927EE"/>
    <w:rsid w:val="00493F2C"/>
    <w:rsid w:val="00493F47"/>
    <w:rsid w:val="004941B3"/>
    <w:rsid w:val="00494813"/>
    <w:rsid w:val="004950BA"/>
    <w:rsid w:val="00495B79"/>
    <w:rsid w:val="00495E04"/>
    <w:rsid w:val="00495F28"/>
    <w:rsid w:val="0049645B"/>
    <w:rsid w:val="004965C5"/>
    <w:rsid w:val="00496871"/>
    <w:rsid w:val="00496CF3"/>
    <w:rsid w:val="00497A36"/>
    <w:rsid w:val="00497E8E"/>
    <w:rsid w:val="00497F70"/>
    <w:rsid w:val="004A07D4"/>
    <w:rsid w:val="004A0C04"/>
    <w:rsid w:val="004A0D47"/>
    <w:rsid w:val="004A138B"/>
    <w:rsid w:val="004A24FB"/>
    <w:rsid w:val="004A296A"/>
    <w:rsid w:val="004A2BF2"/>
    <w:rsid w:val="004A3253"/>
    <w:rsid w:val="004A3972"/>
    <w:rsid w:val="004A3C10"/>
    <w:rsid w:val="004A3DA0"/>
    <w:rsid w:val="004A3E58"/>
    <w:rsid w:val="004A3F27"/>
    <w:rsid w:val="004A45BF"/>
    <w:rsid w:val="004A4B0E"/>
    <w:rsid w:val="004A4C02"/>
    <w:rsid w:val="004A5184"/>
    <w:rsid w:val="004A52CD"/>
    <w:rsid w:val="004A58C7"/>
    <w:rsid w:val="004A5BF4"/>
    <w:rsid w:val="004A6855"/>
    <w:rsid w:val="004A752B"/>
    <w:rsid w:val="004A7B9F"/>
    <w:rsid w:val="004B02C6"/>
    <w:rsid w:val="004B0740"/>
    <w:rsid w:val="004B0826"/>
    <w:rsid w:val="004B0A24"/>
    <w:rsid w:val="004B0A39"/>
    <w:rsid w:val="004B0C1F"/>
    <w:rsid w:val="004B128F"/>
    <w:rsid w:val="004B1457"/>
    <w:rsid w:val="004B1866"/>
    <w:rsid w:val="004B32E1"/>
    <w:rsid w:val="004B3DDC"/>
    <w:rsid w:val="004B4382"/>
    <w:rsid w:val="004B48CA"/>
    <w:rsid w:val="004B490E"/>
    <w:rsid w:val="004B4A32"/>
    <w:rsid w:val="004B4BEB"/>
    <w:rsid w:val="004B506B"/>
    <w:rsid w:val="004B5705"/>
    <w:rsid w:val="004B5AC1"/>
    <w:rsid w:val="004B5D2D"/>
    <w:rsid w:val="004B6B81"/>
    <w:rsid w:val="004B73AE"/>
    <w:rsid w:val="004B7547"/>
    <w:rsid w:val="004C0869"/>
    <w:rsid w:val="004C099F"/>
    <w:rsid w:val="004C0DD4"/>
    <w:rsid w:val="004C1C2D"/>
    <w:rsid w:val="004C1CD9"/>
    <w:rsid w:val="004C4183"/>
    <w:rsid w:val="004C4894"/>
    <w:rsid w:val="004C4C57"/>
    <w:rsid w:val="004C4C8D"/>
    <w:rsid w:val="004C4F50"/>
    <w:rsid w:val="004C5605"/>
    <w:rsid w:val="004C574A"/>
    <w:rsid w:val="004C5D48"/>
    <w:rsid w:val="004C5EF4"/>
    <w:rsid w:val="004C6142"/>
    <w:rsid w:val="004C7045"/>
    <w:rsid w:val="004C71BD"/>
    <w:rsid w:val="004C7684"/>
    <w:rsid w:val="004C7BDD"/>
    <w:rsid w:val="004D0605"/>
    <w:rsid w:val="004D0CB9"/>
    <w:rsid w:val="004D1FC3"/>
    <w:rsid w:val="004D2822"/>
    <w:rsid w:val="004D28DC"/>
    <w:rsid w:val="004D2995"/>
    <w:rsid w:val="004D2EA0"/>
    <w:rsid w:val="004D33C3"/>
    <w:rsid w:val="004D361D"/>
    <w:rsid w:val="004D3627"/>
    <w:rsid w:val="004D3D04"/>
    <w:rsid w:val="004D4F08"/>
    <w:rsid w:val="004D5B59"/>
    <w:rsid w:val="004D607D"/>
    <w:rsid w:val="004D60A4"/>
    <w:rsid w:val="004D6106"/>
    <w:rsid w:val="004D6280"/>
    <w:rsid w:val="004D6768"/>
    <w:rsid w:val="004D7743"/>
    <w:rsid w:val="004D7A3F"/>
    <w:rsid w:val="004D7EB2"/>
    <w:rsid w:val="004E0148"/>
    <w:rsid w:val="004E0808"/>
    <w:rsid w:val="004E09BF"/>
    <w:rsid w:val="004E0B2C"/>
    <w:rsid w:val="004E18B9"/>
    <w:rsid w:val="004E1976"/>
    <w:rsid w:val="004E1E0F"/>
    <w:rsid w:val="004E26AB"/>
    <w:rsid w:val="004E280D"/>
    <w:rsid w:val="004E2A21"/>
    <w:rsid w:val="004E2B59"/>
    <w:rsid w:val="004E2C4A"/>
    <w:rsid w:val="004E2DBB"/>
    <w:rsid w:val="004E31A9"/>
    <w:rsid w:val="004E3671"/>
    <w:rsid w:val="004E4919"/>
    <w:rsid w:val="004E4BB3"/>
    <w:rsid w:val="004E4D43"/>
    <w:rsid w:val="004E523A"/>
    <w:rsid w:val="004E52E0"/>
    <w:rsid w:val="004E547D"/>
    <w:rsid w:val="004E59BD"/>
    <w:rsid w:val="004E6443"/>
    <w:rsid w:val="004E6965"/>
    <w:rsid w:val="004E7A7A"/>
    <w:rsid w:val="004E7CCB"/>
    <w:rsid w:val="004F028A"/>
    <w:rsid w:val="004F0859"/>
    <w:rsid w:val="004F13C8"/>
    <w:rsid w:val="004F1930"/>
    <w:rsid w:val="004F1E36"/>
    <w:rsid w:val="004F20BB"/>
    <w:rsid w:val="004F27BB"/>
    <w:rsid w:val="004F2836"/>
    <w:rsid w:val="004F356E"/>
    <w:rsid w:val="004F37EF"/>
    <w:rsid w:val="004F3DE0"/>
    <w:rsid w:val="004F3E01"/>
    <w:rsid w:val="004F3F86"/>
    <w:rsid w:val="004F43E3"/>
    <w:rsid w:val="004F4A74"/>
    <w:rsid w:val="004F55B1"/>
    <w:rsid w:val="004F5E23"/>
    <w:rsid w:val="004F6226"/>
    <w:rsid w:val="004F6492"/>
    <w:rsid w:val="004F69A9"/>
    <w:rsid w:val="004F6B5B"/>
    <w:rsid w:val="004F6BFE"/>
    <w:rsid w:val="004F735E"/>
    <w:rsid w:val="004F7A42"/>
    <w:rsid w:val="004F7BE0"/>
    <w:rsid w:val="004F7F5E"/>
    <w:rsid w:val="005001A6"/>
    <w:rsid w:val="00500780"/>
    <w:rsid w:val="00500AF1"/>
    <w:rsid w:val="00501EFC"/>
    <w:rsid w:val="00502807"/>
    <w:rsid w:val="00503A31"/>
    <w:rsid w:val="00503BA3"/>
    <w:rsid w:val="00504357"/>
    <w:rsid w:val="0050491D"/>
    <w:rsid w:val="00504A8B"/>
    <w:rsid w:val="00504C66"/>
    <w:rsid w:val="005055DC"/>
    <w:rsid w:val="005057BF"/>
    <w:rsid w:val="00505B64"/>
    <w:rsid w:val="00505F3A"/>
    <w:rsid w:val="00506269"/>
    <w:rsid w:val="005062E6"/>
    <w:rsid w:val="00506788"/>
    <w:rsid w:val="005067E4"/>
    <w:rsid w:val="00506C9D"/>
    <w:rsid w:val="00507F02"/>
    <w:rsid w:val="0051078B"/>
    <w:rsid w:val="00510B34"/>
    <w:rsid w:val="00510D80"/>
    <w:rsid w:val="00510DCB"/>
    <w:rsid w:val="00510DD9"/>
    <w:rsid w:val="00510F48"/>
    <w:rsid w:val="00510F83"/>
    <w:rsid w:val="005114D7"/>
    <w:rsid w:val="005120AE"/>
    <w:rsid w:val="005121A9"/>
    <w:rsid w:val="00512430"/>
    <w:rsid w:val="00512686"/>
    <w:rsid w:val="00512FE5"/>
    <w:rsid w:val="0051342E"/>
    <w:rsid w:val="005134B6"/>
    <w:rsid w:val="00513A9A"/>
    <w:rsid w:val="005147E9"/>
    <w:rsid w:val="0051508A"/>
    <w:rsid w:val="00515A57"/>
    <w:rsid w:val="00515D5B"/>
    <w:rsid w:val="005164AC"/>
    <w:rsid w:val="005167E8"/>
    <w:rsid w:val="0051694F"/>
    <w:rsid w:val="00516BF6"/>
    <w:rsid w:val="00517160"/>
    <w:rsid w:val="0051749A"/>
    <w:rsid w:val="00517B67"/>
    <w:rsid w:val="00517BC8"/>
    <w:rsid w:val="00517EA6"/>
    <w:rsid w:val="00521B38"/>
    <w:rsid w:val="0052338C"/>
    <w:rsid w:val="005237FC"/>
    <w:rsid w:val="00524034"/>
    <w:rsid w:val="00524548"/>
    <w:rsid w:val="005246A4"/>
    <w:rsid w:val="00524A23"/>
    <w:rsid w:val="00524B26"/>
    <w:rsid w:val="00524BA8"/>
    <w:rsid w:val="00525023"/>
    <w:rsid w:val="0052540D"/>
    <w:rsid w:val="005255A0"/>
    <w:rsid w:val="00525C44"/>
    <w:rsid w:val="00525CA3"/>
    <w:rsid w:val="00525E29"/>
    <w:rsid w:val="00526AAB"/>
    <w:rsid w:val="0052704B"/>
    <w:rsid w:val="005273DA"/>
    <w:rsid w:val="005277EB"/>
    <w:rsid w:val="005278AB"/>
    <w:rsid w:val="00527C63"/>
    <w:rsid w:val="00527DF1"/>
    <w:rsid w:val="005305D6"/>
    <w:rsid w:val="00530B4B"/>
    <w:rsid w:val="005311A6"/>
    <w:rsid w:val="00531767"/>
    <w:rsid w:val="0053189E"/>
    <w:rsid w:val="00531A0E"/>
    <w:rsid w:val="00531FD4"/>
    <w:rsid w:val="0053270B"/>
    <w:rsid w:val="00532B2E"/>
    <w:rsid w:val="00532F81"/>
    <w:rsid w:val="00533249"/>
    <w:rsid w:val="00533619"/>
    <w:rsid w:val="00533A8F"/>
    <w:rsid w:val="00534392"/>
    <w:rsid w:val="0053446A"/>
    <w:rsid w:val="00534D8C"/>
    <w:rsid w:val="005355EF"/>
    <w:rsid w:val="00536171"/>
    <w:rsid w:val="005369C2"/>
    <w:rsid w:val="00536A63"/>
    <w:rsid w:val="0053777A"/>
    <w:rsid w:val="00537B45"/>
    <w:rsid w:val="005403BD"/>
    <w:rsid w:val="0054085C"/>
    <w:rsid w:val="00540F8C"/>
    <w:rsid w:val="005410FF"/>
    <w:rsid w:val="00541522"/>
    <w:rsid w:val="00541628"/>
    <w:rsid w:val="00542B45"/>
    <w:rsid w:val="00543FFF"/>
    <w:rsid w:val="0054460F"/>
    <w:rsid w:val="00545BF3"/>
    <w:rsid w:val="005461AF"/>
    <w:rsid w:val="005467BE"/>
    <w:rsid w:val="00546834"/>
    <w:rsid w:val="005475EC"/>
    <w:rsid w:val="005476A8"/>
    <w:rsid w:val="00547C00"/>
    <w:rsid w:val="00547C2E"/>
    <w:rsid w:val="00547E9A"/>
    <w:rsid w:val="0055086A"/>
    <w:rsid w:val="00550932"/>
    <w:rsid w:val="00550A34"/>
    <w:rsid w:val="00550DA7"/>
    <w:rsid w:val="00551812"/>
    <w:rsid w:val="00552E69"/>
    <w:rsid w:val="00553793"/>
    <w:rsid w:val="005537B3"/>
    <w:rsid w:val="00553DF1"/>
    <w:rsid w:val="0055466B"/>
    <w:rsid w:val="00555945"/>
    <w:rsid w:val="00555BB2"/>
    <w:rsid w:val="00556F45"/>
    <w:rsid w:val="00557510"/>
    <w:rsid w:val="00557BDA"/>
    <w:rsid w:val="00557D63"/>
    <w:rsid w:val="00557EFA"/>
    <w:rsid w:val="0056074F"/>
    <w:rsid w:val="00560DA5"/>
    <w:rsid w:val="00560E2F"/>
    <w:rsid w:val="00561604"/>
    <w:rsid w:val="00561BEC"/>
    <w:rsid w:val="00561D3C"/>
    <w:rsid w:val="00562170"/>
    <w:rsid w:val="00562775"/>
    <w:rsid w:val="005638B0"/>
    <w:rsid w:val="00564364"/>
    <w:rsid w:val="005645C6"/>
    <w:rsid w:val="005650DF"/>
    <w:rsid w:val="005654EE"/>
    <w:rsid w:val="00565977"/>
    <w:rsid w:val="0056598C"/>
    <w:rsid w:val="00565C69"/>
    <w:rsid w:val="00566536"/>
    <w:rsid w:val="00567123"/>
    <w:rsid w:val="005672AC"/>
    <w:rsid w:val="00567A7A"/>
    <w:rsid w:val="005709EC"/>
    <w:rsid w:val="00571BB5"/>
    <w:rsid w:val="0057214C"/>
    <w:rsid w:val="0057280D"/>
    <w:rsid w:val="005734A1"/>
    <w:rsid w:val="00573667"/>
    <w:rsid w:val="005751E9"/>
    <w:rsid w:val="0057570B"/>
    <w:rsid w:val="00575760"/>
    <w:rsid w:val="00575775"/>
    <w:rsid w:val="00575E87"/>
    <w:rsid w:val="005760C2"/>
    <w:rsid w:val="00576231"/>
    <w:rsid w:val="00576655"/>
    <w:rsid w:val="0057694F"/>
    <w:rsid w:val="00576E63"/>
    <w:rsid w:val="00576E91"/>
    <w:rsid w:val="005774CC"/>
    <w:rsid w:val="005776C8"/>
    <w:rsid w:val="00577EEB"/>
    <w:rsid w:val="005804BB"/>
    <w:rsid w:val="00580B9F"/>
    <w:rsid w:val="00580C25"/>
    <w:rsid w:val="00580C7A"/>
    <w:rsid w:val="00581CB3"/>
    <w:rsid w:val="00582019"/>
    <w:rsid w:val="005826ED"/>
    <w:rsid w:val="00582708"/>
    <w:rsid w:val="005828C0"/>
    <w:rsid w:val="00582CD9"/>
    <w:rsid w:val="00583B78"/>
    <w:rsid w:val="005849AD"/>
    <w:rsid w:val="00585A98"/>
    <w:rsid w:val="00585C2E"/>
    <w:rsid w:val="00586CB7"/>
    <w:rsid w:val="00587AE3"/>
    <w:rsid w:val="00587E06"/>
    <w:rsid w:val="00590201"/>
    <w:rsid w:val="00591016"/>
    <w:rsid w:val="00591101"/>
    <w:rsid w:val="00592AD5"/>
    <w:rsid w:val="005932BC"/>
    <w:rsid w:val="00593639"/>
    <w:rsid w:val="005939AC"/>
    <w:rsid w:val="00593A93"/>
    <w:rsid w:val="005949E3"/>
    <w:rsid w:val="00594B73"/>
    <w:rsid w:val="00595585"/>
    <w:rsid w:val="005956A4"/>
    <w:rsid w:val="005957A1"/>
    <w:rsid w:val="005960EE"/>
    <w:rsid w:val="005961E6"/>
    <w:rsid w:val="00596C18"/>
    <w:rsid w:val="00596DEF"/>
    <w:rsid w:val="00597235"/>
    <w:rsid w:val="0059742B"/>
    <w:rsid w:val="005975FF"/>
    <w:rsid w:val="00597860"/>
    <w:rsid w:val="005A01E0"/>
    <w:rsid w:val="005A0782"/>
    <w:rsid w:val="005A1463"/>
    <w:rsid w:val="005A15DA"/>
    <w:rsid w:val="005A164F"/>
    <w:rsid w:val="005A1803"/>
    <w:rsid w:val="005A2061"/>
    <w:rsid w:val="005A2166"/>
    <w:rsid w:val="005A2B96"/>
    <w:rsid w:val="005A311B"/>
    <w:rsid w:val="005A31EB"/>
    <w:rsid w:val="005A3C68"/>
    <w:rsid w:val="005A469B"/>
    <w:rsid w:val="005A46FD"/>
    <w:rsid w:val="005A5DA8"/>
    <w:rsid w:val="005A611A"/>
    <w:rsid w:val="005A6CFC"/>
    <w:rsid w:val="005A6F77"/>
    <w:rsid w:val="005A70CC"/>
    <w:rsid w:val="005A71DC"/>
    <w:rsid w:val="005A7781"/>
    <w:rsid w:val="005B0098"/>
    <w:rsid w:val="005B02DC"/>
    <w:rsid w:val="005B04E1"/>
    <w:rsid w:val="005B07D7"/>
    <w:rsid w:val="005B0A6A"/>
    <w:rsid w:val="005B1029"/>
    <w:rsid w:val="005B1CD3"/>
    <w:rsid w:val="005B2FEC"/>
    <w:rsid w:val="005B32CC"/>
    <w:rsid w:val="005B3BDC"/>
    <w:rsid w:val="005B46FE"/>
    <w:rsid w:val="005B47C2"/>
    <w:rsid w:val="005B5076"/>
    <w:rsid w:val="005B6170"/>
    <w:rsid w:val="005B66ED"/>
    <w:rsid w:val="005B7122"/>
    <w:rsid w:val="005B74A1"/>
    <w:rsid w:val="005C052B"/>
    <w:rsid w:val="005C06CB"/>
    <w:rsid w:val="005C0810"/>
    <w:rsid w:val="005C0935"/>
    <w:rsid w:val="005C0D54"/>
    <w:rsid w:val="005C1068"/>
    <w:rsid w:val="005C119A"/>
    <w:rsid w:val="005C15D0"/>
    <w:rsid w:val="005C163E"/>
    <w:rsid w:val="005C16A5"/>
    <w:rsid w:val="005C1A2B"/>
    <w:rsid w:val="005C3061"/>
    <w:rsid w:val="005C3E0E"/>
    <w:rsid w:val="005C4260"/>
    <w:rsid w:val="005C4892"/>
    <w:rsid w:val="005C5111"/>
    <w:rsid w:val="005C577C"/>
    <w:rsid w:val="005C5D5B"/>
    <w:rsid w:val="005C61C4"/>
    <w:rsid w:val="005C6446"/>
    <w:rsid w:val="005C6840"/>
    <w:rsid w:val="005C6DBE"/>
    <w:rsid w:val="005C6EDF"/>
    <w:rsid w:val="005C76E6"/>
    <w:rsid w:val="005D0BD6"/>
    <w:rsid w:val="005D0E12"/>
    <w:rsid w:val="005D21B7"/>
    <w:rsid w:val="005D2661"/>
    <w:rsid w:val="005D271B"/>
    <w:rsid w:val="005D2AF3"/>
    <w:rsid w:val="005D2B0C"/>
    <w:rsid w:val="005D3A00"/>
    <w:rsid w:val="005D421A"/>
    <w:rsid w:val="005D4413"/>
    <w:rsid w:val="005D47E0"/>
    <w:rsid w:val="005D49D2"/>
    <w:rsid w:val="005D5044"/>
    <w:rsid w:val="005D5BFD"/>
    <w:rsid w:val="005D6FB4"/>
    <w:rsid w:val="005D7B0D"/>
    <w:rsid w:val="005E08DC"/>
    <w:rsid w:val="005E0BFF"/>
    <w:rsid w:val="005E25E4"/>
    <w:rsid w:val="005E2749"/>
    <w:rsid w:val="005E2851"/>
    <w:rsid w:val="005E287C"/>
    <w:rsid w:val="005E2B99"/>
    <w:rsid w:val="005E2D6F"/>
    <w:rsid w:val="005E2EA1"/>
    <w:rsid w:val="005E311C"/>
    <w:rsid w:val="005E45B8"/>
    <w:rsid w:val="005E5029"/>
    <w:rsid w:val="005E52E3"/>
    <w:rsid w:val="005E534E"/>
    <w:rsid w:val="005E5448"/>
    <w:rsid w:val="005E5936"/>
    <w:rsid w:val="005E75C5"/>
    <w:rsid w:val="005E7B97"/>
    <w:rsid w:val="005E7BCF"/>
    <w:rsid w:val="005F0FFE"/>
    <w:rsid w:val="005F23B6"/>
    <w:rsid w:val="005F2C24"/>
    <w:rsid w:val="005F3358"/>
    <w:rsid w:val="005F3D95"/>
    <w:rsid w:val="005F3DEE"/>
    <w:rsid w:val="005F42A9"/>
    <w:rsid w:val="005F46D8"/>
    <w:rsid w:val="005F49D0"/>
    <w:rsid w:val="005F4D11"/>
    <w:rsid w:val="005F4F3D"/>
    <w:rsid w:val="005F5802"/>
    <w:rsid w:val="005F588A"/>
    <w:rsid w:val="005F616B"/>
    <w:rsid w:val="005F6501"/>
    <w:rsid w:val="005F676A"/>
    <w:rsid w:val="005F727E"/>
    <w:rsid w:val="005F776C"/>
    <w:rsid w:val="00600066"/>
    <w:rsid w:val="006007C8"/>
    <w:rsid w:val="00600E62"/>
    <w:rsid w:val="006012C3"/>
    <w:rsid w:val="00602BC3"/>
    <w:rsid w:val="00602EF3"/>
    <w:rsid w:val="0060329A"/>
    <w:rsid w:val="006033F7"/>
    <w:rsid w:val="0060348E"/>
    <w:rsid w:val="00603D77"/>
    <w:rsid w:val="00603F69"/>
    <w:rsid w:val="006044D8"/>
    <w:rsid w:val="0060481F"/>
    <w:rsid w:val="00604F10"/>
    <w:rsid w:val="00605D50"/>
    <w:rsid w:val="00606844"/>
    <w:rsid w:val="00606C79"/>
    <w:rsid w:val="006070B2"/>
    <w:rsid w:val="006072FB"/>
    <w:rsid w:val="0061030F"/>
    <w:rsid w:val="00610349"/>
    <w:rsid w:val="006104BC"/>
    <w:rsid w:val="00610C35"/>
    <w:rsid w:val="0061127F"/>
    <w:rsid w:val="00611746"/>
    <w:rsid w:val="0061196A"/>
    <w:rsid w:val="00611E9A"/>
    <w:rsid w:val="00612936"/>
    <w:rsid w:val="00612FE6"/>
    <w:rsid w:val="0061365D"/>
    <w:rsid w:val="00613E05"/>
    <w:rsid w:val="00614AF4"/>
    <w:rsid w:val="00615858"/>
    <w:rsid w:val="0061587B"/>
    <w:rsid w:val="00615D10"/>
    <w:rsid w:val="006164D5"/>
    <w:rsid w:val="006171B5"/>
    <w:rsid w:val="00617B39"/>
    <w:rsid w:val="00620AA6"/>
    <w:rsid w:val="006227DC"/>
    <w:rsid w:val="0062296D"/>
    <w:rsid w:val="006231CA"/>
    <w:rsid w:val="00623851"/>
    <w:rsid w:val="00623C21"/>
    <w:rsid w:val="006240B3"/>
    <w:rsid w:val="00624FA7"/>
    <w:rsid w:val="0062587E"/>
    <w:rsid w:val="00625B2A"/>
    <w:rsid w:val="00625E52"/>
    <w:rsid w:val="006260EA"/>
    <w:rsid w:val="0062687F"/>
    <w:rsid w:val="0062699C"/>
    <w:rsid w:val="0062754C"/>
    <w:rsid w:val="00627610"/>
    <w:rsid w:val="006300DF"/>
    <w:rsid w:val="00630AFC"/>
    <w:rsid w:val="00630B84"/>
    <w:rsid w:val="00631152"/>
    <w:rsid w:val="00631240"/>
    <w:rsid w:val="00631C98"/>
    <w:rsid w:val="00631DF6"/>
    <w:rsid w:val="006327E4"/>
    <w:rsid w:val="006329E8"/>
    <w:rsid w:val="00632D2F"/>
    <w:rsid w:val="00632EDB"/>
    <w:rsid w:val="0063318F"/>
    <w:rsid w:val="0063382E"/>
    <w:rsid w:val="00633A27"/>
    <w:rsid w:val="0063454F"/>
    <w:rsid w:val="00634956"/>
    <w:rsid w:val="006349F2"/>
    <w:rsid w:val="006350C2"/>
    <w:rsid w:val="006351B8"/>
    <w:rsid w:val="0063554E"/>
    <w:rsid w:val="006359F2"/>
    <w:rsid w:val="00635AFE"/>
    <w:rsid w:val="00635C14"/>
    <w:rsid w:val="00635DD0"/>
    <w:rsid w:val="00635E3B"/>
    <w:rsid w:val="006361B4"/>
    <w:rsid w:val="006363E1"/>
    <w:rsid w:val="00636EF5"/>
    <w:rsid w:val="00637049"/>
    <w:rsid w:val="0063733C"/>
    <w:rsid w:val="00637BE0"/>
    <w:rsid w:val="0064036E"/>
    <w:rsid w:val="00640B86"/>
    <w:rsid w:val="00640DAB"/>
    <w:rsid w:val="00641BAF"/>
    <w:rsid w:val="00641CA5"/>
    <w:rsid w:val="006422F7"/>
    <w:rsid w:val="00642543"/>
    <w:rsid w:val="00642750"/>
    <w:rsid w:val="006429A2"/>
    <w:rsid w:val="00643A19"/>
    <w:rsid w:val="00644780"/>
    <w:rsid w:val="006448D2"/>
    <w:rsid w:val="006448F0"/>
    <w:rsid w:val="00646D9A"/>
    <w:rsid w:val="006475FA"/>
    <w:rsid w:val="006478C0"/>
    <w:rsid w:val="006514CD"/>
    <w:rsid w:val="006523A2"/>
    <w:rsid w:val="00652A35"/>
    <w:rsid w:val="00652D5C"/>
    <w:rsid w:val="006539E7"/>
    <w:rsid w:val="0065466F"/>
    <w:rsid w:val="006548EB"/>
    <w:rsid w:val="00654DB9"/>
    <w:rsid w:val="00654E42"/>
    <w:rsid w:val="006550FA"/>
    <w:rsid w:val="00655708"/>
    <w:rsid w:val="00655AEE"/>
    <w:rsid w:val="006561F7"/>
    <w:rsid w:val="00656B6D"/>
    <w:rsid w:val="006608E1"/>
    <w:rsid w:val="00661096"/>
    <w:rsid w:val="00661AFC"/>
    <w:rsid w:val="00661DEC"/>
    <w:rsid w:val="00661E05"/>
    <w:rsid w:val="006627E0"/>
    <w:rsid w:val="0066283D"/>
    <w:rsid w:val="00662E04"/>
    <w:rsid w:val="006634E1"/>
    <w:rsid w:val="0066399E"/>
    <w:rsid w:val="00663C6E"/>
    <w:rsid w:val="00664B15"/>
    <w:rsid w:val="006655F6"/>
    <w:rsid w:val="00665C22"/>
    <w:rsid w:val="00665DDA"/>
    <w:rsid w:val="00666299"/>
    <w:rsid w:val="00667635"/>
    <w:rsid w:val="006676B5"/>
    <w:rsid w:val="00670CD8"/>
    <w:rsid w:val="00671AFF"/>
    <w:rsid w:val="006725ED"/>
    <w:rsid w:val="0067309C"/>
    <w:rsid w:val="006735E3"/>
    <w:rsid w:val="00674A47"/>
    <w:rsid w:val="0067604C"/>
    <w:rsid w:val="00676DD4"/>
    <w:rsid w:val="00676F18"/>
    <w:rsid w:val="006775AE"/>
    <w:rsid w:val="00677660"/>
    <w:rsid w:val="00677AFF"/>
    <w:rsid w:val="00677BEB"/>
    <w:rsid w:val="00677C87"/>
    <w:rsid w:val="00680465"/>
    <w:rsid w:val="006806AA"/>
    <w:rsid w:val="0068092B"/>
    <w:rsid w:val="006809DE"/>
    <w:rsid w:val="006812FF"/>
    <w:rsid w:val="00681B21"/>
    <w:rsid w:val="00681B6C"/>
    <w:rsid w:val="006822E2"/>
    <w:rsid w:val="00682FAE"/>
    <w:rsid w:val="00683023"/>
    <w:rsid w:val="00683178"/>
    <w:rsid w:val="00683A37"/>
    <w:rsid w:val="00684108"/>
    <w:rsid w:val="00684336"/>
    <w:rsid w:val="00684E01"/>
    <w:rsid w:val="00685457"/>
    <w:rsid w:val="006858AB"/>
    <w:rsid w:val="006876AE"/>
    <w:rsid w:val="00690046"/>
    <w:rsid w:val="00690268"/>
    <w:rsid w:val="00690740"/>
    <w:rsid w:val="00691B38"/>
    <w:rsid w:val="0069233E"/>
    <w:rsid w:val="00693A18"/>
    <w:rsid w:val="00693B19"/>
    <w:rsid w:val="006940A0"/>
    <w:rsid w:val="0069458D"/>
    <w:rsid w:val="006949C6"/>
    <w:rsid w:val="0069539F"/>
    <w:rsid w:val="006956D6"/>
    <w:rsid w:val="006959FF"/>
    <w:rsid w:val="00696484"/>
    <w:rsid w:val="0069665E"/>
    <w:rsid w:val="00696E1B"/>
    <w:rsid w:val="006973A8"/>
    <w:rsid w:val="00697F48"/>
    <w:rsid w:val="006A045D"/>
    <w:rsid w:val="006A1473"/>
    <w:rsid w:val="006A19E0"/>
    <w:rsid w:val="006A1C35"/>
    <w:rsid w:val="006A242E"/>
    <w:rsid w:val="006A2661"/>
    <w:rsid w:val="006A2863"/>
    <w:rsid w:val="006A2946"/>
    <w:rsid w:val="006A3A98"/>
    <w:rsid w:val="006A489B"/>
    <w:rsid w:val="006A4E4E"/>
    <w:rsid w:val="006A609D"/>
    <w:rsid w:val="006A60C7"/>
    <w:rsid w:val="006A6B92"/>
    <w:rsid w:val="006A6E3F"/>
    <w:rsid w:val="006A748C"/>
    <w:rsid w:val="006A7BAE"/>
    <w:rsid w:val="006A7D27"/>
    <w:rsid w:val="006A7F0D"/>
    <w:rsid w:val="006B00AE"/>
    <w:rsid w:val="006B014E"/>
    <w:rsid w:val="006B0432"/>
    <w:rsid w:val="006B09F4"/>
    <w:rsid w:val="006B0B81"/>
    <w:rsid w:val="006B0D22"/>
    <w:rsid w:val="006B0F15"/>
    <w:rsid w:val="006B204A"/>
    <w:rsid w:val="006B2507"/>
    <w:rsid w:val="006B2BFE"/>
    <w:rsid w:val="006B2C88"/>
    <w:rsid w:val="006B3189"/>
    <w:rsid w:val="006B3CA1"/>
    <w:rsid w:val="006B3D5C"/>
    <w:rsid w:val="006B4110"/>
    <w:rsid w:val="006B4245"/>
    <w:rsid w:val="006B44BF"/>
    <w:rsid w:val="006B541A"/>
    <w:rsid w:val="006B5618"/>
    <w:rsid w:val="006B56D9"/>
    <w:rsid w:val="006B64ED"/>
    <w:rsid w:val="006B668E"/>
    <w:rsid w:val="006B683B"/>
    <w:rsid w:val="006B707F"/>
    <w:rsid w:val="006B72C5"/>
    <w:rsid w:val="006B7ADC"/>
    <w:rsid w:val="006C0358"/>
    <w:rsid w:val="006C149E"/>
    <w:rsid w:val="006C1FEA"/>
    <w:rsid w:val="006C2536"/>
    <w:rsid w:val="006C257A"/>
    <w:rsid w:val="006C2AB4"/>
    <w:rsid w:val="006C48D6"/>
    <w:rsid w:val="006C4BC0"/>
    <w:rsid w:val="006C5459"/>
    <w:rsid w:val="006C5DF0"/>
    <w:rsid w:val="006C603B"/>
    <w:rsid w:val="006C6983"/>
    <w:rsid w:val="006C765D"/>
    <w:rsid w:val="006C7D9B"/>
    <w:rsid w:val="006C7E46"/>
    <w:rsid w:val="006C7EFD"/>
    <w:rsid w:val="006D17DF"/>
    <w:rsid w:val="006D1893"/>
    <w:rsid w:val="006D1DD9"/>
    <w:rsid w:val="006D248A"/>
    <w:rsid w:val="006D29AC"/>
    <w:rsid w:val="006D2A04"/>
    <w:rsid w:val="006D32E4"/>
    <w:rsid w:val="006D403E"/>
    <w:rsid w:val="006D426F"/>
    <w:rsid w:val="006D4717"/>
    <w:rsid w:val="006D4BC8"/>
    <w:rsid w:val="006D4D13"/>
    <w:rsid w:val="006D54BB"/>
    <w:rsid w:val="006D55D6"/>
    <w:rsid w:val="006D6792"/>
    <w:rsid w:val="006D692C"/>
    <w:rsid w:val="006D6E4E"/>
    <w:rsid w:val="006D6F11"/>
    <w:rsid w:val="006D71B7"/>
    <w:rsid w:val="006D761C"/>
    <w:rsid w:val="006D79F3"/>
    <w:rsid w:val="006D7D43"/>
    <w:rsid w:val="006E1434"/>
    <w:rsid w:val="006E2E31"/>
    <w:rsid w:val="006E3415"/>
    <w:rsid w:val="006E4203"/>
    <w:rsid w:val="006E46FB"/>
    <w:rsid w:val="006E4702"/>
    <w:rsid w:val="006E4DD9"/>
    <w:rsid w:val="006E5373"/>
    <w:rsid w:val="006E5DA7"/>
    <w:rsid w:val="006E5F46"/>
    <w:rsid w:val="006E60F8"/>
    <w:rsid w:val="006E678D"/>
    <w:rsid w:val="006E6CC2"/>
    <w:rsid w:val="006E6DE5"/>
    <w:rsid w:val="006E7329"/>
    <w:rsid w:val="006E74AA"/>
    <w:rsid w:val="006E7950"/>
    <w:rsid w:val="006E7CAA"/>
    <w:rsid w:val="006E7FFC"/>
    <w:rsid w:val="006F02C6"/>
    <w:rsid w:val="006F0E3D"/>
    <w:rsid w:val="006F0E90"/>
    <w:rsid w:val="006F1513"/>
    <w:rsid w:val="006F1E4C"/>
    <w:rsid w:val="006F2BDE"/>
    <w:rsid w:val="006F3064"/>
    <w:rsid w:val="006F3223"/>
    <w:rsid w:val="006F3378"/>
    <w:rsid w:val="006F35C0"/>
    <w:rsid w:val="006F37CD"/>
    <w:rsid w:val="006F3996"/>
    <w:rsid w:val="006F49D0"/>
    <w:rsid w:val="006F4EA9"/>
    <w:rsid w:val="006F51B7"/>
    <w:rsid w:val="006F54BA"/>
    <w:rsid w:val="006F6017"/>
    <w:rsid w:val="007000DC"/>
    <w:rsid w:val="00700213"/>
    <w:rsid w:val="007002D1"/>
    <w:rsid w:val="0070151A"/>
    <w:rsid w:val="0070309B"/>
    <w:rsid w:val="007036B5"/>
    <w:rsid w:val="00704648"/>
    <w:rsid w:val="00704F46"/>
    <w:rsid w:val="00704FAD"/>
    <w:rsid w:val="00705613"/>
    <w:rsid w:val="00705911"/>
    <w:rsid w:val="007061ED"/>
    <w:rsid w:val="00706593"/>
    <w:rsid w:val="00706B53"/>
    <w:rsid w:val="00706DD1"/>
    <w:rsid w:val="00710EA2"/>
    <w:rsid w:val="00710EA8"/>
    <w:rsid w:val="00711177"/>
    <w:rsid w:val="0071179C"/>
    <w:rsid w:val="00712133"/>
    <w:rsid w:val="007129A7"/>
    <w:rsid w:val="00713131"/>
    <w:rsid w:val="007133BC"/>
    <w:rsid w:val="00714287"/>
    <w:rsid w:val="007154C0"/>
    <w:rsid w:val="007156C4"/>
    <w:rsid w:val="007156FC"/>
    <w:rsid w:val="007157D7"/>
    <w:rsid w:val="00716097"/>
    <w:rsid w:val="007162EF"/>
    <w:rsid w:val="00716772"/>
    <w:rsid w:val="00716BBC"/>
    <w:rsid w:val="007172E7"/>
    <w:rsid w:val="00717E16"/>
    <w:rsid w:val="00717F55"/>
    <w:rsid w:val="007204E3"/>
    <w:rsid w:val="00720907"/>
    <w:rsid w:val="0072128D"/>
    <w:rsid w:val="0072129C"/>
    <w:rsid w:val="007219B2"/>
    <w:rsid w:val="00722727"/>
    <w:rsid w:val="00722AE9"/>
    <w:rsid w:val="00723D4D"/>
    <w:rsid w:val="0072433A"/>
    <w:rsid w:val="007243CF"/>
    <w:rsid w:val="00727951"/>
    <w:rsid w:val="00727CD8"/>
    <w:rsid w:val="00730E58"/>
    <w:rsid w:val="0073119E"/>
    <w:rsid w:val="00732D43"/>
    <w:rsid w:val="00732FA7"/>
    <w:rsid w:val="00733BA2"/>
    <w:rsid w:val="00733C6F"/>
    <w:rsid w:val="00733D60"/>
    <w:rsid w:val="00733E79"/>
    <w:rsid w:val="00734E0B"/>
    <w:rsid w:val="0073557D"/>
    <w:rsid w:val="007366DD"/>
    <w:rsid w:val="00736F38"/>
    <w:rsid w:val="007372AB"/>
    <w:rsid w:val="00737A7C"/>
    <w:rsid w:val="00737BBF"/>
    <w:rsid w:val="00740251"/>
    <w:rsid w:val="007406FF"/>
    <w:rsid w:val="007408C0"/>
    <w:rsid w:val="00740CDB"/>
    <w:rsid w:val="00741580"/>
    <w:rsid w:val="00741719"/>
    <w:rsid w:val="00741A53"/>
    <w:rsid w:val="00741F1A"/>
    <w:rsid w:val="00741F57"/>
    <w:rsid w:val="00743241"/>
    <w:rsid w:val="00743913"/>
    <w:rsid w:val="00743960"/>
    <w:rsid w:val="00743D33"/>
    <w:rsid w:val="00743ECA"/>
    <w:rsid w:val="0074488C"/>
    <w:rsid w:val="007456FE"/>
    <w:rsid w:val="0074593B"/>
    <w:rsid w:val="007461D3"/>
    <w:rsid w:val="007465B3"/>
    <w:rsid w:val="00747473"/>
    <w:rsid w:val="007477DD"/>
    <w:rsid w:val="00747B2E"/>
    <w:rsid w:val="00747F31"/>
    <w:rsid w:val="0075008E"/>
    <w:rsid w:val="007509CB"/>
    <w:rsid w:val="00750F97"/>
    <w:rsid w:val="00751107"/>
    <w:rsid w:val="0075163B"/>
    <w:rsid w:val="0075183D"/>
    <w:rsid w:val="00751CD2"/>
    <w:rsid w:val="00751F03"/>
    <w:rsid w:val="007522F9"/>
    <w:rsid w:val="00752402"/>
    <w:rsid w:val="00752732"/>
    <w:rsid w:val="0075274E"/>
    <w:rsid w:val="00752E11"/>
    <w:rsid w:val="00752F0F"/>
    <w:rsid w:val="0075328E"/>
    <w:rsid w:val="00753459"/>
    <w:rsid w:val="0075350B"/>
    <w:rsid w:val="00753C64"/>
    <w:rsid w:val="00753F55"/>
    <w:rsid w:val="007540D4"/>
    <w:rsid w:val="00754545"/>
    <w:rsid w:val="00754723"/>
    <w:rsid w:val="00755378"/>
    <w:rsid w:val="00755BAC"/>
    <w:rsid w:val="0075679A"/>
    <w:rsid w:val="007569C7"/>
    <w:rsid w:val="00756B3E"/>
    <w:rsid w:val="00757246"/>
    <w:rsid w:val="007575E1"/>
    <w:rsid w:val="00757B6E"/>
    <w:rsid w:val="00757E34"/>
    <w:rsid w:val="00757FA2"/>
    <w:rsid w:val="00761D6B"/>
    <w:rsid w:val="00761DAA"/>
    <w:rsid w:val="00761FC3"/>
    <w:rsid w:val="00762014"/>
    <w:rsid w:val="007625F1"/>
    <w:rsid w:val="00762E3B"/>
    <w:rsid w:val="007635D3"/>
    <w:rsid w:val="00763B64"/>
    <w:rsid w:val="0076404D"/>
    <w:rsid w:val="0076412F"/>
    <w:rsid w:val="007642FE"/>
    <w:rsid w:val="007652E8"/>
    <w:rsid w:val="00766EB9"/>
    <w:rsid w:val="0077020F"/>
    <w:rsid w:val="00770B11"/>
    <w:rsid w:val="00772082"/>
    <w:rsid w:val="00772108"/>
    <w:rsid w:val="0077255A"/>
    <w:rsid w:val="007726AA"/>
    <w:rsid w:val="007728D1"/>
    <w:rsid w:val="00773B91"/>
    <w:rsid w:val="007740FA"/>
    <w:rsid w:val="007765F6"/>
    <w:rsid w:val="00776DBE"/>
    <w:rsid w:val="00776DE2"/>
    <w:rsid w:val="0077702D"/>
    <w:rsid w:val="00777A68"/>
    <w:rsid w:val="007806A5"/>
    <w:rsid w:val="007807B4"/>
    <w:rsid w:val="00780A8D"/>
    <w:rsid w:val="00780F3D"/>
    <w:rsid w:val="00781AB6"/>
    <w:rsid w:val="0078323F"/>
    <w:rsid w:val="00783511"/>
    <w:rsid w:val="007841D7"/>
    <w:rsid w:val="00786548"/>
    <w:rsid w:val="00786D96"/>
    <w:rsid w:val="00786F10"/>
    <w:rsid w:val="007871B7"/>
    <w:rsid w:val="00787508"/>
    <w:rsid w:val="0079019D"/>
    <w:rsid w:val="00790E60"/>
    <w:rsid w:val="00791564"/>
    <w:rsid w:val="00791712"/>
    <w:rsid w:val="007928DF"/>
    <w:rsid w:val="007928E9"/>
    <w:rsid w:val="00792E8B"/>
    <w:rsid w:val="007932F0"/>
    <w:rsid w:val="0079334C"/>
    <w:rsid w:val="007937FD"/>
    <w:rsid w:val="00793B3F"/>
    <w:rsid w:val="00793E31"/>
    <w:rsid w:val="007943F7"/>
    <w:rsid w:val="00794697"/>
    <w:rsid w:val="0079485C"/>
    <w:rsid w:val="00795063"/>
    <w:rsid w:val="00795150"/>
    <w:rsid w:val="00796A22"/>
    <w:rsid w:val="00796FC2"/>
    <w:rsid w:val="0079757E"/>
    <w:rsid w:val="0079784E"/>
    <w:rsid w:val="00797A60"/>
    <w:rsid w:val="00797E2F"/>
    <w:rsid w:val="007A0419"/>
    <w:rsid w:val="007A0A0E"/>
    <w:rsid w:val="007A0B3C"/>
    <w:rsid w:val="007A1233"/>
    <w:rsid w:val="007A167A"/>
    <w:rsid w:val="007A1B2F"/>
    <w:rsid w:val="007A24F2"/>
    <w:rsid w:val="007A284F"/>
    <w:rsid w:val="007A315C"/>
    <w:rsid w:val="007A3AA3"/>
    <w:rsid w:val="007A3F6B"/>
    <w:rsid w:val="007A4760"/>
    <w:rsid w:val="007A484D"/>
    <w:rsid w:val="007A5329"/>
    <w:rsid w:val="007A5841"/>
    <w:rsid w:val="007A62C0"/>
    <w:rsid w:val="007A69A0"/>
    <w:rsid w:val="007A69E9"/>
    <w:rsid w:val="007A6A18"/>
    <w:rsid w:val="007A6A6E"/>
    <w:rsid w:val="007A7063"/>
    <w:rsid w:val="007A743F"/>
    <w:rsid w:val="007A7796"/>
    <w:rsid w:val="007B08FD"/>
    <w:rsid w:val="007B0DFF"/>
    <w:rsid w:val="007B1416"/>
    <w:rsid w:val="007B157B"/>
    <w:rsid w:val="007B1663"/>
    <w:rsid w:val="007B1D02"/>
    <w:rsid w:val="007B2442"/>
    <w:rsid w:val="007B2CFF"/>
    <w:rsid w:val="007B2FF8"/>
    <w:rsid w:val="007B3788"/>
    <w:rsid w:val="007B463E"/>
    <w:rsid w:val="007B4862"/>
    <w:rsid w:val="007B4933"/>
    <w:rsid w:val="007B4D69"/>
    <w:rsid w:val="007B4FFA"/>
    <w:rsid w:val="007B555A"/>
    <w:rsid w:val="007B58B3"/>
    <w:rsid w:val="007B5F4C"/>
    <w:rsid w:val="007B61C4"/>
    <w:rsid w:val="007B6680"/>
    <w:rsid w:val="007B6DB3"/>
    <w:rsid w:val="007B6E72"/>
    <w:rsid w:val="007B7D61"/>
    <w:rsid w:val="007C04D4"/>
    <w:rsid w:val="007C0EDE"/>
    <w:rsid w:val="007C1A09"/>
    <w:rsid w:val="007C1BEC"/>
    <w:rsid w:val="007C1C64"/>
    <w:rsid w:val="007C20FC"/>
    <w:rsid w:val="007C21A9"/>
    <w:rsid w:val="007C26D2"/>
    <w:rsid w:val="007C32F6"/>
    <w:rsid w:val="007C34E0"/>
    <w:rsid w:val="007C4133"/>
    <w:rsid w:val="007C4503"/>
    <w:rsid w:val="007C56D3"/>
    <w:rsid w:val="007C57AB"/>
    <w:rsid w:val="007C5C0A"/>
    <w:rsid w:val="007C60FA"/>
    <w:rsid w:val="007C6C0F"/>
    <w:rsid w:val="007C6DEB"/>
    <w:rsid w:val="007C731C"/>
    <w:rsid w:val="007C7AE3"/>
    <w:rsid w:val="007D010C"/>
    <w:rsid w:val="007D073F"/>
    <w:rsid w:val="007D0C31"/>
    <w:rsid w:val="007D1264"/>
    <w:rsid w:val="007D17D5"/>
    <w:rsid w:val="007D2311"/>
    <w:rsid w:val="007D28B4"/>
    <w:rsid w:val="007D2BFE"/>
    <w:rsid w:val="007D32AA"/>
    <w:rsid w:val="007D40CA"/>
    <w:rsid w:val="007D48CB"/>
    <w:rsid w:val="007D4CB1"/>
    <w:rsid w:val="007D55B3"/>
    <w:rsid w:val="007D5B71"/>
    <w:rsid w:val="007D6075"/>
    <w:rsid w:val="007D6133"/>
    <w:rsid w:val="007D68E2"/>
    <w:rsid w:val="007D69DA"/>
    <w:rsid w:val="007D6F74"/>
    <w:rsid w:val="007D772A"/>
    <w:rsid w:val="007D794A"/>
    <w:rsid w:val="007D7A56"/>
    <w:rsid w:val="007E07D3"/>
    <w:rsid w:val="007E0B21"/>
    <w:rsid w:val="007E0CB1"/>
    <w:rsid w:val="007E335A"/>
    <w:rsid w:val="007E3AB6"/>
    <w:rsid w:val="007E3D3C"/>
    <w:rsid w:val="007E424C"/>
    <w:rsid w:val="007E4AB9"/>
    <w:rsid w:val="007E4D76"/>
    <w:rsid w:val="007E4ED1"/>
    <w:rsid w:val="007E506B"/>
    <w:rsid w:val="007E589E"/>
    <w:rsid w:val="007E61C7"/>
    <w:rsid w:val="007E68C4"/>
    <w:rsid w:val="007E6C00"/>
    <w:rsid w:val="007E7B4D"/>
    <w:rsid w:val="007F0440"/>
    <w:rsid w:val="007F075F"/>
    <w:rsid w:val="007F0DCC"/>
    <w:rsid w:val="007F117E"/>
    <w:rsid w:val="007F151D"/>
    <w:rsid w:val="007F1A8D"/>
    <w:rsid w:val="007F1CFE"/>
    <w:rsid w:val="007F348C"/>
    <w:rsid w:val="007F38DA"/>
    <w:rsid w:val="007F4709"/>
    <w:rsid w:val="007F48D9"/>
    <w:rsid w:val="007F4EA1"/>
    <w:rsid w:val="007F549B"/>
    <w:rsid w:val="007F596C"/>
    <w:rsid w:val="007F646C"/>
    <w:rsid w:val="007F6C8D"/>
    <w:rsid w:val="007F702E"/>
    <w:rsid w:val="007F7174"/>
    <w:rsid w:val="007F73CD"/>
    <w:rsid w:val="007F76E0"/>
    <w:rsid w:val="007F7E63"/>
    <w:rsid w:val="007F7FBB"/>
    <w:rsid w:val="00800975"/>
    <w:rsid w:val="00800CFC"/>
    <w:rsid w:val="00800F6E"/>
    <w:rsid w:val="00801142"/>
    <w:rsid w:val="0080332B"/>
    <w:rsid w:val="00803791"/>
    <w:rsid w:val="00803B4B"/>
    <w:rsid w:val="008040DF"/>
    <w:rsid w:val="00804437"/>
    <w:rsid w:val="008045D7"/>
    <w:rsid w:val="00804C8E"/>
    <w:rsid w:val="00805D93"/>
    <w:rsid w:val="008068DF"/>
    <w:rsid w:val="00806F64"/>
    <w:rsid w:val="00807445"/>
    <w:rsid w:val="00807883"/>
    <w:rsid w:val="0081041B"/>
    <w:rsid w:val="008116B8"/>
    <w:rsid w:val="00811996"/>
    <w:rsid w:val="008119DA"/>
    <w:rsid w:val="00811B33"/>
    <w:rsid w:val="00811C0B"/>
    <w:rsid w:val="00812506"/>
    <w:rsid w:val="008132E4"/>
    <w:rsid w:val="0081337E"/>
    <w:rsid w:val="008139B3"/>
    <w:rsid w:val="00813EC8"/>
    <w:rsid w:val="008142CA"/>
    <w:rsid w:val="00814B9E"/>
    <w:rsid w:val="00814CD6"/>
    <w:rsid w:val="00815680"/>
    <w:rsid w:val="008157B5"/>
    <w:rsid w:val="00815E01"/>
    <w:rsid w:val="00816405"/>
    <w:rsid w:val="00816F60"/>
    <w:rsid w:val="00817659"/>
    <w:rsid w:val="008206A8"/>
    <w:rsid w:val="008213EE"/>
    <w:rsid w:val="00822213"/>
    <w:rsid w:val="00822AFD"/>
    <w:rsid w:val="00822EA2"/>
    <w:rsid w:val="00823682"/>
    <w:rsid w:val="00823C07"/>
    <w:rsid w:val="00823C6C"/>
    <w:rsid w:val="00823E20"/>
    <w:rsid w:val="00824121"/>
    <w:rsid w:val="008241C1"/>
    <w:rsid w:val="00824CF9"/>
    <w:rsid w:val="00824D7B"/>
    <w:rsid w:val="008251D3"/>
    <w:rsid w:val="00825BAF"/>
    <w:rsid w:val="00826098"/>
    <w:rsid w:val="00826252"/>
    <w:rsid w:val="00826394"/>
    <w:rsid w:val="00826EE9"/>
    <w:rsid w:val="008277C4"/>
    <w:rsid w:val="00827C32"/>
    <w:rsid w:val="00830836"/>
    <w:rsid w:val="00830B7C"/>
    <w:rsid w:val="0083124E"/>
    <w:rsid w:val="00831F96"/>
    <w:rsid w:val="0083208E"/>
    <w:rsid w:val="008323CB"/>
    <w:rsid w:val="008325C2"/>
    <w:rsid w:val="0083261A"/>
    <w:rsid w:val="008337A6"/>
    <w:rsid w:val="00834281"/>
    <w:rsid w:val="008343F4"/>
    <w:rsid w:val="00834A46"/>
    <w:rsid w:val="00835410"/>
    <w:rsid w:val="00836464"/>
    <w:rsid w:val="008366F0"/>
    <w:rsid w:val="00836BF2"/>
    <w:rsid w:val="00836C17"/>
    <w:rsid w:val="00836DE1"/>
    <w:rsid w:val="008370C8"/>
    <w:rsid w:val="00837793"/>
    <w:rsid w:val="00840288"/>
    <w:rsid w:val="00840637"/>
    <w:rsid w:val="00840BC1"/>
    <w:rsid w:val="00841072"/>
    <w:rsid w:val="0084127E"/>
    <w:rsid w:val="008420E4"/>
    <w:rsid w:val="0084252C"/>
    <w:rsid w:val="00842D57"/>
    <w:rsid w:val="00842E7E"/>
    <w:rsid w:val="008434DA"/>
    <w:rsid w:val="0084351E"/>
    <w:rsid w:val="00843A72"/>
    <w:rsid w:val="00843E8F"/>
    <w:rsid w:val="00844054"/>
    <w:rsid w:val="0084543B"/>
    <w:rsid w:val="00845C9E"/>
    <w:rsid w:val="00845EC0"/>
    <w:rsid w:val="00846AF4"/>
    <w:rsid w:val="00846DB0"/>
    <w:rsid w:val="008473F7"/>
    <w:rsid w:val="00847A7A"/>
    <w:rsid w:val="008502CD"/>
    <w:rsid w:val="008504E3"/>
    <w:rsid w:val="008506D2"/>
    <w:rsid w:val="008507F7"/>
    <w:rsid w:val="008518E1"/>
    <w:rsid w:val="0085239F"/>
    <w:rsid w:val="0085247F"/>
    <w:rsid w:val="0085486E"/>
    <w:rsid w:val="00854D79"/>
    <w:rsid w:val="00854FF3"/>
    <w:rsid w:val="00855019"/>
    <w:rsid w:val="00855A23"/>
    <w:rsid w:val="0085660E"/>
    <w:rsid w:val="0085691E"/>
    <w:rsid w:val="00857AA5"/>
    <w:rsid w:val="00857CF5"/>
    <w:rsid w:val="00860012"/>
    <w:rsid w:val="008605D1"/>
    <w:rsid w:val="00860A0E"/>
    <w:rsid w:val="00860E61"/>
    <w:rsid w:val="008618D5"/>
    <w:rsid w:val="00861D9E"/>
    <w:rsid w:val="0086217E"/>
    <w:rsid w:val="0086259D"/>
    <w:rsid w:val="008633D7"/>
    <w:rsid w:val="00863712"/>
    <w:rsid w:val="00863AE5"/>
    <w:rsid w:val="00863D17"/>
    <w:rsid w:val="00864A44"/>
    <w:rsid w:val="00864FFC"/>
    <w:rsid w:val="008650C6"/>
    <w:rsid w:val="0086526D"/>
    <w:rsid w:val="008652A4"/>
    <w:rsid w:val="008657E6"/>
    <w:rsid w:val="00865AEC"/>
    <w:rsid w:val="00865B60"/>
    <w:rsid w:val="00866573"/>
    <w:rsid w:val="00866736"/>
    <w:rsid w:val="0086673D"/>
    <w:rsid w:val="00866A30"/>
    <w:rsid w:val="00866DC6"/>
    <w:rsid w:val="008670C8"/>
    <w:rsid w:val="008671DD"/>
    <w:rsid w:val="008674F6"/>
    <w:rsid w:val="00867AC8"/>
    <w:rsid w:val="00870025"/>
    <w:rsid w:val="00871C48"/>
    <w:rsid w:val="00871F02"/>
    <w:rsid w:val="00872028"/>
    <w:rsid w:val="008727C5"/>
    <w:rsid w:val="008728CD"/>
    <w:rsid w:val="00872F8E"/>
    <w:rsid w:val="00873285"/>
    <w:rsid w:val="008732DB"/>
    <w:rsid w:val="008733C9"/>
    <w:rsid w:val="00873600"/>
    <w:rsid w:val="00874542"/>
    <w:rsid w:val="0087506E"/>
    <w:rsid w:val="0087601D"/>
    <w:rsid w:val="00876AB4"/>
    <w:rsid w:val="0088088A"/>
    <w:rsid w:val="00881F91"/>
    <w:rsid w:val="00882347"/>
    <w:rsid w:val="00882411"/>
    <w:rsid w:val="00883420"/>
    <w:rsid w:val="00884518"/>
    <w:rsid w:val="00884876"/>
    <w:rsid w:val="008852E8"/>
    <w:rsid w:val="008864FD"/>
    <w:rsid w:val="0088668E"/>
    <w:rsid w:val="008869AF"/>
    <w:rsid w:val="00886B9F"/>
    <w:rsid w:val="0088710D"/>
    <w:rsid w:val="00887FC8"/>
    <w:rsid w:val="00892194"/>
    <w:rsid w:val="00892623"/>
    <w:rsid w:val="008927F2"/>
    <w:rsid w:val="00892B47"/>
    <w:rsid w:val="00892F1B"/>
    <w:rsid w:val="00893B77"/>
    <w:rsid w:val="0089425F"/>
    <w:rsid w:val="00894AED"/>
    <w:rsid w:val="00895728"/>
    <w:rsid w:val="00895AB8"/>
    <w:rsid w:val="00896A6A"/>
    <w:rsid w:val="00897423"/>
    <w:rsid w:val="00897669"/>
    <w:rsid w:val="00897A80"/>
    <w:rsid w:val="008A0085"/>
    <w:rsid w:val="008A011D"/>
    <w:rsid w:val="008A0312"/>
    <w:rsid w:val="008A0C1E"/>
    <w:rsid w:val="008A0CAF"/>
    <w:rsid w:val="008A0CB3"/>
    <w:rsid w:val="008A1344"/>
    <w:rsid w:val="008A1A31"/>
    <w:rsid w:val="008A2189"/>
    <w:rsid w:val="008A30F8"/>
    <w:rsid w:val="008A374A"/>
    <w:rsid w:val="008A39E4"/>
    <w:rsid w:val="008A40A8"/>
    <w:rsid w:val="008A435E"/>
    <w:rsid w:val="008A5312"/>
    <w:rsid w:val="008A5403"/>
    <w:rsid w:val="008A5C7B"/>
    <w:rsid w:val="008A5D1D"/>
    <w:rsid w:val="008A6870"/>
    <w:rsid w:val="008A6D56"/>
    <w:rsid w:val="008A6FD8"/>
    <w:rsid w:val="008A72E5"/>
    <w:rsid w:val="008B02CA"/>
    <w:rsid w:val="008B0F13"/>
    <w:rsid w:val="008B12EF"/>
    <w:rsid w:val="008B20F8"/>
    <w:rsid w:val="008B27F2"/>
    <w:rsid w:val="008B3C66"/>
    <w:rsid w:val="008B4AA5"/>
    <w:rsid w:val="008B5C70"/>
    <w:rsid w:val="008B5FEE"/>
    <w:rsid w:val="008B6CA4"/>
    <w:rsid w:val="008B6CCC"/>
    <w:rsid w:val="008B757B"/>
    <w:rsid w:val="008C0114"/>
    <w:rsid w:val="008C02BD"/>
    <w:rsid w:val="008C03FB"/>
    <w:rsid w:val="008C0788"/>
    <w:rsid w:val="008C0E88"/>
    <w:rsid w:val="008C112E"/>
    <w:rsid w:val="008C2B51"/>
    <w:rsid w:val="008C41AD"/>
    <w:rsid w:val="008C4728"/>
    <w:rsid w:val="008C521E"/>
    <w:rsid w:val="008C57DA"/>
    <w:rsid w:val="008C57ED"/>
    <w:rsid w:val="008C5AA5"/>
    <w:rsid w:val="008C7177"/>
    <w:rsid w:val="008C79AA"/>
    <w:rsid w:val="008C7DFF"/>
    <w:rsid w:val="008D0C77"/>
    <w:rsid w:val="008D138A"/>
    <w:rsid w:val="008D16FE"/>
    <w:rsid w:val="008D1ACB"/>
    <w:rsid w:val="008D238C"/>
    <w:rsid w:val="008D24F2"/>
    <w:rsid w:val="008D2DA2"/>
    <w:rsid w:val="008D2F25"/>
    <w:rsid w:val="008D35E9"/>
    <w:rsid w:val="008D3795"/>
    <w:rsid w:val="008D3DA1"/>
    <w:rsid w:val="008D3EF0"/>
    <w:rsid w:val="008D43B6"/>
    <w:rsid w:val="008D479F"/>
    <w:rsid w:val="008D4B9B"/>
    <w:rsid w:val="008D4E0C"/>
    <w:rsid w:val="008D5895"/>
    <w:rsid w:val="008D5BC6"/>
    <w:rsid w:val="008D6314"/>
    <w:rsid w:val="008D6433"/>
    <w:rsid w:val="008D6F99"/>
    <w:rsid w:val="008D7043"/>
    <w:rsid w:val="008D76E2"/>
    <w:rsid w:val="008D7E81"/>
    <w:rsid w:val="008E1141"/>
    <w:rsid w:val="008E144B"/>
    <w:rsid w:val="008E24D8"/>
    <w:rsid w:val="008E27AE"/>
    <w:rsid w:val="008E378F"/>
    <w:rsid w:val="008E399E"/>
    <w:rsid w:val="008E3D34"/>
    <w:rsid w:val="008E43A0"/>
    <w:rsid w:val="008E46DC"/>
    <w:rsid w:val="008E4716"/>
    <w:rsid w:val="008E4AFF"/>
    <w:rsid w:val="008E4DDA"/>
    <w:rsid w:val="008E4E3C"/>
    <w:rsid w:val="008E524B"/>
    <w:rsid w:val="008E667C"/>
    <w:rsid w:val="008E6B68"/>
    <w:rsid w:val="008E6DE9"/>
    <w:rsid w:val="008E74F9"/>
    <w:rsid w:val="008E7B91"/>
    <w:rsid w:val="008F10FF"/>
    <w:rsid w:val="008F1A37"/>
    <w:rsid w:val="008F23A6"/>
    <w:rsid w:val="008F2A83"/>
    <w:rsid w:val="008F2BEC"/>
    <w:rsid w:val="008F30F3"/>
    <w:rsid w:val="008F3393"/>
    <w:rsid w:val="008F413A"/>
    <w:rsid w:val="008F52EA"/>
    <w:rsid w:val="008F5365"/>
    <w:rsid w:val="008F562F"/>
    <w:rsid w:val="008F6A48"/>
    <w:rsid w:val="008F75E1"/>
    <w:rsid w:val="008F7616"/>
    <w:rsid w:val="008F7A31"/>
    <w:rsid w:val="008F7D2F"/>
    <w:rsid w:val="0090093D"/>
    <w:rsid w:val="009010A9"/>
    <w:rsid w:val="009014F1"/>
    <w:rsid w:val="009028E8"/>
    <w:rsid w:val="00902BD0"/>
    <w:rsid w:val="009033AB"/>
    <w:rsid w:val="00903BE3"/>
    <w:rsid w:val="00904164"/>
    <w:rsid w:val="00904D0D"/>
    <w:rsid w:val="00904EA3"/>
    <w:rsid w:val="00905417"/>
    <w:rsid w:val="00905B79"/>
    <w:rsid w:val="009067B5"/>
    <w:rsid w:val="00906A0F"/>
    <w:rsid w:val="00906A46"/>
    <w:rsid w:val="00907020"/>
    <w:rsid w:val="009072A9"/>
    <w:rsid w:val="00907BB5"/>
    <w:rsid w:val="00910D22"/>
    <w:rsid w:val="009111A8"/>
    <w:rsid w:val="00911214"/>
    <w:rsid w:val="009118F7"/>
    <w:rsid w:val="009119BD"/>
    <w:rsid w:val="00911B84"/>
    <w:rsid w:val="00911DB4"/>
    <w:rsid w:val="00911DC0"/>
    <w:rsid w:val="00912558"/>
    <w:rsid w:val="00912781"/>
    <w:rsid w:val="00912917"/>
    <w:rsid w:val="0091311B"/>
    <w:rsid w:val="009135F9"/>
    <w:rsid w:val="009139C7"/>
    <w:rsid w:val="0091436B"/>
    <w:rsid w:val="00914ED4"/>
    <w:rsid w:val="00915A32"/>
    <w:rsid w:val="009165F7"/>
    <w:rsid w:val="009166D6"/>
    <w:rsid w:val="00916AF0"/>
    <w:rsid w:val="00916BDB"/>
    <w:rsid w:val="00916D54"/>
    <w:rsid w:val="00916DB1"/>
    <w:rsid w:val="00916FE1"/>
    <w:rsid w:val="00917F72"/>
    <w:rsid w:val="009206EC"/>
    <w:rsid w:val="00920AC9"/>
    <w:rsid w:val="00920FF8"/>
    <w:rsid w:val="00921372"/>
    <w:rsid w:val="0092147E"/>
    <w:rsid w:val="009215F3"/>
    <w:rsid w:val="00922575"/>
    <w:rsid w:val="00923264"/>
    <w:rsid w:val="00923BCF"/>
    <w:rsid w:val="00923CE5"/>
    <w:rsid w:val="00925631"/>
    <w:rsid w:val="009257B7"/>
    <w:rsid w:val="00925D00"/>
    <w:rsid w:val="009261D8"/>
    <w:rsid w:val="00926EC6"/>
    <w:rsid w:val="0093065C"/>
    <w:rsid w:val="00930E15"/>
    <w:rsid w:val="009315E4"/>
    <w:rsid w:val="009318AD"/>
    <w:rsid w:val="00931A3C"/>
    <w:rsid w:val="00931D97"/>
    <w:rsid w:val="009327BB"/>
    <w:rsid w:val="00933854"/>
    <w:rsid w:val="00933D8E"/>
    <w:rsid w:val="0093447A"/>
    <w:rsid w:val="00934FBD"/>
    <w:rsid w:val="00935741"/>
    <w:rsid w:val="00935A7A"/>
    <w:rsid w:val="00936037"/>
    <w:rsid w:val="00936F9F"/>
    <w:rsid w:val="0093724F"/>
    <w:rsid w:val="0094059D"/>
    <w:rsid w:val="00940BE8"/>
    <w:rsid w:val="00940D9C"/>
    <w:rsid w:val="00941246"/>
    <w:rsid w:val="00941A31"/>
    <w:rsid w:val="0094235E"/>
    <w:rsid w:val="00942444"/>
    <w:rsid w:val="00942743"/>
    <w:rsid w:val="009427F5"/>
    <w:rsid w:val="00942B35"/>
    <w:rsid w:val="00942D88"/>
    <w:rsid w:val="00943E65"/>
    <w:rsid w:val="00944D5D"/>
    <w:rsid w:val="009452EC"/>
    <w:rsid w:val="00945814"/>
    <w:rsid w:val="00945DF8"/>
    <w:rsid w:val="0094664E"/>
    <w:rsid w:val="009510EB"/>
    <w:rsid w:val="00951922"/>
    <w:rsid w:val="00951AC4"/>
    <w:rsid w:val="00951FDC"/>
    <w:rsid w:val="00952AE3"/>
    <w:rsid w:val="00953301"/>
    <w:rsid w:val="009538F0"/>
    <w:rsid w:val="009539FB"/>
    <w:rsid w:val="009541A6"/>
    <w:rsid w:val="009541D3"/>
    <w:rsid w:val="009546E2"/>
    <w:rsid w:val="00955CAA"/>
    <w:rsid w:val="00955E81"/>
    <w:rsid w:val="009568C9"/>
    <w:rsid w:val="00956E6B"/>
    <w:rsid w:val="00957453"/>
    <w:rsid w:val="00957B64"/>
    <w:rsid w:val="00957D04"/>
    <w:rsid w:val="0096109D"/>
    <w:rsid w:val="00961E35"/>
    <w:rsid w:val="00962E0C"/>
    <w:rsid w:val="0096345E"/>
    <w:rsid w:val="00963920"/>
    <w:rsid w:val="00963A6B"/>
    <w:rsid w:val="00963AAB"/>
    <w:rsid w:val="009647A8"/>
    <w:rsid w:val="009649B3"/>
    <w:rsid w:val="00964E75"/>
    <w:rsid w:val="00965EAE"/>
    <w:rsid w:val="009667B8"/>
    <w:rsid w:val="00966D6A"/>
    <w:rsid w:val="00966FDA"/>
    <w:rsid w:val="009671E2"/>
    <w:rsid w:val="00967AF3"/>
    <w:rsid w:val="009706EF"/>
    <w:rsid w:val="00971408"/>
    <w:rsid w:val="00971E91"/>
    <w:rsid w:val="00971FB1"/>
    <w:rsid w:val="00973D20"/>
    <w:rsid w:val="009743FB"/>
    <w:rsid w:val="00974BCF"/>
    <w:rsid w:val="00975464"/>
    <w:rsid w:val="00976AE9"/>
    <w:rsid w:val="00977106"/>
    <w:rsid w:val="009773E5"/>
    <w:rsid w:val="0097742B"/>
    <w:rsid w:val="00977544"/>
    <w:rsid w:val="00977A58"/>
    <w:rsid w:val="00977D4F"/>
    <w:rsid w:val="00977EE4"/>
    <w:rsid w:val="00980A6D"/>
    <w:rsid w:val="00981112"/>
    <w:rsid w:val="00981FFC"/>
    <w:rsid w:val="0098273C"/>
    <w:rsid w:val="009836B3"/>
    <w:rsid w:val="00983E83"/>
    <w:rsid w:val="009842E9"/>
    <w:rsid w:val="009852B9"/>
    <w:rsid w:val="00985A69"/>
    <w:rsid w:val="00986590"/>
    <w:rsid w:val="00986716"/>
    <w:rsid w:val="00986E08"/>
    <w:rsid w:val="0098769E"/>
    <w:rsid w:val="009876E9"/>
    <w:rsid w:val="00987B9A"/>
    <w:rsid w:val="009906F6"/>
    <w:rsid w:val="009918D1"/>
    <w:rsid w:val="00991916"/>
    <w:rsid w:val="00991CCF"/>
    <w:rsid w:val="00991E81"/>
    <w:rsid w:val="00992BB6"/>
    <w:rsid w:val="009937B7"/>
    <w:rsid w:val="009937BD"/>
    <w:rsid w:val="009938F6"/>
    <w:rsid w:val="00993BE5"/>
    <w:rsid w:val="00993EB6"/>
    <w:rsid w:val="00993EBB"/>
    <w:rsid w:val="00994246"/>
    <w:rsid w:val="0099425B"/>
    <w:rsid w:val="00994EA1"/>
    <w:rsid w:val="00994EE3"/>
    <w:rsid w:val="00995224"/>
    <w:rsid w:val="00995875"/>
    <w:rsid w:val="00995C08"/>
    <w:rsid w:val="00995EAA"/>
    <w:rsid w:val="00996287"/>
    <w:rsid w:val="00996936"/>
    <w:rsid w:val="00996C34"/>
    <w:rsid w:val="00996C87"/>
    <w:rsid w:val="00997C94"/>
    <w:rsid w:val="009A073C"/>
    <w:rsid w:val="009A195C"/>
    <w:rsid w:val="009A2044"/>
    <w:rsid w:val="009A23FF"/>
    <w:rsid w:val="009A3436"/>
    <w:rsid w:val="009A3816"/>
    <w:rsid w:val="009A3E58"/>
    <w:rsid w:val="009A5290"/>
    <w:rsid w:val="009A5696"/>
    <w:rsid w:val="009A580B"/>
    <w:rsid w:val="009A5B89"/>
    <w:rsid w:val="009A5CC8"/>
    <w:rsid w:val="009A5D73"/>
    <w:rsid w:val="009A706B"/>
    <w:rsid w:val="009A71F9"/>
    <w:rsid w:val="009A7B19"/>
    <w:rsid w:val="009A7CC1"/>
    <w:rsid w:val="009A7E94"/>
    <w:rsid w:val="009B067E"/>
    <w:rsid w:val="009B0C67"/>
    <w:rsid w:val="009B10DE"/>
    <w:rsid w:val="009B2304"/>
    <w:rsid w:val="009B2388"/>
    <w:rsid w:val="009B2C08"/>
    <w:rsid w:val="009B2C93"/>
    <w:rsid w:val="009B3365"/>
    <w:rsid w:val="009B3838"/>
    <w:rsid w:val="009B3C69"/>
    <w:rsid w:val="009B3D34"/>
    <w:rsid w:val="009B4649"/>
    <w:rsid w:val="009B4957"/>
    <w:rsid w:val="009B4EA5"/>
    <w:rsid w:val="009B5EFE"/>
    <w:rsid w:val="009B620C"/>
    <w:rsid w:val="009B6F0F"/>
    <w:rsid w:val="009B74E4"/>
    <w:rsid w:val="009B7D02"/>
    <w:rsid w:val="009C147E"/>
    <w:rsid w:val="009C398B"/>
    <w:rsid w:val="009C3AA0"/>
    <w:rsid w:val="009C40F0"/>
    <w:rsid w:val="009C4168"/>
    <w:rsid w:val="009C59ED"/>
    <w:rsid w:val="009C5A31"/>
    <w:rsid w:val="009C64F0"/>
    <w:rsid w:val="009C6877"/>
    <w:rsid w:val="009C7D86"/>
    <w:rsid w:val="009D00ED"/>
    <w:rsid w:val="009D0F36"/>
    <w:rsid w:val="009D108D"/>
    <w:rsid w:val="009D16C8"/>
    <w:rsid w:val="009D1C9E"/>
    <w:rsid w:val="009D1D38"/>
    <w:rsid w:val="009D3430"/>
    <w:rsid w:val="009D3B01"/>
    <w:rsid w:val="009D42B7"/>
    <w:rsid w:val="009D42D1"/>
    <w:rsid w:val="009D43AB"/>
    <w:rsid w:val="009D4B52"/>
    <w:rsid w:val="009D4E7D"/>
    <w:rsid w:val="009D5E9F"/>
    <w:rsid w:val="009D6021"/>
    <w:rsid w:val="009D62C6"/>
    <w:rsid w:val="009D643E"/>
    <w:rsid w:val="009D6590"/>
    <w:rsid w:val="009D6E35"/>
    <w:rsid w:val="009D6FA6"/>
    <w:rsid w:val="009D7820"/>
    <w:rsid w:val="009D7922"/>
    <w:rsid w:val="009D7E2D"/>
    <w:rsid w:val="009D7E5C"/>
    <w:rsid w:val="009D7FCB"/>
    <w:rsid w:val="009E0016"/>
    <w:rsid w:val="009E0750"/>
    <w:rsid w:val="009E0DF9"/>
    <w:rsid w:val="009E0ECE"/>
    <w:rsid w:val="009E13B8"/>
    <w:rsid w:val="009E14A6"/>
    <w:rsid w:val="009E14AF"/>
    <w:rsid w:val="009E1B81"/>
    <w:rsid w:val="009E1C65"/>
    <w:rsid w:val="009E1DF0"/>
    <w:rsid w:val="009E22E9"/>
    <w:rsid w:val="009E26DF"/>
    <w:rsid w:val="009E36B8"/>
    <w:rsid w:val="009E3AA2"/>
    <w:rsid w:val="009E3F06"/>
    <w:rsid w:val="009E3F59"/>
    <w:rsid w:val="009E3FF8"/>
    <w:rsid w:val="009E406E"/>
    <w:rsid w:val="009E4578"/>
    <w:rsid w:val="009E4734"/>
    <w:rsid w:val="009E4FA0"/>
    <w:rsid w:val="009E5F87"/>
    <w:rsid w:val="009E7857"/>
    <w:rsid w:val="009F00D5"/>
    <w:rsid w:val="009F0830"/>
    <w:rsid w:val="009F12C7"/>
    <w:rsid w:val="009F1BF3"/>
    <w:rsid w:val="009F2784"/>
    <w:rsid w:val="009F2CD5"/>
    <w:rsid w:val="009F31D9"/>
    <w:rsid w:val="009F379A"/>
    <w:rsid w:val="009F3A56"/>
    <w:rsid w:val="009F49C6"/>
    <w:rsid w:val="009F4B7C"/>
    <w:rsid w:val="009F5A36"/>
    <w:rsid w:val="009F66F3"/>
    <w:rsid w:val="009F6C6C"/>
    <w:rsid w:val="009F6CE8"/>
    <w:rsid w:val="009F6F4C"/>
    <w:rsid w:val="009F79FC"/>
    <w:rsid w:val="00A001CD"/>
    <w:rsid w:val="00A0096F"/>
    <w:rsid w:val="00A00B58"/>
    <w:rsid w:val="00A011D0"/>
    <w:rsid w:val="00A013EE"/>
    <w:rsid w:val="00A01CDE"/>
    <w:rsid w:val="00A03519"/>
    <w:rsid w:val="00A03B6E"/>
    <w:rsid w:val="00A046B3"/>
    <w:rsid w:val="00A0480A"/>
    <w:rsid w:val="00A04ABC"/>
    <w:rsid w:val="00A04EC3"/>
    <w:rsid w:val="00A05307"/>
    <w:rsid w:val="00A06028"/>
    <w:rsid w:val="00A073A9"/>
    <w:rsid w:val="00A077AC"/>
    <w:rsid w:val="00A10422"/>
    <w:rsid w:val="00A120E1"/>
    <w:rsid w:val="00A12187"/>
    <w:rsid w:val="00A135C4"/>
    <w:rsid w:val="00A13ADC"/>
    <w:rsid w:val="00A13B12"/>
    <w:rsid w:val="00A14ABB"/>
    <w:rsid w:val="00A14F36"/>
    <w:rsid w:val="00A15014"/>
    <w:rsid w:val="00A15109"/>
    <w:rsid w:val="00A16E6F"/>
    <w:rsid w:val="00A1729F"/>
    <w:rsid w:val="00A17611"/>
    <w:rsid w:val="00A17E0C"/>
    <w:rsid w:val="00A201C8"/>
    <w:rsid w:val="00A203B9"/>
    <w:rsid w:val="00A2080B"/>
    <w:rsid w:val="00A20992"/>
    <w:rsid w:val="00A20A17"/>
    <w:rsid w:val="00A20C34"/>
    <w:rsid w:val="00A216D9"/>
    <w:rsid w:val="00A218DE"/>
    <w:rsid w:val="00A21A48"/>
    <w:rsid w:val="00A23148"/>
    <w:rsid w:val="00A2346F"/>
    <w:rsid w:val="00A23767"/>
    <w:rsid w:val="00A23979"/>
    <w:rsid w:val="00A239CF"/>
    <w:rsid w:val="00A23BCD"/>
    <w:rsid w:val="00A243EF"/>
    <w:rsid w:val="00A24931"/>
    <w:rsid w:val="00A25B8D"/>
    <w:rsid w:val="00A26203"/>
    <w:rsid w:val="00A270ED"/>
    <w:rsid w:val="00A2798D"/>
    <w:rsid w:val="00A3024C"/>
    <w:rsid w:val="00A30CDE"/>
    <w:rsid w:val="00A31B48"/>
    <w:rsid w:val="00A31FFE"/>
    <w:rsid w:val="00A3216E"/>
    <w:rsid w:val="00A32335"/>
    <w:rsid w:val="00A32619"/>
    <w:rsid w:val="00A32E36"/>
    <w:rsid w:val="00A32E96"/>
    <w:rsid w:val="00A32FB2"/>
    <w:rsid w:val="00A3314A"/>
    <w:rsid w:val="00A3381D"/>
    <w:rsid w:val="00A3398B"/>
    <w:rsid w:val="00A33C1A"/>
    <w:rsid w:val="00A340F3"/>
    <w:rsid w:val="00A34297"/>
    <w:rsid w:val="00A34889"/>
    <w:rsid w:val="00A34E19"/>
    <w:rsid w:val="00A354F5"/>
    <w:rsid w:val="00A3589A"/>
    <w:rsid w:val="00A35F32"/>
    <w:rsid w:val="00A362EE"/>
    <w:rsid w:val="00A36E80"/>
    <w:rsid w:val="00A3703C"/>
    <w:rsid w:val="00A401AA"/>
    <w:rsid w:val="00A40216"/>
    <w:rsid w:val="00A403A9"/>
    <w:rsid w:val="00A4075D"/>
    <w:rsid w:val="00A40AF5"/>
    <w:rsid w:val="00A41445"/>
    <w:rsid w:val="00A417A4"/>
    <w:rsid w:val="00A4194B"/>
    <w:rsid w:val="00A41AA3"/>
    <w:rsid w:val="00A41B83"/>
    <w:rsid w:val="00A41E40"/>
    <w:rsid w:val="00A42B95"/>
    <w:rsid w:val="00A42D8D"/>
    <w:rsid w:val="00A42F5A"/>
    <w:rsid w:val="00A43296"/>
    <w:rsid w:val="00A43D28"/>
    <w:rsid w:val="00A445B1"/>
    <w:rsid w:val="00A45952"/>
    <w:rsid w:val="00A45D7F"/>
    <w:rsid w:val="00A45FA9"/>
    <w:rsid w:val="00A465A2"/>
    <w:rsid w:val="00A46B0E"/>
    <w:rsid w:val="00A46F0E"/>
    <w:rsid w:val="00A46F7B"/>
    <w:rsid w:val="00A47212"/>
    <w:rsid w:val="00A47989"/>
    <w:rsid w:val="00A47A60"/>
    <w:rsid w:val="00A47A9F"/>
    <w:rsid w:val="00A502DD"/>
    <w:rsid w:val="00A50311"/>
    <w:rsid w:val="00A5048E"/>
    <w:rsid w:val="00A50A8D"/>
    <w:rsid w:val="00A512F9"/>
    <w:rsid w:val="00A522FD"/>
    <w:rsid w:val="00A52651"/>
    <w:rsid w:val="00A5265D"/>
    <w:rsid w:val="00A52C58"/>
    <w:rsid w:val="00A52F41"/>
    <w:rsid w:val="00A53401"/>
    <w:rsid w:val="00A534D5"/>
    <w:rsid w:val="00A5397D"/>
    <w:rsid w:val="00A53D18"/>
    <w:rsid w:val="00A53E16"/>
    <w:rsid w:val="00A54791"/>
    <w:rsid w:val="00A54D46"/>
    <w:rsid w:val="00A54F76"/>
    <w:rsid w:val="00A54F95"/>
    <w:rsid w:val="00A55D52"/>
    <w:rsid w:val="00A561D4"/>
    <w:rsid w:val="00A56510"/>
    <w:rsid w:val="00A5692E"/>
    <w:rsid w:val="00A56AEE"/>
    <w:rsid w:val="00A56B50"/>
    <w:rsid w:val="00A56F34"/>
    <w:rsid w:val="00A57939"/>
    <w:rsid w:val="00A57A2B"/>
    <w:rsid w:val="00A57BE6"/>
    <w:rsid w:val="00A57D02"/>
    <w:rsid w:val="00A57DC5"/>
    <w:rsid w:val="00A57F7D"/>
    <w:rsid w:val="00A60308"/>
    <w:rsid w:val="00A6097D"/>
    <w:rsid w:val="00A60E5B"/>
    <w:rsid w:val="00A61D42"/>
    <w:rsid w:val="00A62155"/>
    <w:rsid w:val="00A62BEB"/>
    <w:rsid w:val="00A62CF0"/>
    <w:rsid w:val="00A63356"/>
    <w:rsid w:val="00A64026"/>
    <w:rsid w:val="00A64104"/>
    <w:rsid w:val="00A64233"/>
    <w:rsid w:val="00A64364"/>
    <w:rsid w:val="00A64BBC"/>
    <w:rsid w:val="00A64EE5"/>
    <w:rsid w:val="00A64FDB"/>
    <w:rsid w:val="00A651A7"/>
    <w:rsid w:val="00A656BD"/>
    <w:rsid w:val="00A658EB"/>
    <w:rsid w:val="00A660A1"/>
    <w:rsid w:val="00A662BF"/>
    <w:rsid w:val="00A667AC"/>
    <w:rsid w:val="00A66D95"/>
    <w:rsid w:val="00A676B7"/>
    <w:rsid w:val="00A70877"/>
    <w:rsid w:val="00A71218"/>
    <w:rsid w:val="00A713B5"/>
    <w:rsid w:val="00A7162A"/>
    <w:rsid w:val="00A71FB4"/>
    <w:rsid w:val="00A7222D"/>
    <w:rsid w:val="00A72F0A"/>
    <w:rsid w:val="00A72F30"/>
    <w:rsid w:val="00A747F3"/>
    <w:rsid w:val="00A75638"/>
    <w:rsid w:val="00A762E9"/>
    <w:rsid w:val="00A7673B"/>
    <w:rsid w:val="00A7706C"/>
    <w:rsid w:val="00A80BC8"/>
    <w:rsid w:val="00A80EF6"/>
    <w:rsid w:val="00A810C9"/>
    <w:rsid w:val="00A81572"/>
    <w:rsid w:val="00A81AC6"/>
    <w:rsid w:val="00A81E39"/>
    <w:rsid w:val="00A823CC"/>
    <w:rsid w:val="00A83100"/>
    <w:rsid w:val="00A841E4"/>
    <w:rsid w:val="00A84296"/>
    <w:rsid w:val="00A84808"/>
    <w:rsid w:val="00A84DB7"/>
    <w:rsid w:val="00A85039"/>
    <w:rsid w:val="00A85387"/>
    <w:rsid w:val="00A854A8"/>
    <w:rsid w:val="00A861F3"/>
    <w:rsid w:val="00A87B58"/>
    <w:rsid w:val="00A87F63"/>
    <w:rsid w:val="00A91840"/>
    <w:rsid w:val="00A9211C"/>
    <w:rsid w:val="00A921BD"/>
    <w:rsid w:val="00A92C4A"/>
    <w:rsid w:val="00A93670"/>
    <w:rsid w:val="00A938EA"/>
    <w:rsid w:val="00A93F42"/>
    <w:rsid w:val="00A944F3"/>
    <w:rsid w:val="00A9451F"/>
    <w:rsid w:val="00A9577D"/>
    <w:rsid w:val="00A95AE9"/>
    <w:rsid w:val="00A960DB"/>
    <w:rsid w:val="00A960DE"/>
    <w:rsid w:val="00A96130"/>
    <w:rsid w:val="00A96702"/>
    <w:rsid w:val="00A96D9A"/>
    <w:rsid w:val="00A970F7"/>
    <w:rsid w:val="00A97291"/>
    <w:rsid w:val="00A97C91"/>
    <w:rsid w:val="00A97E0E"/>
    <w:rsid w:val="00A97E1D"/>
    <w:rsid w:val="00A97EFD"/>
    <w:rsid w:val="00AA0069"/>
    <w:rsid w:val="00AA02E1"/>
    <w:rsid w:val="00AA0442"/>
    <w:rsid w:val="00AA13C4"/>
    <w:rsid w:val="00AA145D"/>
    <w:rsid w:val="00AA1E53"/>
    <w:rsid w:val="00AA2021"/>
    <w:rsid w:val="00AA2831"/>
    <w:rsid w:val="00AA331C"/>
    <w:rsid w:val="00AA3555"/>
    <w:rsid w:val="00AA36C0"/>
    <w:rsid w:val="00AA4F87"/>
    <w:rsid w:val="00AA5895"/>
    <w:rsid w:val="00AA6195"/>
    <w:rsid w:val="00AA6314"/>
    <w:rsid w:val="00AA6402"/>
    <w:rsid w:val="00AA648F"/>
    <w:rsid w:val="00AA655A"/>
    <w:rsid w:val="00AB018B"/>
    <w:rsid w:val="00AB02B7"/>
    <w:rsid w:val="00AB0925"/>
    <w:rsid w:val="00AB14C6"/>
    <w:rsid w:val="00AB17C9"/>
    <w:rsid w:val="00AB27B0"/>
    <w:rsid w:val="00AB3253"/>
    <w:rsid w:val="00AB345C"/>
    <w:rsid w:val="00AB3B02"/>
    <w:rsid w:val="00AB42FD"/>
    <w:rsid w:val="00AB4E4E"/>
    <w:rsid w:val="00AB54AD"/>
    <w:rsid w:val="00AB5AA3"/>
    <w:rsid w:val="00AB63F3"/>
    <w:rsid w:val="00AB6517"/>
    <w:rsid w:val="00AB6CA1"/>
    <w:rsid w:val="00AB7DDA"/>
    <w:rsid w:val="00AC06C4"/>
    <w:rsid w:val="00AC0846"/>
    <w:rsid w:val="00AC16D5"/>
    <w:rsid w:val="00AC1B16"/>
    <w:rsid w:val="00AC1F17"/>
    <w:rsid w:val="00AC1F22"/>
    <w:rsid w:val="00AC2328"/>
    <w:rsid w:val="00AC2CBA"/>
    <w:rsid w:val="00AC3A7D"/>
    <w:rsid w:val="00AC3ACC"/>
    <w:rsid w:val="00AC3DAD"/>
    <w:rsid w:val="00AC5667"/>
    <w:rsid w:val="00AC6055"/>
    <w:rsid w:val="00AC61E1"/>
    <w:rsid w:val="00AC6C37"/>
    <w:rsid w:val="00AC6DDA"/>
    <w:rsid w:val="00AD0A14"/>
    <w:rsid w:val="00AD1882"/>
    <w:rsid w:val="00AD1C9F"/>
    <w:rsid w:val="00AD304F"/>
    <w:rsid w:val="00AD31ED"/>
    <w:rsid w:val="00AD3836"/>
    <w:rsid w:val="00AD3936"/>
    <w:rsid w:val="00AD3EBA"/>
    <w:rsid w:val="00AD4512"/>
    <w:rsid w:val="00AD4541"/>
    <w:rsid w:val="00AD5C16"/>
    <w:rsid w:val="00AD6768"/>
    <w:rsid w:val="00AD73B4"/>
    <w:rsid w:val="00AD74DE"/>
    <w:rsid w:val="00AD7544"/>
    <w:rsid w:val="00AD7890"/>
    <w:rsid w:val="00AD7D72"/>
    <w:rsid w:val="00AE016F"/>
    <w:rsid w:val="00AE0645"/>
    <w:rsid w:val="00AE14DD"/>
    <w:rsid w:val="00AE1740"/>
    <w:rsid w:val="00AE1D1D"/>
    <w:rsid w:val="00AE1E3D"/>
    <w:rsid w:val="00AE200F"/>
    <w:rsid w:val="00AE2554"/>
    <w:rsid w:val="00AE26EA"/>
    <w:rsid w:val="00AE2921"/>
    <w:rsid w:val="00AE2FF7"/>
    <w:rsid w:val="00AE3C8F"/>
    <w:rsid w:val="00AE3F01"/>
    <w:rsid w:val="00AE453B"/>
    <w:rsid w:val="00AE5169"/>
    <w:rsid w:val="00AE56E2"/>
    <w:rsid w:val="00AE5AC1"/>
    <w:rsid w:val="00AE5B31"/>
    <w:rsid w:val="00AE616C"/>
    <w:rsid w:val="00AE6560"/>
    <w:rsid w:val="00AE6C31"/>
    <w:rsid w:val="00AE6C4B"/>
    <w:rsid w:val="00AE70EB"/>
    <w:rsid w:val="00AF020F"/>
    <w:rsid w:val="00AF0236"/>
    <w:rsid w:val="00AF0ECB"/>
    <w:rsid w:val="00AF1098"/>
    <w:rsid w:val="00AF12D7"/>
    <w:rsid w:val="00AF1A0A"/>
    <w:rsid w:val="00AF266D"/>
    <w:rsid w:val="00AF355D"/>
    <w:rsid w:val="00AF35D2"/>
    <w:rsid w:val="00AF3C07"/>
    <w:rsid w:val="00AF41EC"/>
    <w:rsid w:val="00AF4215"/>
    <w:rsid w:val="00AF464D"/>
    <w:rsid w:val="00AF4985"/>
    <w:rsid w:val="00AF5052"/>
    <w:rsid w:val="00AF5935"/>
    <w:rsid w:val="00AF5F49"/>
    <w:rsid w:val="00AF6EEC"/>
    <w:rsid w:val="00B000C1"/>
    <w:rsid w:val="00B00647"/>
    <w:rsid w:val="00B00A72"/>
    <w:rsid w:val="00B011DB"/>
    <w:rsid w:val="00B01EA8"/>
    <w:rsid w:val="00B020E7"/>
    <w:rsid w:val="00B02142"/>
    <w:rsid w:val="00B023D4"/>
    <w:rsid w:val="00B02DBE"/>
    <w:rsid w:val="00B030AC"/>
    <w:rsid w:val="00B03213"/>
    <w:rsid w:val="00B04C92"/>
    <w:rsid w:val="00B04CD9"/>
    <w:rsid w:val="00B04D3C"/>
    <w:rsid w:val="00B05987"/>
    <w:rsid w:val="00B0626E"/>
    <w:rsid w:val="00B06A5B"/>
    <w:rsid w:val="00B06CDA"/>
    <w:rsid w:val="00B06DD4"/>
    <w:rsid w:val="00B102D7"/>
    <w:rsid w:val="00B102FC"/>
    <w:rsid w:val="00B10A43"/>
    <w:rsid w:val="00B1182B"/>
    <w:rsid w:val="00B11D59"/>
    <w:rsid w:val="00B11D7B"/>
    <w:rsid w:val="00B11D96"/>
    <w:rsid w:val="00B120D1"/>
    <w:rsid w:val="00B13170"/>
    <w:rsid w:val="00B13552"/>
    <w:rsid w:val="00B1386B"/>
    <w:rsid w:val="00B13CC5"/>
    <w:rsid w:val="00B13F7E"/>
    <w:rsid w:val="00B14161"/>
    <w:rsid w:val="00B16874"/>
    <w:rsid w:val="00B168D7"/>
    <w:rsid w:val="00B168EE"/>
    <w:rsid w:val="00B17240"/>
    <w:rsid w:val="00B172A6"/>
    <w:rsid w:val="00B177B0"/>
    <w:rsid w:val="00B17CC7"/>
    <w:rsid w:val="00B20D67"/>
    <w:rsid w:val="00B20F1F"/>
    <w:rsid w:val="00B212C6"/>
    <w:rsid w:val="00B219F4"/>
    <w:rsid w:val="00B222CC"/>
    <w:rsid w:val="00B22D37"/>
    <w:rsid w:val="00B23B3E"/>
    <w:rsid w:val="00B24CFD"/>
    <w:rsid w:val="00B25A0D"/>
    <w:rsid w:val="00B25EDA"/>
    <w:rsid w:val="00B26548"/>
    <w:rsid w:val="00B26A28"/>
    <w:rsid w:val="00B27407"/>
    <w:rsid w:val="00B27B9F"/>
    <w:rsid w:val="00B3007F"/>
    <w:rsid w:val="00B30BD0"/>
    <w:rsid w:val="00B30E27"/>
    <w:rsid w:val="00B30EBB"/>
    <w:rsid w:val="00B311D7"/>
    <w:rsid w:val="00B3180F"/>
    <w:rsid w:val="00B31AB7"/>
    <w:rsid w:val="00B329B4"/>
    <w:rsid w:val="00B3344D"/>
    <w:rsid w:val="00B33787"/>
    <w:rsid w:val="00B34389"/>
    <w:rsid w:val="00B349AE"/>
    <w:rsid w:val="00B34F7B"/>
    <w:rsid w:val="00B35204"/>
    <w:rsid w:val="00B354BC"/>
    <w:rsid w:val="00B3556C"/>
    <w:rsid w:val="00B355BB"/>
    <w:rsid w:val="00B355D7"/>
    <w:rsid w:val="00B35CA3"/>
    <w:rsid w:val="00B35F91"/>
    <w:rsid w:val="00B3641E"/>
    <w:rsid w:val="00B372B7"/>
    <w:rsid w:val="00B37EDC"/>
    <w:rsid w:val="00B37F03"/>
    <w:rsid w:val="00B406C5"/>
    <w:rsid w:val="00B40A24"/>
    <w:rsid w:val="00B412C2"/>
    <w:rsid w:val="00B419AC"/>
    <w:rsid w:val="00B41D10"/>
    <w:rsid w:val="00B41DF7"/>
    <w:rsid w:val="00B41E0B"/>
    <w:rsid w:val="00B428C7"/>
    <w:rsid w:val="00B43602"/>
    <w:rsid w:val="00B43674"/>
    <w:rsid w:val="00B43813"/>
    <w:rsid w:val="00B43F6E"/>
    <w:rsid w:val="00B44859"/>
    <w:rsid w:val="00B45AAF"/>
    <w:rsid w:val="00B45C1F"/>
    <w:rsid w:val="00B46082"/>
    <w:rsid w:val="00B4679D"/>
    <w:rsid w:val="00B467EC"/>
    <w:rsid w:val="00B468CE"/>
    <w:rsid w:val="00B4725D"/>
    <w:rsid w:val="00B47502"/>
    <w:rsid w:val="00B477C9"/>
    <w:rsid w:val="00B47906"/>
    <w:rsid w:val="00B51A93"/>
    <w:rsid w:val="00B51F17"/>
    <w:rsid w:val="00B530E0"/>
    <w:rsid w:val="00B5365A"/>
    <w:rsid w:val="00B53709"/>
    <w:rsid w:val="00B539D1"/>
    <w:rsid w:val="00B53E98"/>
    <w:rsid w:val="00B540FC"/>
    <w:rsid w:val="00B541B6"/>
    <w:rsid w:val="00B542F9"/>
    <w:rsid w:val="00B54354"/>
    <w:rsid w:val="00B54560"/>
    <w:rsid w:val="00B54579"/>
    <w:rsid w:val="00B54A7A"/>
    <w:rsid w:val="00B54B51"/>
    <w:rsid w:val="00B561A1"/>
    <w:rsid w:val="00B56202"/>
    <w:rsid w:val="00B5621B"/>
    <w:rsid w:val="00B562AE"/>
    <w:rsid w:val="00B56425"/>
    <w:rsid w:val="00B565EC"/>
    <w:rsid w:val="00B5675F"/>
    <w:rsid w:val="00B56F03"/>
    <w:rsid w:val="00B573F6"/>
    <w:rsid w:val="00B57476"/>
    <w:rsid w:val="00B601EF"/>
    <w:rsid w:val="00B60A9B"/>
    <w:rsid w:val="00B61C62"/>
    <w:rsid w:val="00B62111"/>
    <w:rsid w:val="00B62568"/>
    <w:rsid w:val="00B626E1"/>
    <w:rsid w:val="00B62776"/>
    <w:rsid w:val="00B65CD8"/>
    <w:rsid w:val="00B66031"/>
    <w:rsid w:val="00B666AC"/>
    <w:rsid w:val="00B70629"/>
    <w:rsid w:val="00B706A7"/>
    <w:rsid w:val="00B70D03"/>
    <w:rsid w:val="00B70EA9"/>
    <w:rsid w:val="00B716E2"/>
    <w:rsid w:val="00B72A52"/>
    <w:rsid w:val="00B73072"/>
    <w:rsid w:val="00B731EC"/>
    <w:rsid w:val="00B75EDD"/>
    <w:rsid w:val="00B7665C"/>
    <w:rsid w:val="00B77042"/>
    <w:rsid w:val="00B77345"/>
    <w:rsid w:val="00B77465"/>
    <w:rsid w:val="00B7749B"/>
    <w:rsid w:val="00B77580"/>
    <w:rsid w:val="00B778AB"/>
    <w:rsid w:val="00B77D37"/>
    <w:rsid w:val="00B80D85"/>
    <w:rsid w:val="00B812AA"/>
    <w:rsid w:val="00B8145D"/>
    <w:rsid w:val="00B81DE3"/>
    <w:rsid w:val="00B82480"/>
    <w:rsid w:val="00B82855"/>
    <w:rsid w:val="00B82FF3"/>
    <w:rsid w:val="00B83999"/>
    <w:rsid w:val="00B84130"/>
    <w:rsid w:val="00B841BB"/>
    <w:rsid w:val="00B86F1C"/>
    <w:rsid w:val="00B86F5F"/>
    <w:rsid w:val="00B870BE"/>
    <w:rsid w:val="00B8717B"/>
    <w:rsid w:val="00B872B6"/>
    <w:rsid w:val="00B903DA"/>
    <w:rsid w:val="00B90606"/>
    <w:rsid w:val="00B90748"/>
    <w:rsid w:val="00B91679"/>
    <w:rsid w:val="00B91B25"/>
    <w:rsid w:val="00B9348A"/>
    <w:rsid w:val="00B93F07"/>
    <w:rsid w:val="00B9466E"/>
    <w:rsid w:val="00B949B0"/>
    <w:rsid w:val="00B94B73"/>
    <w:rsid w:val="00B953FC"/>
    <w:rsid w:val="00B95692"/>
    <w:rsid w:val="00B95A4A"/>
    <w:rsid w:val="00B95DC1"/>
    <w:rsid w:val="00B95FA4"/>
    <w:rsid w:val="00B9637F"/>
    <w:rsid w:val="00B96ADC"/>
    <w:rsid w:val="00BA007E"/>
    <w:rsid w:val="00BA0C1F"/>
    <w:rsid w:val="00BA17F4"/>
    <w:rsid w:val="00BA260E"/>
    <w:rsid w:val="00BA2947"/>
    <w:rsid w:val="00BA2F7C"/>
    <w:rsid w:val="00BA31B5"/>
    <w:rsid w:val="00BA3244"/>
    <w:rsid w:val="00BA3BB8"/>
    <w:rsid w:val="00BA3CA2"/>
    <w:rsid w:val="00BA4190"/>
    <w:rsid w:val="00BA45A5"/>
    <w:rsid w:val="00BA55C7"/>
    <w:rsid w:val="00BA5BCA"/>
    <w:rsid w:val="00BA6F02"/>
    <w:rsid w:val="00BA727B"/>
    <w:rsid w:val="00BA7340"/>
    <w:rsid w:val="00BA76CD"/>
    <w:rsid w:val="00BB0508"/>
    <w:rsid w:val="00BB2103"/>
    <w:rsid w:val="00BB2263"/>
    <w:rsid w:val="00BB2F8D"/>
    <w:rsid w:val="00BB312E"/>
    <w:rsid w:val="00BB4B79"/>
    <w:rsid w:val="00BB5543"/>
    <w:rsid w:val="00BB5E4E"/>
    <w:rsid w:val="00BB600A"/>
    <w:rsid w:val="00BB640E"/>
    <w:rsid w:val="00BB7B93"/>
    <w:rsid w:val="00BC024F"/>
    <w:rsid w:val="00BC0F96"/>
    <w:rsid w:val="00BC11BF"/>
    <w:rsid w:val="00BC1BFA"/>
    <w:rsid w:val="00BC2514"/>
    <w:rsid w:val="00BC2651"/>
    <w:rsid w:val="00BC28A9"/>
    <w:rsid w:val="00BC297D"/>
    <w:rsid w:val="00BC2A4C"/>
    <w:rsid w:val="00BC2B34"/>
    <w:rsid w:val="00BC3134"/>
    <w:rsid w:val="00BC3212"/>
    <w:rsid w:val="00BC3DFA"/>
    <w:rsid w:val="00BC6216"/>
    <w:rsid w:val="00BD0225"/>
    <w:rsid w:val="00BD0228"/>
    <w:rsid w:val="00BD19F9"/>
    <w:rsid w:val="00BD1B41"/>
    <w:rsid w:val="00BD34CA"/>
    <w:rsid w:val="00BD3DE6"/>
    <w:rsid w:val="00BD45E4"/>
    <w:rsid w:val="00BD4763"/>
    <w:rsid w:val="00BD4C2E"/>
    <w:rsid w:val="00BD588A"/>
    <w:rsid w:val="00BD5B2C"/>
    <w:rsid w:val="00BD5BE2"/>
    <w:rsid w:val="00BD609C"/>
    <w:rsid w:val="00BD7A9D"/>
    <w:rsid w:val="00BE0121"/>
    <w:rsid w:val="00BE0992"/>
    <w:rsid w:val="00BE0CE5"/>
    <w:rsid w:val="00BE118E"/>
    <w:rsid w:val="00BE1406"/>
    <w:rsid w:val="00BE162B"/>
    <w:rsid w:val="00BE18C1"/>
    <w:rsid w:val="00BE1E00"/>
    <w:rsid w:val="00BE1E04"/>
    <w:rsid w:val="00BE2841"/>
    <w:rsid w:val="00BE291E"/>
    <w:rsid w:val="00BE29F8"/>
    <w:rsid w:val="00BE31DF"/>
    <w:rsid w:val="00BE3E5E"/>
    <w:rsid w:val="00BE4049"/>
    <w:rsid w:val="00BE40BA"/>
    <w:rsid w:val="00BE4AEF"/>
    <w:rsid w:val="00BE5BA3"/>
    <w:rsid w:val="00BE5E6C"/>
    <w:rsid w:val="00BE6555"/>
    <w:rsid w:val="00BE65FD"/>
    <w:rsid w:val="00BE73E1"/>
    <w:rsid w:val="00BE742A"/>
    <w:rsid w:val="00BE7505"/>
    <w:rsid w:val="00BF0A17"/>
    <w:rsid w:val="00BF136F"/>
    <w:rsid w:val="00BF1552"/>
    <w:rsid w:val="00BF1A20"/>
    <w:rsid w:val="00BF241C"/>
    <w:rsid w:val="00BF303E"/>
    <w:rsid w:val="00BF3259"/>
    <w:rsid w:val="00BF361F"/>
    <w:rsid w:val="00BF4219"/>
    <w:rsid w:val="00BF42FA"/>
    <w:rsid w:val="00BF48CE"/>
    <w:rsid w:val="00BF48FF"/>
    <w:rsid w:val="00BF49B5"/>
    <w:rsid w:val="00BF500E"/>
    <w:rsid w:val="00BF5773"/>
    <w:rsid w:val="00BF5AFD"/>
    <w:rsid w:val="00BF6D63"/>
    <w:rsid w:val="00BF6E2E"/>
    <w:rsid w:val="00BF6FF4"/>
    <w:rsid w:val="00BF79E1"/>
    <w:rsid w:val="00BF7B3E"/>
    <w:rsid w:val="00C003B7"/>
    <w:rsid w:val="00C00497"/>
    <w:rsid w:val="00C01B7A"/>
    <w:rsid w:val="00C01BD3"/>
    <w:rsid w:val="00C01C62"/>
    <w:rsid w:val="00C0207A"/>
    <w:rsid w:val="00C02FC1"/>
    <w:rsid w:val="00C0372D"/>
    <w:rsid w:val="00C03A9B"/>
    <w:rsid w:val="00C043C6"/>
    <w:rsid w:val="00C046C2"/>
    <w:rsid w:val="00C057CC"/>
    <w:rsid w:val="00C0732C"/>
    <w:rsid w:val="00C078BE"/>
    <w:rsid w:val="00C07B1A"/>
    <w:rsid w:val="00C1017B"/>
    <w:rsid w:val="00C10637"/>
    <w:rsid w:val="00C108F3"/>
    <w:rsid w:val="00C10A32"/>
    <w:rsid w:val="00C10DE7"/>
    <w:rsid w:val="00C113E8"/>
    <w:rsid w:val="00C1266E"/>
    <w:rsid w:val="00C12D92"/>
    <w:rsid w:val="00C12E86"/>
    <w:rsid w:val="00C13037"/>
    <w:rsid w:val="00C1365C"/>
    <w:rsid w:val="00C13CE6"/>
    <w:rsid w:val="00C13E4C"/>
    <w:rsid w:val="00C142D2"/>
    <w:rsid w:val="00C144FA"/>
    <w:rsid w:val="00C148CF"/>
    <w:rsid w:val="00C14FC0"/>
    <w:rsid w:val="00C15297"/>
    <w:rsid w:val="00C15470"/>
    <w:rsid w:val="00C156B5"/>
    <w:rsid w:val="00C15B37"/>
    <w:rsid w:val="00C15C60"/>
    <w:rsid w:val="00C1648A"/>
    <w:rsid w:val="00C16BC2"/>
    <w:rsid w:val="00C16FEB"/>
    <w:rsid w:val="00C1773C"/>
    <w:rsid w:val="00C17E05"/>
    <w:rsid w:val="00C2022C"/>
    <w:rsid w:val="00C203FB"/>
    <w:rsid w:val="00C20638"/>
    <w:rsid w:val="00C20886"/>
    <w:rsid w:val="00C21A93"/>
    <w:rsid w:val="00C21D0F"/>
    <w:rsid w:val="00C22036"/>
    <w:rsid w:val="00C224D8"/>
    <w:rsid w:val="00C22C33"/>
    <w:rsid w:val="00C22C76"/>
    <w:rsid w:val="00C23F8D"/>
    <w:rsid w:val="00C24645"/>
    <w:rsid w:val="00C24A2F"/>
    <w:rsid w:val="00C24B2A"/>
    <w:rsid w:val="00C24B37"/>
    <w:rsid w:val="00C24C1D"/>
    <w:rsid w:val="00C25D77"/>
    <w:rsid w:val="00C268B1"/>
    <w:rsid w:val="00C27D77"/>
    <w:rsid w:val="00C3130D"/>
    <w:rsid w:val="00C318D6"/>
    <w:rsid w:val="00C31BCC"/>
    <w:rsid w:val="00C31CF1"/>
    <w:rsid w:val="00C3216A"/>
    <w:rsid w:val="00C3268A"/>
    <w:rsid w:val="00C330F1"/>
    <w:rsid w:val="00C331E9"/>
    <w:rsid w:val="00C331F1"/>
    <w:rsid w:val="00C333C8"/>
    <w:rsid w:val="00C3359F"/>
    <w:rsid w:val="00C33B04"/>
    <w:rsid w:val="00C34009"/>
    <w:rsid w:val="00C350A4"/>
    <w:rsid w:val="00C3569C"/>
    <w:rsid w:val="00C36C0D"/>
    <w:rsid w:val="00C36E6E"/>
    <w:rsid w:val="00C377FD"/>
    <w:rsid w:val="00C37A51"/>
    <w:rsid w:val="00C37A96"/>
    <w:rsid w:val="00C37E21"/>
    <w:rsid w:val="00C40150"/>
    <w:rsid w:val="00C4066B"/>
    <w:rsid w:val="00C40DBD"/>
    <w:rsid w:val="00C40F47"/>
    <w:rsid w:val="00C41277"/>
    <w:rsid w:val="00C41F7A"/>
    <w:rsid w:val="00C4280A"/>
    <w:rsid w:val="00C43017"/>
    <w:rsid w:val="00C44FAE"/>
    <w:rsid w:val="00C45371"/>
    <w:rsid w:val="00C456FF"/>
    <w:rsid w:val="00C45CEE"/>
    <w:rsid w:val="00C45E12"/>
    <w:rsid w:val="00C466CD"/>
    <w:rsid w:val="00C4677D"/>
    <w:rsid w:val="00C46ADB"/>
    <w:rsid w:val="00C470DC"/>
    <w:rsid w:val="00C472A1"/>
    <w:rsid w:val="00C47540"/>
    <w:rsid w:val="00C47E25"/>
    <w:rsid w:val="00C47F70"/>
    <w:rsid w:val="00C504FA"/>
    <w:rsid w:val="00C50703"/>
    <w:rsid w:val="00C50C4F"/>
    <w:rsid w:val="00C50D0D"/>
    <w:rsid w:val="00C50D23"/>
    <w:rsid w:val="00C50F2B"/>
    <w:rsid w:val="00C51985"/>
    <w:rsid w:val="00C51BB3"/>
    <w:rsid w:val="00C51CED"/>
    <w:rsid w:val="00C520C4"/>
    <w:rsid w:val="00C52710"/>
    <w:rsid w:val="00C52E9C"/>
    <w:rsid w:val="00C53550"/>
    <w:rsid w:val="00C538C2"/>
    <w:rsid w:val="00C53A6B"/>
    <w:rsid w:val="00C552CA"/>
    <w:rsid w:val="00C553EA"/>
    <w:rsid w:val="00C553F6"/>
    <w:rsid w:val="00C55B43"/>
    <w:rsid w:val="00C56176"/>
    <w:rsid w:val="00C5664F"/>
    <w:rsid w:val="00C56BEE"/>
    <w:rsid w:val="00C56CCF"/>
    <w:rsid w:val="00C56D0E"/>
    <w:rsid w:val="00C5734D"/>
    <w:rsid w:val="00C60678"/>
    <w:rsid w:val="00C60B35"/>
    <w:rsid w:val="00C61C2F"/>
    <w:rsid w:val="00C61F6C"/>
    <w:rsid w:val="00C63088"/>
    <w:rsid w:val="00C64CFD"/>
    <w:rsid w:val="00C659E0"/>
    <w:rsid w:val="00C65FA0"/>
    <w:rsid w:val="00C66565"/>
    <w:rsid w:val="00C669AE"/>
    <w:rsid w:val="00C66F23"/>
    <w:rsid w:val="00C670D5"/>
    <w:rsid w:val="00C7041F"/>
    <w:rsid w:val="00C704C5"/>
    <w:rsid w:val="00C708A4"/>
    <w:rsid w:val="00C715CF"/>
    <w:rsid w:val="00C71777"/>
    <w:rsid w:val="00C719EF"/>
    <w:rsid w:val="00C72020"/>
    <w:rsid w:val="00C722FA"/>
    <w:rsid w:val="00C72732"/>
    <w:rsid w:val="00C729FF"/>
    <w:rsid w:val="00C72B7C"/>
    <w:rsid w:val="00C72D31"/>
    <w:rsid w:val="00C730BF"/>
    <w:rsid w:val="00C73554"/>
    <w:rsid w:val="00C74424"/>
    <w:rsid w:val="00C74B8E"/>
    <w:rsid w:val="00C74C82"/>
    <w:rsid w:val="00C74D92"/>
    <w:rsid w:val="00C750E6"/>
    <w:rsid w:val="00C760A0"/>
    <w:rsid w:val="00C760DE"/>
    <w:rsid w:val="00C76EF3"/>
    <w:rsid w:val="00C77380"/>
    <w:rsid w:val="00C77608"/>
    <w:rsid w:val="00C80182"/>
    <w:rsid w:val="00C80232"/>
    <w:rsid w:val="00C80B24"/>
    <w:rsid w:val="00C80FD0"/>
    <w:rsid w:val="00C813C1"/>
    <w:rsid w:val="00C81683"/>
    <w:rsid w:val="00C82217"/>
    <w:rsid w:val="00C825DF"/>
    <w:rsid w:val="00C840B9"/>
    <w:rsid w:val="00C84432"/>
    <w:rsid w:val="00C844CB"/>
    <w:rsid w:val="00C853DB"/>
    <w:rsid w:val="00C85879"/>
    <w:rsid w:val="00C87658"/>
    <w:rsid w:val="00C87806"/>
    <w:rsid w:val="00C87F10"/>
    <w:rsid w:val="00C9044A"/>
    <w:rsid w:val="00C9071D"/>
    <w:rsid w:val="00C90C2D"/>
    <w:rsid w:val="00C9178E"/>
    <w:rsid w:val="00C91FC9"/>
    <w:rsid w:val="00C92E66"/>
    <w:rsid w:val="00C9338F"/>
    <w:rsid w:val="00C93EF2"/>
    <w:rsid w:val="00C94A65"/>
    <w:rsid w:val="00C95B8E"/>
    <w:rsid w:val="00C969E6"/>
    <w:rsid w:val="00CA063C"/>
    <w:rsid w:val="00CA091D"/>
    <w:rsid w:val="00CA0A44"/>
    <w:rsid w:val="00CA1F4C"/>
    <w:rsid w:val="00CA38F4"/>
    <w:rsid w:val="00CA3FB1"/>
    <w:rsid w:val="00CA4236"/>
    <w:rsid w:val="00CA55BE"/>
    <w:rsid w:val="00CA610B"/>
    <w:rsid w:val="00CA66CB"/>
    <w:rsid w:val="00CA68C6"/>
    <w:rsid w:val="00CA78D7"/>
    <w:rsid w:val="00CA7F4A"/>
    <w:rsid w:val="00CB0197"/>
    <w:rsid w:val="00CB0A9A"/>
    <w:rsid w:val="00CB1783"/>
    <w:rsid w:val="00CB1D18"/>
    <w:rsid w:val="00CB22B8"/>
    <w:rsid w:val="00CB2721"/>
    <w:rsid w:val="00CB2C11"/>
    <w:rsid w:val="00CB2D42"/>
    <w:rsid w:val="00CB352C"/>
    <w:rsid w:val="00CB3816"/>
    <w:rsid w:val="00CB3EEC"/>
    <w:rsid w:val="00CB41C9"/>
    <w:rsid w:val="00CB58E5"/>
    <w:rsid w:val="00CB5B83"/>
    <w:rsid w:val="00CB5F38"/>
    <w:rsid w:val="00CB6EBA"/>
    <w:rsid w:val="00CB7477"/>
    <w:rsid w:val="00CB783E"/>
    <w:rsid w:val="00CC0941"/>
    <w:rsid w:val="00CC1EA9"/>
    <w:rsid w:val="00CC27A0"/>
    <w:rsid w:val="00CC2F84"/>
    <w:rsid w:val="00CC30DA"/>
    <w:rsid w:val="00CC34B4"/>
    <w:rsid w:val="00CC4162"/>
    <w:rsid w:val="00CC420A"/>
    <w:rsid w:val="00CC4402"/>
    <w:rsid w:val="00CC57D7"/>
    <w:rsid w:val="00CC5F53"/>
    <w:rsid w:val="00CC62AE"/>
    <w:rsid w:val="00CC696D"/>
    <w:rsid w:val="00CC6FD6"/>
    <w:rsid w:val="00CC798D"/>
    <w:rsid w:val="00CD01C5"/>
    <w:rsid w:val="00CD01CD"/>
    <w:rsid w:val="00CD12A8"/>
    <w:rsid w:val="00CD1B10"/>
    <w:rsid w:val="00CD1C80"/>
    <w:rsid w:val="00CD2179"/>
    <w:rsid w:val="00CD34B6"/>
    <w:rsid w:val="00CD3509"/>
    <w:rsid w:val="00CD43CE"/>
    <w:rsid w:val="00CD4B3F"/>
    <w:rsid w:val="00CD53C9"/>
    <w:rsid w:val="00CD5541"/>
    <w:rsid w:val="00CD59C2"/>
    <w:rsid w:val="00CD5EF7"/>
    <w:rsid w:val="00CD680D"/>
    <w:rsid w:val="00CD6AFA"/>
    <w:rsid w:val="00CD6D62"/>
    <w:rsid w:val="00CD6DB2"/>
    <w:rsid w:val="00CD73D4"/>
    <w:rsid w:val="00CD7C1E"/>
    <w:rsid w:val="00CE0116"/>
    <w:rsid w:val="00CE0229"/>
    <w:rsid w:val="00CE07C2"/>
    <w:rsid w:val="00CE1663"/>
    <w:rsid w:val="00CE1E75"/>
    <w:rsid w:val="00CE1EEB"/>
    <w:rsid w:val="00CE263F"/>
    <w:rsid w:val="00CE2AA3"/>
    <w:rsid w:val="00CE301B"/>
    <w:rsid w:val="00CE46E8"/>
    <w:rsid w:val="00CE4F09"/>
    <w:rsid w:val="00CE53BE"/>
    <w:rsid w:val="00CE54AE"/>
    <w:rsid w:val="00CE552B"/>
    <w:rsid w:val="00CE5789"/>
    <w:rsid w:val="00CE5B1C"/>
    <w:rsid w:val="00CE5B1E"/>
    <w:rsid w:val="00CE64A8"/>
    <w:rsid w:val="00CE655D"/>
    <w:rsid w:val="00CE7DA8"/>
    <w:rsid w:val="00CF0431"/>
    <w:rsid w:val="00CF0470"/>
    <w:rsid w:val="00CF179B"/>
    <w:rsid w:val="00CF18C5"/>
    <w:rsid w:val="00CF2F89"/>
    <w:rsid w:val="00CF50D1"/>
    <w:rsid w:val="00CF5DF7"/>
    <w:rsid w:val="00CF5EF7"/>
    <w:rsid w:val="00CF5F6D"/>
    <w:rsid w:val="00CF6AF0"/>
    <w:rsid w:val="00CF6EE1"/>
    <w:rsid w:val="00CF7657"/>
    <w:rsid w:val="00CF7795"/>
    <w:rsid w:val="00CF799F"/>
    <w:rsid w:val="00CF7A9C"/>
    <w:rsid w:val="00CF7E27"/>
    <w:rsid w:val="00D0028A"/>
    <w:rsid w:val="00D01877"/>
    <w:rsid w:val="00D01C88"/>
    <w:rsid w:val="00D01C96"/>
    <w:rsid w:val="00D0204A"/>
    <w:rsid w:val="00D0230D"/>
    <w:rsid w:val="00D035EE"/>
    <w:rsid w:val="00D03672"/>
    <w:rsid w:val="00D03821"/>
    <w:rsid w:val="00D03B87"/>
    <w:rsid w:val="00D03D19"/>
    <w:rsid w:val="00D041CF"/>
    <w:rsid w:val="00D04361"/>
    <w:rsid w:val="00D04628"/>
    <w:rsid w:val="00D04A81"/>
    <w:rsid w:val="00D04AB1"/>
    <w:rsid w:val="00D04F52"/>
    <w:rsid w:val="00D05252"/>
    <w:rsid w:val="00D061D5"/>
    <w:rsid w:val="00D06432"/>
    <w:rsid w:val="00D06782"/>
    <w:rsid w:val="00D07010"/>
    <w:rsid w:val="00D07098"/>
    <w:rsid w:val="00D070B2"/>
    <w:rsid w:val="00D07295"/>
    <w:rsid w:val="00D078D9"/>
    <w:rsid w:val="00D0790E"/>
    <w:rsid w:val="00D07CA0"/>
    <w:rsid w:val="00D07DE7"/>
    <w:rsid w:val="00D10A25"/>
    <w:rsid w:val="00D11143"/>
    <w:rsid w:val="00D1254D"/>
    <w:rsid w:val="00D125FF"/>
    <w:rsid w:val="00D135F4"/>
    <w:rsid w:val="00D13EA4"/>
    <w:rsid w:val="00D14AA3"/>
    <w:rsid w:val="00D14CC0"/>
    <w:rsid w:val="00D14D09"/>
    <w:rsid w:val="00D15425"/>
    <w:rsid w:val="00D15A13"/>
    <w:rsid w:val="00D167B2"/>
    <w:rsid w:val="00D16AE5"/>
    <w:rsid w:val="00D16B59"/>
    <w:rsid w:val="00D170BF"/>
    <w:rsid w:val="00D172F7"/>
    <w:rsid w:val="00D17457"/>
    <w:rsid w:val="00D1772D"/>
    <w:rsid w:val="00D2011B"/>
    <w:rsid w:val="00D20502"/>
    <w:rsid w:val="00D20719"/>
    <w:rsid w:val="00D2095A"/>
    <w:rsid w:val="00D209B1"/>
    <w:rsid w:val="00D210F5"/>
    <w:rsid w:val="00D21427"/>
    <w:rsid w:val="00D214F0"/>
    <w:rsid w:val="00D2153F"/>
    <w:rsid w:val="00D21E3C"/>
    <w:rsid w:val="00D21EED"/>
    <w:rsid w:val="00D22168"/>
    <w:rsid w:val="00D228EF"/>
    <w:rsid w:val="00D23358"/>
    <w:rsid w:val="00D23A65"/>
    <w:rsid w:val="00D24058"/>
    <w:rsid w:val="00D251F2"/>
    <w:rsid w:val="00D25442"/>
    <w:rsid w:val="00D254D1"/>
    <w:rsid w:val="00D25E13"/>
    <w:rsid w:val="00D25E79"/>
    <w:rsid w:val="00D26351"/>
    <w:rsid w:val="00D26558"/>
    <w:rsid w:val="00D2663F"/>
    <w:rsid w:val="00D2694A"/>
    <w:rsid w:val="00D270AA"/>
    <w:rsid w:val="00D27B40"/>
    <w:rsid w:val="00D3031C"/>
    <w:rsid w:val="00D30762"/>
    <w:rsid w:val="00D30BC7"/>
    <w:rsid w:val="00D30E15"/>
    <w:rsid w:val="00D3186D"/>
    <w:rsid w:val="00D31B0E"/>
    <w:rsid w:val="00D32ACA"/>
    <w:rsid w:val="00D3438A"/>
    <w:rsid w:val="00D35236"/>
    <w:rsid w:val="00D3526F"/>
    <w:rsid w:val="00D37B34"/>
    <w:rsid w:val="00D4012C"/>
    <w:rsid w:val="00D40ED1"/>
    <w:rsid w:val="00D41142"/>
    <w:rsid w:val="00D42660"/>
    <w:rsid w:val="00D42C67"/>
    <w:rsid w:val="00D436B2"/>
    <w:rsid w:val="00D43D34"/>
    <w:rsid w:val="00D44A8C"/>
    <w:rsid w:val="00D44CC9"/>
    <w:rsid w:val="00D450B0"/>
    <w:rsid w:val="00D4531E"/>
    <w:rsid w:val="00D4556B"/>
    <w:rsid w:val="00D45A72"/>
    <w:rsid w:val="00D45E25"/>
    <w:rsid w:val="00D4610C"/>
    <w:rsid w:val="00D46469"/>
    <w:rsid w:val="00D474C5"/>
    <w:rsid w:val="00D47DDB"/>
    <w:rsid w:val="00D50006"/>
    <w:rsid w:val="00D5005C"/>
    <w:rsid w:val="00D500DF"/>
    <w:rsid w:val="00D50C8D"/>
    <w:rsid w:val="00D50E6F"/>
    <w:rsid w:val="00D50F7C"/>
    <w:rsid w:val="00D51769"/>
    <w:rsid w:val="00D52570"/>
    <w:rsid w:val="00D5265E"/>
    <w:rsid w:val="00D5317C"/>
    <w:rsid w:val="00D532C7"/>
    <w:rsid w:val="00D533DF"/>
    <w:rsid w:val="00D5387A"/>
    <w:rsid w:val="00D538E1"/>
    <w:rsid w:val="00D54040"/>
    <w:rsid w:val="00D54471"/>
    <w:rsid w:val="00D5464D"/>
    <w:rsid w:val="00D547B7"/>
    <w:rsid w:val="00D558A1"/>
    <w:rsid w:val="00D56583"/>
    <w:rsid w:val="00D5673D"/>
    <w:rsid w:val="00D56C4F"/>
    <w:rsid w:val="00D56D7D"/>
    <w:rsid w:val="00D56E38"/>
    <w:rsid w:val="00D56F3E"/>
    <w:rsid w:val="00D5701D"/>
    <w:rsid w:val="00D57025"/>
    <w:rsid w:val="00D57163"/>
    <w:rsid w:val="00D5740F"/>
    <w:rsid w:val="00D574BE"/>
    <w:rsid w:val="00D578A1"/>
    <w:rsid w:val="00D609C7"/>
    <w:rsid w:val="00D614B6"/>
    <w:rsid w:val="00D61FC6"/>
    <w:rsid w:val="00D6201F"/>
    <w:rsid w:val="00D6240D"/>
    <w:rsid w:val="00D624DD"/>
    <w:rsid w:val="00D62DF5"/>
    <w:rsid w:val="00D630B9"/>
    <w:rsid w:val="00D6435B"/>
    <w:rsid w:val="00D6448B"/>
    <w:rsid w:val="00D646D6"/>
    <w:rsid w:val="00D64ECD"/>
    <w:rsid w:val="00D6518E"/>
    <w:rsid w:val="00D65967"/>
    <w:rsid w:val="00D65BCB"/>
    <w:rsid w:val="00D663D9"/>
    <w:rsid w:val="00D66475"/>
    <w:rsid w:val="00D6729E"/>
    <w:rsid w:val="00D674BB"/>
    <w:rsid w:val="00D70823"/>
    <w:rsid w:val="00D70C20"/>
    <w:rsid w:val="00D70CAD"/>
    <w:rsid w:val="00D70DB7"/>
    <w:rsid w:val="00D70F0A"/>
    <w:rsid w:val="00D71090"/>
    <w:rsid w:val="00D7181E"/>
    <w:rsid w:val="00D71B49"/>
    <w:rsid w:val="00D7293B"/>
    <w:rsid w:val="00D736B9"/>
    <w:rsid w:val="00D738D1"/>
    <w:rsid w:val="00D73EBA"/>
    <w:rsid w:val="00D73EF5"/>
    <w:rsid w:val="00D74658"/>
    <w:rsid w:val="00D74B2B"/>
    <w:rsid w:val="00D750AD"/>
    <w:rsid w:val="00D75416"/>
    <w:rsid w:val="00D8046D"/>
    <w:rsid w:val="00D809A9"/>
    <w:rsid w:val="00D814F1"/>
    <w:rsid w:val="00D81595"/>
    <w:rsid w:val="00D816DF"/>
    <w:rsid w:val="00D82193"/>
    <w:rsid w:val="00D822A8"/>
    <w:rsid w:val="00D82D41"/>
    <w:rsid w:val="00D82FF1"/>
    <w:rsid w:val="00D83548"/>
    <w:rsid w:val="00D83984"/>
    <w:rsid w:val="00D83AE4"/>
    <w:rsid w:val="00D8500D"/>
    <w:rsid w:val="00D8534D"/>
    <w:rsid w:val="00D85617"/>
    <w:rsid w:val="00D85DAC"/>
    <w:rsid w:val="00D85E11"/>
    <w:rsid w:val="00D86133"/>
    <w:rsid w:val="00D86EB0"/>
    <w:rsid w:val="00D87E23"/>
    <w:rsid w:val="00D902C4"/>
    <w:rsid w:val="00D903A9"/>
    <w:rsid w:val="00D909D7"/>
    <w:rsid w:val="00D90AFE"/>
    <w:rsid w:val="00D90E2E"/>
    <w:rsid w:val="00D916A2"/>
    <w:rsid w:val="00D919BC"/>
    <w:rsid w:val="00D91F3B"/>
    <w:rsid w:val="00D91FC5"/>
    <w:rsid w:val="00D92881"/>
    <w:rsid w:val="00D92D75"/>
    <w:rsid w:val="00D92FDF"/>
    <w:rsid w:val="00D93721"/>
    <w:rsid w:val="00D94322"/>
    <w:rsid w:val="00D94477"/>
    <w:rsid w:val="00D95950"/>
    <w:rsid w:val="00D96012"/>
    <w:rsid w:val="00D96294"/>
    <w:rsid w:val="00D96937"/>
    <w:rsid w:val="00D97479"/>
    <w:rsid w:val="00D976DD"/>
    <w:rsid w:val="00D97771"/>
    <w:rsid w:val="00D97ECE"/>
    <w:rsid w:val="00DA03D2"/>
    <w:rsid w:val="00DA0B92"/>
    <w:rsid w:val="00DA0DAD"/>
    <w:rsid w:val="00DA0E43"/>
    <w:rsid w:val="00DA25EA"/>
    <w:rsid w:val="00DA2704"/>
    <w:rsid w:val="00DA2A4A"/>
    <w:rsid w:val="00DA2B0E"/>
    <w:rsid w:val="00DA2F19"/>
    <w:rsid w:val="00DA2F2D"/>
    <w:rsid w:val="00DA355E"/>
    <w:rsid w:val="00DA39F7"/>
    <w:rsid w:val="00DA4119"/>
    <w:rsid w:val="00DA4290"/>
    <w:rsid w:val="00DA4DAD"/>
    <w:rsid w:val="00DA55CE"/>
    <w:rsid w:val="00DA5E24"/>
    <w:rsid w:val="00DA66F5"/>
    <w:rsid w:val="00DA6E7A"/>
    <w:rsid w:val="00DA767E"/>
    <w:rsid w:val="00DA7B0F"/>
    <w:rsid w:val="00DA7CBB"/>
    <w:rsid w:val="00DA7DA1"/>
    <w:rsid w:val="00DB00F6"/>
    <w:rsid w:val="00DB0AE5"/>
    <w:rsid w:val="00DB0FE8"/>
    <w:rsid w:val="00DB1312"/>
    <w:rsid w:val="00DB1A79"/>
    <w:rsid w:val="00DB2418"/>
    <w:rsid w:val="00DB2BE0"/>
    <w:rsid w:val="00DB35BC"/>
    <w:rsid w:val="00DB3DDA"/>
    <w:rsid w:val="00DB43B8"/>
    <w:rsid w:val="00DB44EE"/>
    <w:rsid w:val="00DB6004"/>
    <w:rsid w:val="00DB6181"/>
    <w:rsid w:val="00DB76AB"/>
    <w:rsid w:val="00DC09B3"/>
    <w:rsid w:val="00DC0E74"/>
    <w:rsid w:val="00DC1242"/>
    <w:rsid w:val="00DC1620"/>
    <w:rsid w:val="00DC19A3"/>
    <w:rsid w:val="00DC19BC"/>
    <w:rsid w:val="00DC1B27"/>
    <w:rsid w:val="00DC2312"/>
    <w:rsid w:val="00DC2B29"/>
    <w:rsid w:val="00DC34E9"/>
    <w:rsid w:val="00DC35F4"/>
    <w:rsid w:val="00DC3675"/>
    <w:rsid w:val="00DC3779"/>
    <w:rsid w:val="00DC3B89"/>
    <w:rsid w:val="00DC43AD"/>
    <w:rsid w:val="00DC464C"/>
    <w:rsid w:val="00DC4834"/>
    <w:rsid w:val="00DC48BE"/>
    <w:rsid w:val="00DC4D01"/>
    <w:rsid w:val="00DC5868"/>
    <w:rsid w:val="00DC596C"/>
    <w:rsid w:val="00DC5CBE"/>
    <w:rsid w:val="00DC60D5"/>
    <w:rsid w:val="00DC61A4"/>
    <w:rsid w:val="00DC66C5"/>
    <w:rsid w:val="00DC676E"/>
    <w:rsid w:val="00DC683D"/>
    <w:rsid w:val="00DC691F"/>
    <w:rsid w:val="00DC6B64"/>
    <w:rsid w:val="00DC6C65"/>
    <w:rsid w:val="00DC7081"/>
    <w:rsid w:val="00DC7253"/>
    <w:rsid w:val="00DC77C9"/>
    <w:rsid w:val="00DD172C"/>
    <w:rsid w:val="00DD17F5"/>
    <w:rsid w:val="00DD292C"/>
    <w:rsid w:val="00DD2A82"/>
    <w:rsid w:val="00DD3064"/>
    <w:rsid w:val="00DD3756"/>
    <w:rsid w:val="00DD4189"/>
    <w:rsid w:val="00DD4794"/>
    <w:rsid w:val="00DD596E"/>
    <w:rsid w:val="00DD5B28"/>
    <w:rsid w:val="00DD64BE"/>
    <w:rsid w:val="00DD668C"/>
    <w:rsid w:val="00DD6720"/>
    <w:rsid w:val="00DD705B"/>
    <w:rsid w:val="00DD7B94"/>
    <w:rsid w:val="00DE0DD7"/>
    <w:rsid w:val="00DE11AB"/>
    <w:rsid w:val="00DE156D"/>
    <w:rsid w:val="00DE1744"/>
    <w:rsid w:val="00DE2811"/>
    <w:rsid w:val="00DE28D9"/>
    <w:rsid w:val="00DE2F11"/>
    <w:rsid w:val="00DE3066"/>
    <w:rsid w:val="00DE38EC"/>
    <w:rsid w:val="00DE3ACF"/>
    <w:rsid w:val="00DE44BD"/>
    <w:rsid w:val="00DE57AC"/>
    <w:rsid w:val="00DE74DD"/>
    <w:rsid w:val="00DF0BD1"/>
    <w:rsid w:val="00DF0D2C"/>
    <w:rsid w:val="00DF101B"/>
    <w:rsid w:val="00DF13A7"/>
    <w:rsid w:val="00DF27ED"/>
    <w:rsid w:val="00DF2C10"/>
    <w:rsid w:val="00DF2F24"/>
    <w:rsid w:val="00DF3D6B"/>
    <w:rsid w:val="00DF4B02"/>
    <w:rsid w:val="00DF4B79"/>
    <w:rsid w:val="00DF5B85"/>
    <w:rsid w:val="00DF5F28"/>
    <w:rsid w:val="00DF62A2"/>
    <w:rsid w:val="00DF6678"/>
    <w:rsid w:val="00DF6965"/>
    <w:rsid w:val="00DF6A60"/>
    <w:rsid w:val="00DF6F72"/>
    <w:rsid w:val="00DF6FD8"/>
    <w:rsid w:val="00DF6FE1"/>
    <w:rsid w:val="00DF730B"/>
    <w:rsid w:val="00E00811"/>
    <w:rsid w:val="00E009DE"/>
    <w:rsid w:val="00E00FD7"/>
    <w:rsid w:val="00E011FC"/>
    <w:rsid w:val="00E01EB6"/>
    <w:rsid w:val="00E025CC"/>
    <w:rsid w:val="00E02A47"/>
    <w:rsid w:val="00E02D71"/>
    <w:rsid w:val="00E0430B"/>
    <w:rsid w:val="00E043E4"/>
    <w:rsid w:val="00E0474D"/>
    <w:rsid w:val="00E047AF"/>
    <w:rsid w:val="00E04A71"/>
    <w:rsid w:val="00E0558D"/>
    <w:rsid w:val="00E055A8"/>
    <w:rsid w:val="00E057A8"/>
    <w:rsid w:val="00E057F1"/>
    <w:rsid w:val="00E06054"/>
    <w:rsid w:val="00E06F35"/>
    <w:rsid w:val="00E07D82"/>
    <w:rsid w:val="00E108DE"/>
    <w:rsid w:val="00E10A38"/>
    <w:rsid w:val="00E11107"/>
    <w:rsid w:val="00E11367"/>
    <w:rsid w:val="00E11817"/>
    <w:rsid w:val="00E11901"/>
    <w:rsid w:val="00E11E15"/>
    <w:rsid w:val="00E123BF"/>
    <w:rsid w:val="00E12B19"/>
    <w:rsid w:val="00E12C12"/>
    <w:rsid w:val="00E12ED7"/>
    <w:rsid w:val="00E12F07"/>
    <w:rsid w:val="00E13281"/>
    <w:rsid w:val="00E1357F"/>
    <w:rsid w:val="00E13C20"/>
    <w:rsid w:val="00E14010"/>
    <w:rsid w:val="00E14699"/>
    <w:rsid w:val="00E14A7B"/>
    <w:rsid w:val="00E14C4F"/>
    <w:rsid w:val="00E154F7"/>
    <w:rsid w:val="00E15B4D"/>
    <w:rsid w:val="00E16ADD"/>
    <w:rsid w:val="00E17A6E"/>
    <w:rsid w:val="00E17FA5"/>
    <w:rsid w:val="00E2047A"/>
    <w:rsid w:val="00E20C1E"/>
    <w:rsid w:val="00E20D1D"/>
    <w:rsid w:val="00E22047"/>
    <w:rsid w:val="00E22113"/>
    <w:rsid w:val="00E221D2"/>
    <w:rsid w:val="00E22477"/>
    <w:rsid w:val="00E224B7"/>
    <w:rsid w:val="00E23015"/>
    <w:rsid w:val="00E23488"/>
    <w:rsid w:val="00E23819"/>
    <w:rsid w:val="00E239F8"/>
    <w:rsid w:val="00E245D5"/>
    <w:rsid w:val="00E245D7"/>
    <w:rsid w:val="00E24842"/>
    <w:rsid w:val="00E2509B"/>
    <w:rsid w:val="00E25A30"/>
    <w:rsid w:val="00E25D8D"/>
    <w:rsid w:val="00E267C7"/>
    <w:rsid w:val="00E269A7"/>
    <w:rsid w:val="00E26ED7"/>
    <w:rsid w:val="00E2700C"/>
    <w:rsid w:val="00E27220"/>
    <w:rsid w:val="00E30625"/>
    <w:rsid w:val="00E3065A"/>
    <w:rsid w:val="00E30B2B"/>
    <w:rsid w:val="00E3134B"/>
    <w:rsid w:val="00E31411"/>
    <w:rsid w:val="00E317C9"/>
    <w:rsid w:val="00E31D1F"/>
    <w:rsid w:val="00E32227"/>
    <w:rsid w:val="00E32245"/>
    <w:rsid w:val="00E3264B"/>
    <w:rsid w:val="00E32916"/>
    <w:rsid w:val="00E32DF6"/>
    <w:rsid w:val="00E32E90"/>
    <w:rsid w:val="00E335D8"/>
    <w:rsid w:val="00E3401C"/>
    <w:rsid w:val="00E3441D"/>
    <w:rsid w:val="00E34ECE"/>
    <w:rsid w:val="00E36460"/>
    <w:rsid w:val="00E36C31"/>
    <w:rsid w:val="00E37361"/>
    <w:rsid w:val="00E37B59"/>
    <w:rsid w:val="00E37C9E"/>
    <w:rsid w:val="00E37E44"/>
    <w:rsid w:val="00E37F26"/>
    <w:rsid w:val="00E401C1"/>
    <w:rsid w:val="00E40C53"/>
    <w:rsid w:val="00E417AE"/>
    <w:rsid w:val="00E4217D"/>
    <w:rsid w:val="00E429F2"/>
    <w:rsid w:val="00E42A66"/>
    <w:rsid w:val="00E42E05"/>
    <w:rsid w:val="00E42E14"/>
    <w:rsid w:val="00E4347D"/>
    <w:rsid w:val="00E43754"/>
    <w:rsid w:val="00E43790"/>
    <w:rsid w:val="00E43DA3"/>
    <w:rsid w:val="00E448E1"/>
    <w:rsid w:val="00E44A9F"/>
    <w:rsid w:val="00E44C44"/>
    <w:rsid w:val="00E450EC"/>
    <w:rsid w:val="00E453D5"/>
    <w:rsid w:val="00E45BBC"/>
    <w:rsid w:val="00E45C04"/>
    <w:rsid w:val="00E45D34"/>
    <w:rsid w:val="00E466B2"/>
    <w:rsid w:val="00E467FC"/>
    <w:rsid w:val="00E46A3D"/>
    <w:rsid w:val="00E479A4"/>
    <w:rsid w:val="00E47CE5"/>
    <w:rsid w:val="00E503BF"/>
    <w:rsid w:val="00E513C1"/>
    <w:rsid w:val="00E5149A"/>
    <w:rsid w:val="00E5150C"/>
    <w:rsid w:val="00E519FE"/>
    <w:rsid w:val="00E51C51"/>
    <w:rsid w:val="00E52E4C"/>
    <w:rsid w:val="00E539B8"/>
    <w:rsid w:val="00E542A3"/>
    <w:rsid w:val="00E5658B"/>
    <w:rsid w:val="00E5687A"/>
    <w:rsid w:val="00E56CE7"/>
    <w:rsid w:val="00E609B3"/>
    <w:rsid w:val="00E60BF3"/>
    <w:rsid w:val="00E6229D"/>
    <w:rsid w:val="00E622E8"/>
    <w:rsid w:val="00E62960"/>
    <w:rsid w:val="00E62DFC"/>
    <w:rsid w:val="00E64263"/>
    <w:rsid w:val="00E6474B"/>
    <w:rsid w:val="00E64C92"/>
    <w:rsid w:val="00E64E2A"/>
    <w:rsid w:val="00E65116"/>
    <w:rsid w:val="00E66013"/>
    <w:rsid w:val="00E6621D"/>
    <w:rsid w:val="00E66502"/>
    <w:rsid w:val="00E6664C"/>
    <w:rsid w:val="00E66AD7"/>
    <w:rsid w:val="00E66CD0"/>
    <w:rsid w:val="00E67B60"/>
    <w:rsid w:val="00E703CE"/>
    <w:rsid w:val="00E70A7C"/>
    <w:rsid w:val="00E712A8"/>
    <w:rsid w:val="00E71335"/>
    <w:rsid w:val="00E713F6"/>
    <w:rsid w:val="00E71EB0"/>
    <w:rsid w:val="00E7227E"/>
    <w:rsid w:val="00E72795"/>
    <w:rsid w:val="00E730E0"/>
    <w:rsid w:val="00E7332A"/>
    <w:rsid w:val="00E73E1F"/>
    <w:rsid w:val="00E7487A"/>
    <w:rsid w:val="00E74C41"/>
    <w:rsid w:val="00E760F5"/>
    <w:rsid w:val="00E76E3D"/>
    <w:rsid w:val="00E776DF"/>
    <w:rsid w:val="00E8058C"/>
    <w:rsid w:val="00E815B3"/>
    <w:rsid w:val="00E81C3E"/>
    <w:rsid w:val="00E81D8A"/>
    <w:rsid w:val="00E81F0B"/>
    <w:rsid w:val="00E81FA0"/>
    <w:rsid w:val="00E82498"/>
    <w:rsid w:val="00E82AB2"/>
    <w:rsid w:val="00E82F7F"/>
    <w:rsid w:val="00E834FD"/>
    <w:rsid w:val="00E83FDC"/>
    <w:rsid w:val="00E85036"/>
    <w:rsid w:val="00E867C9"/>
    <w:rsid w:val="00E86A84"/>
    <w:rsid w:val="00E86C0C"/>
    <w:rsid w:val="00E86E2D"/>
    <w:rsid w:val="00E8737C"/>
    <w:rsid w:val="00E874E7"/>
    <w:rsid w:val="00E87AF3"/>
    <w:rsid w:val="00E9018B"/>
    <w:rsid w:val="00E9069D"/>
    <w:rsid w:val="00E90FDC"/>
    <w:rsid w:val="00E91C78"/>
    <w:rsid w:val="00E93120"/>
    <w:rsid w:val="00E93247"/>
    <w:rsid w:val="00E9385C"/>
    <w:rsid w:val="00E93D6B"/>
    <w:rsid w:val="00E9423F"/>
    <w:rsid w:val="00E94A2B"/>
    <w:rsid w:val="00E94CEA"/>
    <w:rsid w:val="00E95255"/>
    <w:rsid w:val="00E95E1E"/>
    <w:rsid w:val="00E963C1"/>
    <w:rsid w:val="00E96874"/>
    <w:rsid w:val="00E96E3F"/>
    <w:rsid w:val="00E96FDA"/>
    <w:rsid w:val="00E974C3"/>
    <w:rsid w:val="00E97538"/>
    <w:rsid w:val="00EA06EC"/>
    <w:rsid w:val="00EA0BA1"/>
    <w:rsid w:val="00EA1BAA"/>
    <w:rsid w:val="00EA2249"/>
    <w:rsid w:val="00EA2429"/>
    <w:rsid w:val="00EA28E9"/>
    <w:rsid w:val="00EA2B26"/>
    <w:rsid w:val="00EA2EAC"/>
    <w:rsid w:val="00EA368A"/>
    <w:rsid w:val="00EA3EB0"/>
    <w:rsid w:val="00EA424B"/>
    <w:rsid w:val="00EA5878"/>
    <w:rsid w:val="00EA5D37"/>
    <w:rsid w:val="00EA5E68"/>
    <w:rsid w:val="00EA5F87"/>
    <w:rsid w:val="00EA6FBC"/>
    <w:rsid w:val="00EA6FDC"/>
    <w:rsid w:val="00EA708F"/>
    <w:rsid w:val="00EA72D3"/>
    <w:rsid w:val="00EA7F34"/>
    <w:rsid w:val="00EB0132"/>
    <w:rsid w:val="00EB01FC"/>
    <w:rsid w:val="00EB03EC"/>
    <w:rsid w:val="00EB04DD"/>
    <w:rsid w:val="00EB090D"/>
    <w:rsid w:val="00EB1931"/>
    <w:rsid w:val="00EB254C"/>
    <w:rsid w:val="00EB3591"/>
    <w:rsid w:val="00EB36BE"/>
    <w:rsid w:val="00EB3BED"/>
    <w:rsid w:val="00EB42F9"/>
    <w:rsid w:val="00EB49AB"/>
    <w:rsid w:val="00EB57A2"/>
    <w:rsid w:val="00EB58BB"/>
    <w:rsid w:val="00EB5BF3"/>
    <w:rsid w:val="00EB6403"/>
    <w:rsid w:val="00EB641F"/>
    <w:rsid w:val="00EB6A4C"/>
    <w:rsid w:val="00EB6EBF"/>
    <w:rsid w:val="00EB70F3"/>
    <w:rsid w:val="00EB7AB1"/>
    <w:rsid w:val="00EB7E41"/>
    <w:rsid w:val="00EC0403"/>
    <w:rsid w:val="00EC0601"/>
    <w:rsid w:val="00EC083C"/>
    <w:rsid w:val="00EC160E"/>
    <w:rsid w:val="00EC220E"/>
    <w:rsid w:val="00EC233A"/>
    <w:rsid w:val="00EC2E16"/>
    <w:rsid w:val="00EC3218"/>
    <w:rsid w:val="00EC3DF8"/>
    <w:rsid w:val="00EC3F16"/>
    <w:rsid w:val="00EC4182"/>
    <w:rsid w:val="00EC46F0"/>
    <w:rsid w:val="00EC497E"/>
    <w:rsid w:val="00EC4DA0"/>
    <w:rsid w:val="00EC5A41"/>
    <w:rsid w:val="00EC651B"/>
    <w:rsid w:val="00EC6793"/>
    <w:rsid w:val="00EC6E81"/>
    <w:rsid w:val="00EC71FA"/>
    <w:rsid w:val="00EC723C"/>
    <w:rsid w:val="00EC79EB"/>
    <w:rsid w:val="00ED01F2"/>
    <w:rsid w:val="00ED028E"/>
    <w:rsid w:val="00ED0574"/>
    <w:rsid w:val="00ED089B"/>
    <w:rsid w:val="00ED08D2"/>
    <w:rsid w:val="00ED0D15"/>
    <w:rsid w:val="00ED0D1C"/>
    <w:rsid w:val="00ED192E"/>
    <w:rsid w:val="00ED1A8C"/>
    <w:rsid w:val="00ED1C0A"/>
    <w:rsid w:val="00ED26B5"/>
    <w:rsid w:val="00ED3014"/>
    <w:rsid w:val="00ED38DC"/>
    <w:rsid w:val="00ED3FFD"/>
    <w:rsid w:val="00ED4C0B"/>
    <w:rsid w:val="00ED4CDC"/>
    <w:rsid w:val="00ED544A"/>
    <w:rsid w:val="00ED5D8A"/>
    <w:rsid w:val="00ED5E20"/>
    <w:rsid w:val="00ED613D"/>
    <w:rsid w:val="00ED667A"/>
    <w:rsid w:val="00ED6AAB"/>
    <w:rsid w:val="00ED7770"/>
    <w:rsid w:val="00ED7E39"/>
    <w:rsid w:val="00ED7E7E"/>
    <w:rsid w:val="00EE0211"/>
    <w:rsid w:val="00EE039C"/>
    <w:rsid w:val="00EE0697"/>
    <w:rsid w:val="00EE0E01"/>
    <w:rsid w:val="00EE1B10"/>
    <w:rsid w:val="00EE2024"/>
    <w:rsid w:val="00EE21B3"/>
    <w:rsid w:val="00EE234F"/>
    <w:rsid w:val="00EE2F8E"/>
    <w:rsid w:val="00EE321B"/>
    <w:rsid w:val="00EE46BB"/>
    <w:rsid w:val="00EE4A0E"/>
    <w:rsid w:val="00EE52E1"/>
    <w:rsid w:val="00EE5456"/>
    <w:rsid w:val="00EE5E52"/>
    <w:rsid w:val="00EE6157"/>
    <w:rsid w:val="00EE61E3"/>
    <w:rsid w:val="00EE62C3"/>
    <w:rsid w:val="00EE7089"/>
    <w:rsid w:val="00EE7A29"/>
    <w:rsid w:val="00EE7C13"/>
    <w:rsid w:val="00EE7FCA"/>
    <w:rsid w:val="00EF0237"/>
    <w:rsid w:val="00EF03A0"/>
    <w:rsid w:val="00EF163D"/>
    <w:rsid w:val="00EF1745"/>
    <w:rsid w:val="00EF2DD2"/>
    <w:rsid w:val="00EF3AA8"/>
    <w:rsid w:val="00EF479A"/>
    <w:rsid w:val="00EF491B"/>
    <w:rsid w:val="00EF49AD"/>
    <w:rsid w:val="00EF6490"/>
    <w:rsid w:val="00EF714E"/>
    <w:rsid w:val="00EF7416"/>
    <w:rsid w:val="00EF7B3B"/>
    <w:rsid w:val="00EF7CF3"/>
    <w:rsid w:val="00F0028E"/>
    <w:rsid w:val="00F009C0"/>
    <w:rsid w:val="00F00B02"/>
    <w:rsid w:val="00F011E3"/>
    <w:rsid w:val="00F01397"/>
    <w:rsid w:val="00F01771"/>
    <w:rsid w:val="00F02403"/>
    <w:rsid w:val="00F02FB8"/>
    <w:rsid w:val="00F03026"/>
    <w:rsid w:val="00F030D9"/>
    <w:rsid w:val="00F03AB6"/>
    <w:rsid w:val="00F03D34"/>
    <w:rsid w:val="00F03EC5"/>
    <w:rsid w:val="00F04255"/>
    <w:rsid w:val="00F051D1"/>
    <w:rsid w:val="00F05429"/>
    <w:rsid w:val="00F065FB"/>
    <w:rsid w:val="00F06DD0"/>
    <w:rsid w:val="00F06ED6"/>
    <w:rsid w:val="00F071C5"/>
    <w:rsid w:val="00F07CE9"/>
    <w:rsid w:val="00F102CD"/>
    <w:rsid w:val="00F108E6"/>
    <w:rsid w:val="00F10B97"/>
    <w:rsid w:val="00F10E80"/>
    <w:rsid w:val="00F11364"/>
    <w:rsid w:val="00F118F8"/>
    <w:rsid w:val="00F11EAD"/>
    <w:rsid w:val="00F12272"/>
    <w:rsid w:val="00F12C29"/>
    <w:rsid w:val="00F12FB6"/>
    <w:rsid w:val="00F13091"/>
    <w:rsid w:val="00F13346"/>
    <w:rsid w:val="00F13EFE"/>
    <w:rsid w:val="00F145EA"/>
    <w:rsid w:val="00F15B1B"/>
    <w:rsid w:val="00F16C5D"/>
    <w:rsid w:val="00F16D95"/>
    <w:rsid w:val="00F17247"/>
    <w:rsid w:val="00F174BE"/>
    <w:rsid w:val="00F17681"/>
    <w:rsid w:val="00F20D30"/>
    <w:rsid w:val="00F2104D"/>
    <w:rsid w:val="00F2138D"/>
    <w:rsid w:val="00F2196C"/>
    <w:rsid w:val="00F22205"/>
    <w:rsid w:val="00F22B41"/>
    <w:rsid w:val="00F230EB"/>
    <w:rsid w:val="00F239A6"/>
    <w:rsid w:val="00F23C05"/>
    <w:rsid w:val="00F23F2B"/>
    <w:rsid w:val="00F24E5C"/>
    <w:rsid w:val="00F25137"/>
    <w:rsid w:val="00F25502"/>
    <w:rsid w:val="00F2579C"/>
    <w:rsid w:val="00F25A27"/>
    <w:rsid w:val="00F2655D"/>
    <w:rsid w:val="00F26CA9"/>
    <w:rsid w:val="00F26F27"/>
    <w:rsid w:val="00F27787"/>
    <w:rsid w:val="00F30DCB"/>
    <w:rsid w:val="00F30F6E"/>
    <w:rsid w:val="00F31783"/>
    <w:rsid w:val="00F31B9E"/>
    <w:rsid w:val="00F31C3D"/>
    <w:rsid w:val="00F3201C"/>
    <w:rsid w:val="00F324CB"/>
    <w:rsid w:val="00F33282"/>
    <w:rsid w:val="00F332ED"/>
    <w:rsid w:val="00F3366E"/>
    <w:rsid w:val="00F35B6F"/>
    <w:rsid w:val="00F3704C"/>
    <w:rsid w:val="00F370AB"/>
    <w:rsid w:val="00F3710D"/>
    <w:rsid w:val="00F37653"/>
    <w:rsid w:val="00F377FF"/>
    <w:rsid w:val="00F37946"/>
    <w:rsid w:val="00F37AB5"/>
    <w:rsid w:val="00F37B90"/>
    <w:rsid w:val="00F40306"/>
    <w:rsid w:val="00F426DD"/>
    <w:rsid w:val="00F433D7"/>
    <w:rsid w:val="00F4360E"/>
    <w:rsid w:val="00F446E8"/>
    <w:rsid w:val="00F44F71"/>
    <w:rsid w:val="00F45E3C"/>
    <w:rsid w:val="00F4684B"/>
    <w:rsid w:val="00F46B51"/>
    <w:rsid w:val="00F47DCB"/>
    <w:rsid w:val="00F47E54"/>
    <w:rsid w:val="00F5099F"/>
    <w:rsid w:val="00F50B4C"/>
    <w:rsid w:val="00F50EC7"/>
    <w:rsid w:val="00F51024"/>
    <w:rsid w:val="00F51294"/>
    <w:rsid w:val="00F51381"/>
    <w:rsid w:val="00F5167B"/>
    <w:rsid w:val="00F51A48"/>
    <w:rsid w:val="00F51C51"/>
    <w:rsid w:val="00F52295"/>
    <w:rsid w:val="00F52371"/>
    <w:rsid w:val="00F531FC"/>
    <w:rsid w:val="00F53729"/>
    <w:rsid w:val="00F5397F"/>
    <w:rsid w:val="00F53AFF"/>
    <w:rsid w:val="00F53BB2"/>
    <w:rsid w:val="00F53F87"/>
    <w:rsid w:val="00F54366"/>
    <w:rsid w:val="00F5487F"/>
    <w:rsid w:val="00F54CD0"/>
    <w:rsid w:val="00F55C22"/>
    <w:rsid w:val="00F5604B"/>
    <w:rsid w:val="00F56318"/>
    <w:rsid w:val="00F574C0"/>
    <w:rsid w:val="00F57817"/>
    <w:rsid w:val="00F57851"/>
    <w:rsid w:val="00F57C3F"/>
    <w:rsid w:val="00F60C50"/>
    <w:rsid w:val="00F61D53"/>
    <w:rsid w:val="00F61D84"/>
    <w:rsid w:val="00F61DBC"/>
    <w:rsid w:val="00F61E92"/>
    <w:rsid w:val="00F62B60"/>
    <w:rsid w:val="00F62C0C"/>
    <w:rsid w:val="00F63395"/>
    <w:rsid w:val="00F63D63"/>
    <w:rsid w:val="00F6439F"/>
    <w:rsid w:val="00F64E00"/>
    <w:rsid w:val="00F65787"/>
    <w:rsid w:val="00F658A5"/>
    <w:rsid w:val="00F66FD0"/>
    <w:rsid w:val="00F6792B"/>
    <w:rsid w:val="00F705C9"/>
    <w:rsid w:val="00F70BB0"/>
    <w:rsid w:val="00F71073"/>
    <w:rsid w:val="00F71083"/>
    <w:rsid w:val="00F71F15"/>
    <w:rsid w:val="00F72205"/>
    <w:rsid w:val="00F72D54"/>
    <w:rsid w:val="00F7314E"/>
    <w:rsid w:val="00F73B27"/>
    <w:rsid w:val="00F74353"/>
    <w:rsid w:val="00F74709"/>
    <w:rsid w:val="00F74A96"/>
    <w:rsid w:val="00F74CA9"/>
    <w:rsid w:val="00F753BC"/>
    <w:rsid w:val="00F75EEC"/>
    <w:rsid w:val="00F75F25"/>
    <w:rsid w:val="00F76501"/>
    <w:rsid w:val="00F76AD7"/>
    <w:rsid w:val="00F76E30"/>
    <w:rsid w:val="00F77492"/>
    <w:rsid w:val="00F7776B"/>
    <w:rsid w:val="00F804C6"/>
    <w:rsid w:val="00F80729"/>
    <w:rsid w:val="00F80A7D"/>
    <w:rsid w:val="00F80D1D"/>
    <w:rsid w:val="00F81273"/>
    <w:rsid w:val="00F826BE"/>
    <w:rsid w:val="00F83561"/>
    <w:rsid w:val="00F83FAD"/>
    <w:rsid w:val="00F847E3"/>
    <w:rsid w:val="00F85FCA"/>
    <w:rsid w:val="00F86440"/>
    <w:rsid w:val="00F8772B"/>
    <w:rsid w:val="00F90143"/>
    <w:rsid w:val="00F9048D"/>
    <w:rsid w:val="00F9050A"/>
    <w:rsid w:val="00F90592"/>
    <w:rsid w:val="00F91247"/>
    <w:rsid w:val="00F912CB"/>
    <w:rsid w:val="00F91A13"/>
    <w:rsid w:val="00F91FE5"/>
    <w:rsid w:val="00F931A6"/>
    <w:rsid w:val="00F9370E"/>
    <w:rsid w:val="00F94384"/>
    <w:rsid w:val="00F94428"/>
    <w:rsid w:val="00F945B6"/>
    <w:rsid w:val="00F947FD"/>
    <w:rsid w:val="00F952F7"/>
    <w:rsid w:val="00F95321"/>
    <w:rsid w:val="00F956B4"/>
    <w:rsid w:val="00F95956"/>
    <w:rsid w:val="00F9601A"/>
    <w:rsid w:val="00F961FB"/>
    <w:rsid w:val="00F97E47"/>
    <w:rsid w:val="00FA0466"/>
    <w:rsid w:val="00FA05AB"/>
    <w:rsid w:val="00FA0627"/>
    <w:rsid w:val="00FA0722"/>
    <w:rsid w:val="00FA0934"/>
    <w:rsid w:val="00FA0DD2"/>
    <w:rsid w:val="00FA0F1F"/>
    <w:rsid w:val="00FA13F3"/>
    <w:rsid w:val="00FA140D"/>
    <w:rsid w:val="00FA1578"/>
    <w:rsid w:val="00FA2632"/>
    <w:rsid w:val="00FA2902"/>
    <w:rsid w:val="00FA2F79"/>
    <w:rsid w:val="00FA37F1"/>
    <w:rsid w:val="00FA3EB4"/>
    <w:rsid w:val="00FA3EBB"/>
    <w:rsid w:val="00FA3F38"/>
    <w:rsid w:val="00FA450A"/>
    <w:rsid w:val="00FA4ADF"/>
    <w:rsid w:val="00FA4E01"/>
    <w:rsid w:val="00FA4F6C"/>
    <w:rsid w:val="00FA5A13"/>
    <w:rsid w:val="00FA5B3B"/>
    <w:rsid w:val="00FA5E45"/>
    <w:rsid w:val="00FA721B"/>
    <w:rsid w:val="00FA722C"/>
    <w:rsid w:val="00FA7C35"/>
    <w:rsid w:val="00FB0146"/>
    <w:rsid w:val="00FB0BB2"/>
    <w:rsid w:val="00FB1774"/>
    <w:rsid w:val="00FB1871"/>
    <w:rsid w:val="00FB2045"/>
    <w:rsid w:val="00FB25B8"/>
    <w:rsid w:val="00FB3612"/>
    <w:rsid w:val="00FB457E"/>
    <w:rsid w:val="00FB4FDB"/>
    <w:rsid w:val="00FB5880"/>
    <w:rsid w:val="00FB5CE9"/>
    <w:rsid w:val="00FB6326"/>
    <w:rsid w:val="00FB63A9"/>
    <w:rsid w:val="00FB63B1"/>
    <w:rsid w:val="00FB6416"/>
    <w:rsid w:val="00FB713B"/>
    <w:rsid w:val="00FB7A7F"/>
    <w:rsid w:val="00FB7E70"/>
    <w:rsid w:val="00FC0215"/>
    <w:rsid w:val="00FC0EE7"/>
    <w:rsid w:val="00FC0EE9"/>
    <w:rsid w:val="00FC11EC"/>
    <w:rsid w:val="00FC1411"/>
    <w:rsid w:val="00FC18F9"/>
    <w:rsid w:val="00FC1AD8"/>
    <w:rsid w:val="00FC1E8F"/>
    <w:rsid w:val="00FC28AF"/>
    <w:rsid w:val="00FC2F4E"/>
    <w:rsid w:val="00FC3508"/>
    <w:rsid w:val="00FC369F"/>
    <w:rsid w:val="00FC458E"/>
    <w:rsid w:val="00FC5010"/>
    <w:rsid w:val="00FC5CB8"/>
    <w:rsid w:val="00FC5D07"/>
    <w:rsid w:val="00FC5E39"/>
    <w:rsid w:val="00FC5F0C"/>
    <w:rsid w:val="00FC7875"/>
    <w:rsid w:val="00FD084E"/>
    <w:rsid w:val="00FD0C5E"/>
    <w:rsid w:val="00FD10BD"/>
    <w:rsid w:val="00FD17F2"/>
    <w:rsid w:val="00FD217F"/>
    <w:rsid w:val="00FD2319"/>
    <w:rsid w:val="00FD278F"/>
    <w:rsid w:val="00FD2851"/>
    <w:rsid w:val="00FD2A95"/>
    <w:rsid w:val="00FD2B56"/>
    <w:rsid w:val="00FD38BF"/>
    <w:rsid w:val="00FD40A2"/>
    <w:rsid w:val="00FD42DD"/>
    <w:rsid w:val="00FD5005"/>
    <w:rsid w:val="00FD506B"/>
    <w:rsid w:val="00FD51EB"/>
    <w:rsid w:val="00FD529C"/>
    <w:rsid w:val="00FD52CE"/>
    <w:rsid w:val="00FD5BCC"/>
    <w:rsid w:val="00FD6088"/>
    <w:rsid w:val="00FD60F3"/>
    <w:rsid w:val="00FD684A"/>
    <w:rsid w:val="00FD761A"/>
    <w:rsid w:val="00FE0078"/>
    <w:rsid w:val="00FE00BE"/>
    <w:rsid w:val="00FE0553"/>
    <w:rsid w:val="00FE05E1"/>
    <w:rsid w:val="00FE084E"/>
    <w:rsid w:val="00FE09C4"/>
    <w:rsid w:val="00FE1580"/>
    <w:rsid w:val="00FE1E56"/>
    <w:rsid w:val="00FE238A"/>
    <w:rsid w:val="00FE2914"/>
    <w:rsid w:val="00FE341C"/>
    <w:rsid w:val="00FE3683"/>
    <w:rsid w:val="00FE37A2"/>
    <w:rsid w:val="00FE39AC"/>
    <w:rsid w:val="00FE44C4"/>
    <w:rsid w:val="00FE4520"/>
    <w:rsid w:val="00FE4B1B"/>
    <w:rsid w:val="00FE4D8E"/>
    <w:rsid w:val="00FE50DE"/>
    <w:rsid w:val="00FE5327"/>
    <w:rsid w:val="00FE5790"/>
    <w:rsid w:val="00FE5B9C"/>
    <w:rsid w:val="00FE70CF"/>
    <w:rsid w:val="00FE7109"/>
    <w:rsid w:val="00FE7135"/>
    <w:rsid w:val="00FE717A"/>
    <w:rsid w:val="00FE72FB"/>
    <w:rsid w:val="00FE7377"/>
    <w:rsid w:val="00FE737F"/>
    <w:rsid w:val="00FE788B"/>
    <w:rsid w:val="00FF04FC"/>
    <w:rsid w:val="00FF0A06"/>
    <w:rsid w:val="00FF10FD"/>
    <w:rsid w:val="00FF1232"/>
    <w:rsid w:val="00FF2CB2"/>
    <w:rsid w:val="00FF42E9"/>
    <w:rsid w:val="00FF47E6"/>
    <w:rsid w:val="00FF4A17"/>
    <w:rsid w:val="00FF4BFA"/>
    <w:rsid w:val="00FF4C66"/>
    <w:rsid w:val="00FF5E58"/>
    <w:rsid w:val="00FF6254"/>
    <w:rsid w:val="00FF64EE"/>
    <w:rsid w:val="00FF6708"/>
    <w:rsid w:val="00FF7903"/>
    <w:rsid w:val="00FF7D04"/>
    <w:rsid w:val="00FF7F4B"/>
    <w:rsid w:val="0778A812"/>
    <w:rsid w:val="09D19772"/>
    <w:rsid w:val="0CDB9F36"/>
    <w:rsid w:val="0CE0A877"/>
    <w:rsid w:val="0D28892B"/>
    <w:rsid w:val="20AE610D"/>
    <w:rsid w:val="23CB0B6F"/>
    <w:rsid w:val="3DC821F2"/>
    <w:rsid w:val="3DE6A00A"/>
    <w:rsid w:val="4830078E"/>
    <w:rsid w:val="62A06C2E"/>
    <w:rsid w:val="6CC59620"/>
    <w:rsid w:val="6F4A4708"/>
    <w:rsid w:val="7B797849"/>
    <w:rsid w:val="7F0D062B"/>
    <w:rsid w:val="7F8870A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94D0C"/>
  <w15:docId w15:val="{933B5958-C193-40D7-ABC2-F0117F5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table" w:customStyle="1" w:styleId="TableGrid1">
    <w:name w:val="Table Grid1"/>
    <w:basedOn w:val="NormaleTabelle"/>
    <w:next w:val="Tabellenraster"/>
    <w:uiPriority w:val="59"/>
    <w:rsid w:val="006F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F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rsid w:val="00B06A5B"/>
  </w:style>
  <w:style w:type="character" w:styleId="Hyperlink">
    <w:name w:val="Hyperlink"/>
    <w:basedOn w:val="Absatz-Standardschriftart"/>
    <w:uiPriority w:val="99"/>
    <w:unhideWhenUsed/>
    <w:rsid w:val="00CE46E8"/>
    <w:rPr>
      <w:color w:val="0000FF" w:themeColor="hyperlink"/>
      <w:u w:val="single"/>
    </w:rPr>
  </w:style>
  <w:style w:type="character" w:customStyle="1" w:styleId="NichtaufgelsteErwhnung1">
    <w:name w:val="Nicht aufgelöste Erwähnung1"/>
    <w:basedOn w:val="Absatz-Standardschriftart"/>
    <w:uiPriority w:val="99"/>
    <w:semiHidden/>
    <w:unhideWhenUsed/>
    <w:rsid w:val="00CE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1748">
      <w:bodyDiv w:val="1"/>
      <w:marLeft w:val="0"/>
      <w:marRight w:val="0"/>
      <w:marTop w:val="0"/>
      <w:marBottom w:val="0"/>
      <w:divBdr>
        <w:top w:val="none" w:sz="0" w:space="0" w:color="auto"/>
        <w:left w:val="none" w:sz="0" w:space="0" w:color="auto"/>
        <w:bottom w:val="none" w:sz="0" w:space="0" w:color="auto"/>
        <w:right w:val="none" w:sz="0" w:space="0" w:color="auto"/>
      </w:divBdr>
    </w:div>
    <w:div w:id="167404899">
      <w:bodyDiv w:val="1"/>
      <w:marLeft w:val="0"/>
      <w:marRight w:val="0"/>
      <w:marTop w:val="0"/>
      <w:marBottom w:val="0"/>
      <w:divBdr>
        <w:top w:val="none" w:sz="0" w:space="0" w:color="auto"/>
        <w:left w:val="none" w:sz="0" w:space="0" w:color="auto"/>
        <w:bottom w:val="none" w:sz="0" w:space="0" w:color="auto"/>
        <w:right w:val="none" w:sz="0" w:space="0" w:color="auto"/>
      </w:divBdr>
    </w:div>
    <w:div w:id="195316968">
      <w:bodyDiv w:val="1"/>
      <w:marLeft w:val="0"/>
      <w:marRight w:val="0"/>
      <w:marTop w:val="0"/>
      <w:marBottom w:val="0"/>
      <w:divBdr>
        <w:top w:val="none" w:sz="0" w:space="0" w:color="auto"/>
        <w:left w:val="none" w:sz="0" w:space="0" w:color="auto"/>
        <w:bottom w:val="none" w:sz="0" w:space="0" w:color="auto"/>
        <w:right w:val="none" w:sz="0" w:space="0" w:color="auto"/>
      </w:divBdr>
    </w:div>
    <w:div w:id="198007144">
      <w:bodyDiv w:val="1"/>
      <w:marLeft w:val="0"/>
      <w:marRight w:val="0"/>
      <w:marTop w:val="0"/>
      <w:marBottom w:val="0"/>
      <w:divBdr>
        <w:top w:val="none" w:sz="0" w:space="0" w:color="auto"/>
        <w:left w:val="none" w:sz="0" w:space="0" w:color="auto"/>
        <w:bottom w:val="none" w:sz="0" w:space="0" w:color="auto"/>
        <w:right w:val="none" w:sz="0" w:space="0" w:color="auto"/>
      </w:divBdr>
    </w:div>
    <w:div w:id="275909560">
      <w:bodyDiv w:val="1"/>
      <w:marLeft w:val="0"/>
      <w:marRight w:val="0"/>
      <w:marTop w:val="0"/>
      <w:marBottom w:val="0"/>
      <w:divBdr>
        <w:top w:val="none" w:sz="0" w:space="0" w:color="auto"/>
        <w:left w:val="none" w:sz="0" w:space="0" w:color="auto"/>
        <w:bottom w:val="none" w:sz="0" w:space="0" w:color="auto"/>
        <w:right w:val="none" w:sz="0" w:space="0" w:color="auto"/>
      </w:divBdr>
    </w:div>
    <w:div w:id="404452066">
      <w:bodyDiv w:val="1"/>
      <w:marLeft w:val="0"/>
      <w:marRight w:val="0"/>
      <w:marTop w:val="0"/>
      <w:marBottom w:val="0"/>
      <w:divBdr>
        <w:top w:val="none" w:sz="0" w:space="0" w:color="auto"/>
        <w:left w:val="none" w:sz="0" w:space="0" w:color="auto"/>
        <w:bottom w:val="none" w:sz="0" w:space="0" w:color="auto"/>
        <w:right w:val="none" w:sz="0" w:space="0" w:color="auto"/>
      </w:divBdr>
    </w:div>
    <w:div w:id="416364549">
      <w:bodyDiv w:val="1"/>
      <w:marLeft w:val="0"/>
      <w:marRight w:val="0"/>
      <w:marTop w:val="0"/>
      <w:marBottom w:val="0"/>
      <w:divBdr>
        <w:top w:val="none" w:sz="0" w:space="0" w:color="auto"/>
        <w:left w:val="none" w:sz="0" w:space="0" w:color="auto"/>
        <w:bottom w:val="none" w:sz="0" w:space="0" w:color="auto"/>
        <w:right w:val="none" w:sz="0" w:space="0" w:color="auto"/>
      </w:divBdr>
    </w:div>
    <w:div w:id="426272490">
      <w:bodyDiv w:val="1"/>
      <w:marLeft w:val="0"/>
      <w:marRight w:val="0"/>
      <w:marTop w:val="0"/>
      <w:marBottom w:val="0"/>
      <w:divBdr>
        <w:top w:val="none" w:sz="0" w:space="0" w:color="auto"/>
        <w:left w:val="none" w:sz="0" w:space="0" w:color="auto"/>
        <w:bottom w:val="none" w:sz="0" w:space="0" w:color="auto"/>
        <w:right w:val="none" w:sz="0" w:space="0" w:color="auto"/>
      </w:divBdr>
    </w:div>
    <w:div w:id="682128896">
      <w:bodyDiv w:val="1"/>
      <w:marLeft w:val="0"/>
      <w:marRight w:val="0"/>
      <w:marTop w:val="0"/>
      <w:marBottom w:val="0"/>
      <w:divBdr>
        <w:top w:val="none" w:sz="0" w:space="0" w:color="auto"/>
        <w:left w:val="none" w:sz="0" w:space="0" w:color="auto"/>
        <w:bottom w:val="none" w:sz="0" w:space="0" w:color="auto"/>
        <w:right w:val="none" w:sz="0" w:space="0" w:color="auto"/>
      </w:divBdr>
    </w:div>
    <w:div w:id="786853588">
      <w:bodyDiv w:val="1"/>
      <w:marLeft w:val="0"/>
      <w:marRight w:val="0"/>
      <w:marTop w:val="0"/>
      <w:marBottom w:val="0"/>
      <w:divBdr>
        <w:top w:val="none" w:sz="0" w:space="0" w:color="auto"/>
        <w:left w:val="none" w:sz="0" w:space="0" w:color="auto"/>
        <w:bottom w:val="none" w:sz="0" w:space="0" w:color="auto"/>
        <w:right w:val="none" w:sz="0" w:space="0" w:color="auto"/>
      </w:divBdr>
    </w:div>
    <w:div w:id="819422125">
      <w:bodyDiv w:val="1"/>
      <w:marLeft w:val="0"/>
      <w:marRight w:val="0"/>
      <w:marTop w:val="0"/>
      <w:marBottom w:val="0"/>
      <w:divBdr>
        <w:top w:val="none" w:sz="0" w:space="0" w:color="auto"/>
        <w:left w:val="none" w:sz="0" w:space="0" w:color="auto"/>
        <w:bottom w:val="none" w:sz="0" w:space="0" w:color="auto"/>
        <w:right w:val="none" w:sz="0" w:space="0" w:color="auto"/>
      </w:divBdr>
    </w:div>
    <w:div w:id="81988118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77820967">
      <w:bodyDiv w:val="1"/>
      <w:marLeft w:val="0"/>
      <w:marRight w:val="0"/>
      <w:marTop w:val="0"/>
      <w:marBottom w:val="0"/>
      <w:divBdr>
        <w:top w:val="none" w:sz="0" w:space="0" w:color="auto"/>
        <w:left w:val="none" w:sz="0" w:space="0" w:color="auto"/>
        <w:bottom w:val="none" w:sz="0" w:space="0" w:color="auto"/>
        <w:right w:val="none" w:sz="0" w:space="0" w:color="auto"/>
      </w:divBdr>
    </w:div>
    <w:div w:id="907805873">
      <w:bodyDiv w:val="1"/>
      <w:marLeft w:val="0"/>
      <w:marRight w:val="0"/>
      <w:marTop w:val="0"/>
      <w:marBottom w:val="0"/>
      <w:divBdr>
        <w:top w:val="none" w:sz="0" w:space="0" w:color="auto"/>
        <w:left w:val="none" w:sz="0" w:space="0" w:color="auto"/>
        <w:bottom w:val="none" w:sz="0" w:space="0" w:color="auto"/>
        <w:right w:val="none" w:sz="0" w:space="0" w:color="auto"/>
      </w:divBdr>
    </w:div>
    <w:div w:id="956105112">
      <w:bodyDiv w:val="1"/>
      <w:marLeft w:val="0"/>
      <w:marRight w:val="0"/>
      <w:marTop w:val="0"/>
      <w:marBottom w:val="0"/>
      <w:divBdr>
        <w:top w:val="none" w:sz="0" w:space="0" w:color="auto"/>
        <w:left w:val="none" w:sz="0" w:space="0" w:color="auto"/>
        <w:bottom w:val="none" w:sz="0" w:space="0" w:color="auto"/>
        <w:right w:val="none" w:sz="0" w:space="0" w:color="auto"/>
      </w:divBdr>
    </w:div>
    <w:div w:id="1066340803">
      <w:bodyDiv w:val="1"/>
      <w:marLeft w:val="0"/>
      <w:marRight w:val="0"/>
      <w:marTop w:val="0"/>
      <w:marBottom w:val="0"/>
      <w:divBdr>
        <w:top w:val="none" w:sz="0" w:space="0" w:color="auto"/>
        <w:left w:val="none" w:sz="0" w:space="0" w:color="auto"/>
        <w:bottom w:val="none" w:sz="0" w:space="0" w:color="auto"/>
        <w:right w:val="none" w:sz="0" w:space="0" w:color="auto"/>
      </w:divBdr>
    </w:div>
    <w:div w:id="1113985051">
      <w:bodyDiv w:val="1"/>
      <w:marLeft w:val="0"/>
      <w:marRight w:val="0"/>
      <w:marTop w:val="0"/>
      <w:marBottom w:val="0"/>
      <w:divBdr>
        <w:top w:val="none" w:sz="0" w:space="0" w:color="auto"/>
        <w:left w:val="none" w:sz="0" w:space="0" w:color="auto"/>
        <w:bottom w:val="none" w:sz="0" w:space="0" w:color="auto"/>
        <w:right w:val="none" w:sz="0" w:space="0" w:color="auto"/>
      </w:divBdr>
    </w:div>
    <w:div w:id="1191066876">
      <w:bodyDiv w:val="1"/>
      <w:marLeft w:val="0"/>
      <w:marRight w:val="0"/>
      <w:marTop w:val="0"/>
      <w:marBottom w:val="0"/>
      <w:divBdr>
        <w:top w:val="none" w:sz="0" w:space="0" w:color="auto"/>
        <w:left w:val="none" w:sz="0" w:space="0" w:color="auto"/>
        <w:bottom w:val="none" w:sz="0" w:space="0" w:color="auto"/>
        <w:right w:val="none" w:sz="0" w:space="0" w:color="auto"/>
      </w:divBdr>
    </w:div>
    <w:div w:id="1194072667">
      <w:bodyDiv w:val="1"/>
      <w:marLeft w:val="0"/>
      <w:marRight w:val="0"/>
      <w:marTop w:val="0"/>
      <w:marBottom w:val="0"/>
      <w:divBdr>
        <w:top w:val="none" w:sz="0" w:space="0" w:color="auto"/>
        <w:left w:val="none" w:sz="0" w:space="0" w:color="auto"/>
        <w:bottom w:val="none" w:sz="0" w:space="0" w:color="auto"/>
        <w:right w:val="none" w:sz="0" w:space="0" w:color="auto"/>
      </w:divBdr>
    </w:div>
    <w:div w:id="1218008161">
      <w:bodyDiv w:val="1"/>
      <w:marLeft w:val="0"/>
      <w:marRight w:val="0"/>
      <w:marTop w:val="0"/>
      <w:marBottom w:val="0"/>
      <w:divBdr>
        <w:top w:val="none" w:sz="0" w:space="0" w:color="auto"/>
        <w:left w:val="none" w:sz="0" w:space="0" w:color="auto"/>
        <w:bottom w:val="none" w:sz="0" w:space="0" w:color="auto"/>
        <w:right w:val="none" w:sz="0" w:space="0" w:color="auto"/>
      </w:divBdr>
    </w:div>
    <w:div w:id="1225338325">
      <w:bodyDiv w:val="1"/>
      <w:marLeft w:val="0"/>
      <w:marRight w:val="0"/>
      <w:marTop w:val="0"/>
      <w:marBottom w:val="0"/>
      <w:divBdr>
        <w:top w:val="none" w:sz="0" w:space="0" w:color="auto"/>
        <w:left w:val="none" w:sz="0" w:space="0" w:color="auto"/>
        <w:bottom w:val="none" w:sz="0" w:space="0" w:color="auto"/>
        <w:right w:val="none" w:sz="0" w:space="0" w:color="auto"/>
      </w:divBdr>
    </w:div>
    <w:div w:id="1308362585">
      <w:bodyDiv w:val="1"/>
      <w:marLeft w:val="0"/>
      <w:marRight w:val="0"/>
      <w:marTop w:val="0"/>
      <w:marBottom w:val="0"/>
      <w:divBdr>
        <w:top w:val="none" w:sz="0" w:space="0" w:color="auto"/>
        <w:left w:val="none" w:sz="0" w:space="0" w:color="auto"/>
        <w:bottom w:val="none" w:sz="0" w:space="0" w:color="auto"/>
        <w:right w:val="none" w:sz="0" w:space="0" w:color="auto"/>
      </w:divBdr>
    </w:div>
    <w:div w:id="1342077938">
      <w:bodyDiv w:val="1"/>
      <w:marLeft w:val="0"/>
      <w:marRight w:val="0"/>
      <w:marTop w:val="0"/>
      <w:marBottom w:val="0"/>
      <w:divBdr>
        <w:top w:val="none" w:sz="0" w:space="0" w:color="auto"/>
        <w:left w:val="none" w:sz="0" w:space="0" w:color="auto"/>
        <w:bottom w:val="none" w:sz="0" w:space="0" w:color="auto"/>
        <w:right w:val="none" w:sz="0" w:space="0" w:color="auto"/>
      </w:divBdr>
    </w:div>
    <w:div w:id="1577279206">
      <w:bodyDiv w:val="1"/>
      <w:marLeft w:val="0"/>
      <w:marRight w:val="0"/>
      <w:marTop w:val="0"/>
      <w:marBottom w:val="0"/>
      <w:divBdr>
        <w:top w:val="none" w:sz="0" w:space="0" w:color="auto"/>
        <w:left w:val="none" w:sz="0" w:space="0" w:color="auto"/>
        <w:bottom w:val="none" w:sz="0" w:space="0" w:color="auto"/>
        <w:right w:val="none" w:sz="0" w:space="0" w:color="auto"/>
      </w:divBdr>
    </w:div>
    <w:div w:id="1587424824">
      <w:bodyDiv w:val="1"/>
      <w:marLeft w:val="0"/>
      <w:marRight w:val="0"/>
      <w:marTop w:val="0"/>
      <w:marBottom w:val="0"/>
      <w:divBdr>
        <w:top w:val="none" w:sz="0" w:space="0" w:color="auto"/>
        <w:left w:val="none" w:sz="0" w:space="0" w:color="auto"/>
        <w:bottom w:val="none" w:sz="0" w:space="0" w:color="auto"/>
        <w:right w:val="none" w:sz="0" w:space="0" w:color="auto"/>
      </w:divBdr>
    </w:div>
    <w:div w:id="1588615577">
      <w:bodyDiv w:val="1"/>
      <w:marLeft w:val="0"/>
      <w:marRight w:val="0"/>
      <w:marTop w:val="0"/>
      <w:marBottom w:val="0"/>
      <w:divBdr>
        <w:top w:val="none" w:sz="0" w:space="0" w:color="auto"/>
        <w:left w:val="none" w:sz="0" w:space="0" w:color="auto"/>
        <w:bottom w:val="none" w:sz="0" w:space="0" w:color="auto"/>
        <w:right w:val="none" w:sz="0" w:space="0" w:color="auto"/>
      </w:divBdr>
    </w:div>
    <w:div w:id="1603535166">
      <w:bodyDiv w:val="1"/>
      <w:marLeft w:val="0"/>
      <w:marRight w:val="0"/>
      <w:marTop w:val="0"/>
      <w:marBottom w:val="0"/>
      <w:divBdr>
        <w:top w:val="none" w:sz="0" w:space="0" w:color="auto"/>
        <w:left w:val="none" w:sz="0" w:space="0" w:color="auto"/>
        <w:bottom w:val="none" w:sz="0" w:space="0" w:color="auto"/>
        <w:right w:val="none" w:sz="0" w:space="0" w:color="auto"/>
      </w:divBdr>
    </w:div>
    <w:div w:id="1636837070">
      <w:bodyDiv w:val="1"/>
      <w:marLeft w:val="0"/>
      <w:marRight w:val="0"/>
      <w:marTop w:val="0"/>
      <w:marBottom w:val="0"/>
      <w:divBdr>
        <w:top w:val="none" w:sz="0" w:space="0" w:color="auto"/>
        <w:left w:val="none" w:sz="0" w:space="0" w:color="auto"/>
        <w:bottom w:val="none" w:sz="0" w:space="0" w:color="auto"/>
        <w:right w:val="none" w:sz="0" w:space="0" w:color="auto"/>
      </w:divBdr>
    </w:div>
    <w:div w:id="1657148762">
      <w:bodyDiv w:val="1"/>
      <w:marLeft w:val="0"/>
      <w:marRight w:val="0"/>
      <w:marTop w:val="0"/>
      <w:marBottom w:val="0"/>
      <w:divBdr>
        <w:top w:val="none" w:sz="0" w:space="0" w:color="auto"/>
        <w:left w:val="none" w:sz="0" w:space="0" w:color="auto"/>
        <w:bottom w:val="none" w:sz="0" w:space="0" w:color="auto"/>
        <w:right w:val="none" w:sz="0" w:space="0" w:color="auto"/>
      </w:divBdr>
    </w:div>
    <w:div w:id="1671834056">
      <w:bodyDiv w:val="1"/>
      <w:marLeft w:val="0"/>
      <w:marRight w:val="0"/>
      <w:marTop w:val="0"/>
      <w:marBottom w:val="0"/>
      <w:divBdr>
        <w:top w:val="none" w:sz="0" w:space="0" w:color="auto"/>
        <w:left w:val="none" w:sz="0" w:space="0" w:color="auto"/>
        <w:bottom w:val="none" w:sz="0" w:space="0" w:color="auto"/>
        <w:right w:val="none" w:sz="0" w:space="0" w:color="auto"/>
      </w:divBdr>
    </w:div>
    <w:div w:id="1678801513">
      <w:bodyDiv w:val="1"/>
      <w:marLeft w:val="0"/>
      <w:marRight w:val="0"/>
      <w:marTop w:val="0"/>
      <w:marBottom w:val="0"/>
      <w:divBdr>
        <w:top w:val="none" w:sz="0" w:space="0" w:color="auto"/>
        <w:left w:val="none" w:sz="0" w:space="0" w:color="auto"/>
        <w:bottom w:val="none" w:sz="0" w:space="0" w:color="auto"/>
        <w:right w:val="none" w:sz="0" w:space="0" w:color="auto"/>
      </w:divBdr>
    </w:div>
    <w:div w:id="1752046254">
      <w:bodyDiv w:val="1"/>
      <w:marLeft w:val="0"/>
      <w:marRight w:val="0"/>
      <w:marTop w:val="0"/>
      <w:marBottom w:val="0"/>
      <w:divBdr>
        <w:top w:val="none" w:sz="0" w:space="0" w:color="auto"/>
        <w:left w:val="none" w:sz="0" w:space="0" w:color="auto"/>
        <w:bottom w:val="none" w:sz="0" w:space="0" w:color="auto"/>
        <w:right w:val="none" w:sz="0" w:space="0" w:color="auto"/>
      </w:divBdr>
    </w:div>
    <w:div w:id="1763337141">
      <w:bodyDiv w:val="1"/>
      <w:marLeft w:val="0"/>
      <w:marRight w:val="0"/>
      <w:marTop w:val="0"/>
      <w:marBottom w:val="0"/>
      <w:divBdr>
        <w:top w:val="none" w:sz="0" w:space="0" w:color="auto"/>
        <w:left w:val="none" w:sz="0" w:space="0" w:color="auto"/>
        <w:bottom w:val="none" w:sz="0" w:space="0" w:color="auto"/>
        <w:right w:val="none" w:sz="0" w:space="0" w:color="auto"/>
      </w:divBdr>
    </w:div>
    <w:div w:id="1796681951">
      <w:bodyDiv w:val="1"/>
      <w:marLeft w:val="0"/>
      <w:marRight w:val="0"/>
      <w:marTop w:val="0"/>
      <w:marBottom w:val="0"/>
      <w:divBdr>
        <w:top w:val="none" w:sz="0" w:space="0" w:color="auto"/>
        <w:left w:val="none" w:sz="0" w:space="0" w:color="auto"/>
        <w:bottom w:val="none" w:sz="0" w:space="0" w:color="auto"/>
        <w:right w:val="none" w:sz="0" w:space="0" w:color="auto"/>
      </w:divBdr>
    </w:div>
    <w:div w:id="1809200117">
      <w:bodyDiv w:val="1"/>
      <w:marLeft w:val="0"/>
      <w:marRight w:val="0"/>
      <w:marTop w:val="0"/>
      <w:marBottom w:val="0"/>
      <w:divBdr>
        <w:top w:val="none" w:sz="0" w:space="0" w:color="auto"/>
        <w:left w:val="none" w:sz="0" w:space="0" w:color="auto"/>
        <w:bottom w:val="none" w:sz="0" w:space="0" w:color="auto"/>
        <w:right w:val="none" w:sz="0" w:space="0" w:color="auto"/>
      </w:divBdr>
    </w:div>
    <w:div w:id="1883439533">
      <w:bodyDiv w:val="1"/>
      <w:marLeft w:val="0"/>
      <w:marRight w:val="0"/>
      <w:marTop w:val="0"/>
      <w:marBottom w:val="0"/>
      <w:divBdr>
        <w:top w:val="none" w:sz="0" w:space="0" w:color="auto"/>
        <w:left w:val="none" w:sz="0" w:space="0" w:color="auto"/>
        <w:bottom w:val="none" w:sz="0" w:space="0" w:color="auto"/>
        <w:right w:val="none" w:sz="0" w:space="0" w:color="auto"/>
      </w:divBdr>
    </w:div>
    <w:div w:id="1965233562">
      <w:bodyDiv w:val="1"/>
      <w:marLeft w:val="0"/>
      <w:marRight w:val="0"/>
      <w:marTop w:val="0"/>
      <w:marBottom w:val="0"/>
      <w:divBdr>
        <w:top w:val="none" w:sz="0" w:space="0" w:color="auto"/>
        <w:left w:val="none" w:sz="0" w:space="0" w:color="auto"/>
        <w:bottom w:val="none" w:sz="0" w:space="0" w:color="auto"/>
        <w:right w:val="none" w:sz="0" w:space="0" w:color="auto"/>
      </w:divBdr>
    </w:div>
    <w:div w:id="2004119339">
      <w:bodyDiv w:val="1"/>
      <w:marLeft w:val="0"/>
      <w:marRight w:val="0"/>
      <w:marTop w:val="0"/>
      <w:marBottom w:val="0"/>
      <w:divBdr>
        <w:top w:val="none" w:sz="0" w:space="0" w:color="auto"/>
        <w:left w:val="none" w:sz="0" w:space="0" w:color="auto"/>
        <w:bottom w:val="none" w:sz="0" w:space="0" w:color="auto"/>
        <w:right w:val="none" w:sz="0" w:space="0" w:color="auto"/>
      </w:divBdr>
    </w:div>
    <w:div w:id="2033725066">
      <w:bodyDiv w:val="1"/>
      <w:marLeft w:val="0"/>
      <w:marRight w:val="0"/>
      <w:marTop w:val="0"/>
      <w:marBottom w:val="0"/>
      <w:divBdr>
        <w:top w:val="none" w:sz="0" w:space="0" w:color="auto"/>
        <w:left w:val="none" w:sz="0" w:space="0" w:color="auto"/>
        <w:bottom w:val="none" w:sz="0" w:space="0" w:color="auto"/>
        <w:right w:val="none" w:sz="0" w:space="0" w:color="auto"/>
      </w:divBdr>
    </w:div>
    <w:div w:id="2078162394">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62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CC7D-182F-42B9-9EEB-48466E7B6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9A11D-0880-424E-BE22-46FDAA0A1C35}">
  <ds:schemaRefs>
    <ds:schemaRef ds:uri="http://schemas.microsoft.com/sharepoint/v3/contenttype/forms"/>
  </ds:schemaRefs>
</ds:datastoreItem>
</file>

<file path=customXml/itemProps3.xml><?xml version="1.0" encoding="utf-8"?>
<ds:datastoreItem xmlns:ds="http://schemas.openxmlformats.org/officeDocument/2006/customXml" ds:itemID="{26FBDD7E-C080-4010-8F12-E6F8FE2EBE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13FE13-2C21-4B21-925C-AE3BDC50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10418</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Grossmann &amp; Berger GmbH</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Dennis Weinacht</cp:lastModifiedBy>
  <cp:revision>60</cp:revision>
  <cp:lastPrinted>2020-01-08T05:03:00Z</cp:lastPrinted>
  <dcterms:created xsi:type="dcterms:W3CDTF">2019-10-01T07:51:00Z</dcterms:created>
  <dcterms:modified xsi:type="dcterms:W3CDTF">2020-01-08T05:04:00Z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y fmtid="{D5CDD505-2E9C-101B-9397-08002B2CF9AE}" pid="3" name="AuthorIds_UIVersion_512">
    <vt:lpwstr>6</vt:lpwstr>
  </property>
</Properties>
</file>