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C36E9" w14:textId="07BB754B" w:rsidR="000B1E51" w:rsidRPr="004D02F0" w:rsidRDefault="00436816" w:rsidP="00462FC6">
      <w:pPr>
        <w:widowControl w:val="0"/>
        <w:spacing w:after="40"/>
        <w:rPr>
          <w:rFonts w:ascii="Arial" w:hAnsi="Arial" w:cs="Arial"/>
          <w:b/>
          <w:color w:val="000000" w:themeColor="text1"/>
          <w:sz w:val="40"/>
          <w:szCs w:val="40"/>
        </w:rPr>
      </w:pPr>
      <w:r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36B9B598">
                <wp:simplePos x="0" y="0"/>
                <wp:positionH relativeFrom="column">
                  <wp:posOffset>3749040</wp:posOffset>
                </wp:positionH>
                <wp:positionV relativeFrom="paragraph">
                  <wp:posOffset>-897255</wp:posOffset>
                </wp:positionV>
                <wp:extent cx="2133600" cy="803081"/>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03081"/>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1F804518"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Frau Svenja Stern</w:t>
                            </w:r>
                          </w:p>
                          <w:p w14:paraId="35F2F7FA" w14:textId="68B900A5"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Telefon: +49 (0)69 / </w:t>
                            </w:r>
                            <w:r w:rsidR="0050461D">
                              <w:rPr>
                                <w:rFonts w:ascii="Arial" w:hAnsi="Arial" w:cs="Arial"/>
                                <w:color w:val="808080" w:themeColor="background1" w:themeShade="80"/>
                                <w:sz w:val="16"/>
                                <w:szCs w:val="16"/>
                              </w:rPr>
                              <w:t>907 448 7</w:t>
                            </w:r>
                            <w:r w:rsidR="008F2BB6">
                              <w:rPr>
                                <w:rFonts w:ascii="Arial" w:hAnsi="Arial" w:cs="Arial"/>
                                <w:color w:val="808080" w:themeColor="background1" w:themeShade="80"/>
                                <w:sz w:val="16"/>
                                <w:szCs w:val="16"/>
                              </w:rPr>
                              <w:t>57</w:t>
                            </w:r>
                          </w:p>
                          <w:p w14:paraId="45200597" w14:textId="1A4CB67D"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8F2BB6">
                              <w:rPr>
                                <w:rFonts w:ascii="Arial" w:hAnsi="Arial" w:cs="Arial"/>
                                <w:color w:val="808080" w:themeColor="background1" w:themeShade="80"/>
                                <w:sz w:val="16"/>
                                <w:szCs w:val="16"/>
                                <w:lang w:val="it-IT"/>
                              </w:rPr>
                              <w:t>svenja</w:t>
                            </w:r>
                            <w:r w:rsidR="0050461D">
                              <w:rPr>
                                <w:rFonts w:ascii="Arial" w:hAnsi="Arial" w:cs="Arial"/>
                                <w:color w:val="808080" w:themeColor="background1" w:themeShade="80"/>
                                <w:sz w:val="16"/>
                                <w:szCs w:val="16"/>
                                <w:lang w:val="it-IT"/>
                              </w:rPr>
                              <w:t>.</w:t>
                            </w:r>
                            <w:r w:rsidR="008F2BB6">
                              <w:rPr>
                                <w:rFonts w:ascii="Arial" w:hAnsi="Arial" w:cs="Arial"/>
                                <w:color w:val="808080" w:themeColor="background1" w:themeShade="80"/>
                                <w:sz w:val="16"/>
                                <w:szCs w:val="16"/>
                                <w:lang w:val="it-IT"/>
                              </w:rPr>
                              <w:t>stern</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blackolive</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5.2pt;margin-top:-70.65pt;width:168pt;height:6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1F804518"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Frau Svenja Stern</w:t>
                      </w:r>
                    </w:p>
                    <w:p w14:paraId="35F2F7FA" w14:textId="68B900A5"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Telefon: +49 (0)69 / </w:t>
                      </w:r>
                      <w:r w:rsidR="0050461D">
                        <w:rPr>
                          <w:rFonts w:ascii="Arial" w:hAnsi="Arial" w:cs="Arial"/>
                          <w:color w:val="808080" w:themeColor="background1" w:themeShade="80"/>
                          <w:sz w:val="16"/>
                          <w:szCs w:val="16"/>
                        </w:rPr>
                        <w:t>907 448 7</w:t>
                      </w:r>
                      <w:r w:rsidR="008F2BB6">
                        <w:rPr>
                          <w:rFonts w:ascii="Arial" w:hAnsi="Arial" w:cs="Arial"/>
                          <w:color w:val="808080" w:themeColor="background1" w:themeShade="80"/>
                          <w:sz w:val="16"/>
                          <w:szCs w:val="16"/>
                        </w:rPr>
                        <w:t>57</w:t>
                      </w:r>
                    </w:p>
                    <w:p w14:paraId="45200597" w14:textId="1A4CB67D"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8F2BB6">
                        <w:rPr>
                          <w:rFonts w:ascii="Arial" w:hAnsi="Arial" w:cs="Arial"/>
                          <w:color w:val="808080" w:themeColor="background1" w:themeShade="80"/>
                          <w:sz w:val="16"/>
                          <w:szCs w:val="16"/>
                          <w:lang w:val="it-IT"/>
                        </w:rPr>
                        <w:t>svenja</w:t>
                      </w:r>
                      <w:r w:rsidR="0050461D">
                        <w:rPr>
                          <w:rFonts w:ascii="Arial" w:hAnsi="Arial" w:cs="Arial"/>
                          <w:color w:val="808080" w:themeColor="background1" w:themeShade="80"/>
                          <w:sz w:val="16"/>
                          <w:szCs w:val="16"/>
                          <w:lang w:val="it-IT"/>
                        </w:rPr>
                        <w:t>.</w:t>
                      </w:r>
                      <w:r w:rsidR="008F2BB6">
                        <w:rPr>
                          <w:rFonts w:ascii="Arial" w:hAnsi="Arial" w:cs="Arial"/>
                          <w:color w:val="808080" w:themeColor="background1" w:themeShade="80"/>
                          <w:sz w:val="16"/>
                          <w:szCs w:val="16"/>
                          <w:lang w:val="it-IT"/>
                        </w:rPr>
                        <w:t>stern</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blackolive</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bookmarkStart w:id="0" w:name="_Hlk526105421"/>
      <w:r w:rsidR="00C369CD" w:rsidRPr="004D02F0">
        <w:rPr>
          <w:rFonts w:ascii="Arial" w:hAnsi="Arial" w:cs="Arial"/>
          <w:color w:val="000000" w:themeColor="text1"/>
          <w:sz w:val="40"/>
          <w:szCs w:val="40"/>
        </w:rPr>
        <w:t>TOP-7-</w:t>
      </w:r>
      <w:r w:rsidR="00364A00" w:rsidRPr="004D02F0">
        <w:rPr>
          <w:rFonts w:ascii="Arial" w:hAnsi="Arial" w:cs="Arial"/>
          <w:color w:val="000000" w:themeColor="text1"/>
          <w:sz w:val="40"/>
          <w:szCs w:val="40"/>
        </w:rPr>
        <w:t>BÜROM</w:t>
      </w:r>
      <w:r w:rsidR="00C369CD" w:rsidRPr="004D02F0">
        <w:rPr>
          <w:rFonts w:ascii="Arial" w:hAnsi="Arial" w:cs="Arial"/>
          <w:color w:val="000000" w:themeColor="text1"/>
          <w:sz w:val="40"/>
          <w:szCs w:val="40"/>
        </w:rPr>
        <w:t>Ä</w:t>
      </w:r>
      <w:r w:rsidR="00364A00" w:rsidRPr="004D02F0">
        <w:rPr>
          <w:rFonts w:ascii="Arial" w:hAnsi="Arial" w:cs="Arial"/>
          <w:color w:val="000000" w:themeColor="text1"/>
          <w:sz w:val="40"/>
          <w:szCs w:val="40"/>
        </w:rPr>
        <w:t>RKT</w:t>
      </w:r>
      <w:r w:rsidR="00C369CD" w:rsidRPr="004D02F0">
        <w:rPr>
          <w:rFonts w:ascii="Arial" w:hAnsi="Arial" w:cs="Arial"/>
          <w:color w:val="000000" w:themeColor="text1"/>
          <w:sz w:val="40"/>
          <w:szCs w:val="40"/>
        </w:rPr>
        <w:t>E</w:t>
      </w:r>
      <w:r w:rsidR="006A10E7" w:rsidRPr="004D02F0">
        <w:rPr>
          <w:rFonts w:ascii="Arial" w:hAnsi="Arial" w:cs="Arial"/>
          <w:color w:val="000000" w:themeColor="text1"/>
          <w:sz w:val="40"/>
          <w:szCs w:val="40"/>
        </w:rPr>
        <w:t xml:space="preserve"> </w:t>
      </w:r>
      <w:r w:rsidR="004E304A">
        <w:rPr>
          <w:rFonts w:ascii="Arial" w:hAnsi="Arial" w:cs="Arial"/>
          <w:color w:val="000000" w:themeColor="text1"/>
          <w:sz w:val="40"/>
          <w:szCs w:val="40"/>
        </w:rPr>
        <w:t>Q</w:t>
      </w:r>
      <w:r w:rsidR="007F3844">
        <w:rPr>
          <w:rFonts w:ascii="Arial" w:hAnsi="Arial" w:cs="Arial"/>
          <w:color w:val="000000" w:themeColor="text1"/>
          <w:sz w:val="40"/>
          <w:szCs w:val="40"/>
        </w:rPr>
        <w:t>2</w:t>
      </w:r>
      <w:r w:rsidR="008522F8" w:rsidRPr="004D02F0">
        <w:rPr>
          <w:rFonts w:ascii="Arial" w:hAnsi="Arial" w:cs="Arial"/>
          <w:color w:val="000000" w:themeColor="text1"/>
          <w:sz w:val="40"/>
          <w:szCs w:val="40"/>
        </w:rPr>
        <w:t>/</w:t>
      </w:r>
      <w:r w:rsidR="00364A00" w:rsidRPr="004D02F0">
        <w:rPr>
          <w:rFonts w:ascii="Arial" w:hAnsi="Arial" w:cs="Arial"/>
          <w:color w:val="000000" w:themeColor="text1"/>
          <w:sz w:val="40"/>
          <w:szCs w:val="40"/>
        </w:rPr>
        <w:t>20</w:t>
      </w:r>
      <w:bookmarkEnd w:id="0"/>
      <w:r w:rsidR="00775CB7">
        <w:rPr>
          <w:rFonts w:ascii="Arial" w:hAnsi="Arial" w:cs="Arial"/>
          <w:color w:val="000000" w:themeColor="text1"/>
          <w:sz w:val="40"/>
          <w:szCs w:val="40"/>
        </w:rPr>
        <w:t>20</w:t>
      </w:r>
    </w:p>
    <w:p w14:paraId="3B735A9E" w14:textId="4B55C716" w:rsidR="00073A8E" w:rsidRPr="004D02F0" w:rsidRDefault="008F2BB6" w:rsidP="00462FC6">
      <w:pPr>
        <w:widowControl w:val="0"/>
        <w:spacing w:after="120"/>
        <w:rPr>
          <w:rFonts w:ascii="Arial" w:hAnsi="Arial" w:cs="Arial"/>
          <w:b/>
          <w:caps/>
          <w:color w:val="000000" w:themeColor="text1"/>
          <w:sz w:val="40"/>
          <w:szCs w:val="40"/>
        </w:rPr>
      </w:pPr>
      <w:r>
        <w:rPr>
          <w:rFonts w:ascii="Arial" w:hAnsi="Arial" w:cs="Arial"/>
          <w:b/>
          <w:caps/>
          <w:color w:val="000000" w:themeColor="text1"/>
          <w:sz w:val="40"/>
          <w:szCs w:val="40"/>
        </w:rPr>
        <w:t>FLÄCHENUMSATZ BRICHT ERWARTUNGSGEMÄSS EIN</w:t>
      </w:r>
    </w:p>
    <w:p w14:paraId="28BEC29F" w14:textId="130C3624" w:rsidR="007D3839" w:rsidRDefault="00B5621B" w:rsidP="004C416A">
      <w:pPr>
        <w:widowControl w:val="0"/>
        <w:spacing w:after="120"/>
        <w:jc w:val="center"/>
        <w:rPr>
          <w:rFonts w:ascii="Arial" w:hAnsi="Arial" w:cs="Arial"/>
          <w:b/>
          <w:sz w:val="20"/>
          <w:szCs w:val="20"/>
        </w:rPr>
      </w:pPr>
      <w:r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5724D79D">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53E537"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sidR="00D6747B" w:rsidRPr="007D3839">
        <w:rPr>
          <w:rFonts w:ascii="Arial" w:hAnsi="Arial" w:cs="Arial"/>
          <w:b/>
          <w:sz w:val="20"/>
          <w:szCs w:val="20"/>
        </w:rPr>
        <w:br/>
      </w:r>
      <w:r w:rsidR="00AA614B">
        <w:rPr>
          <w:noProof/>
        </w:rPr>
        <w:drawing>
          <wp:inline distT="0" distB="0" distL="0" distR="0" wp14:anchorId="5685B20F" wp14:editId="6A1E32FE">
            <wp:extent cx="5760720" cy="32226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22625"/>
                    </a:xfrm>
                    <a:prstGeom prst="rect">
                      <a:avLst/>
                    </a:prstGeom>
                  </pic:spPr>
                </pic:pic>
              </a:graphicData>
            </a:graphic>
          </wp:inline>
        </w:drawing>
      </w:r>
    </w:p>
    <w:p w14:paraId="63193EDD" w14:textId="78D16C9E" w:rsidR="004E304A" w:rsidRDefault="009F60AA" w:rsidP="007D3839">
      <w:pPr>
        <w:widowControl w:val="0"/>
        <w:spacing w:after="120"/>
        <w:rPr>
          <w:rFonts w:ascii="Arial" w:hAnsi="Arial" w:cs="Arial"/>
          <w:bCs/>
          <w:sz w:val="20"/>
          <w:szCs w:val="20"/>
        </w:rPr>
      </w:pPr>
      <w:r>
        <w:rPr>
          <w:rFonts w:ascii="Arial" w:hAnsi="Arial" w:cs="Arial"/>
          <w:b/>
          <w:sz w:val="20"/>
          <w:szCs w:val="20"/>
        </w:rPr>
        <w:t>01</w:t>
      </w:r>
      <w:r w:rsidR="00205F77" w:rsidRPr="004D02F0">
        <w:rPr>
          <w:rFonts w:ascii="Arial" w:hAnsi="Arial" w:cs="Arial"/>
          <w:b/>
          <w:sz w:val="20"/>
          <w:szCs w:val="20"/>
        </w:rPr>
        <w:t xml:space="preserve">. </w:t>
      </w:r>
      <w:r w:rsidR="007F3844">
        <w:rPr>
          <w:rFonts w:ascii="Arial" w:hAnsi="Arial" w:cs="Arial"/>
          <w:b/>
          <w:sz w:val="20"/>
          <w:szCs w:val="20"/>
        </w:rPr>
        <w:t>Juli</w:t>
      </w:r>
      <w:r w:rsidR="00205F77" w:rsidRPr="004D02F0">
        <w:rPr>
          <w:rFonts w:ascii="Arial" w:hAnsi="Arial" w:cs="Arial"/>
          <w:b/>
          <w:sz w:val="20"/>
          <w:szCs w:val="20"/>
        </w:rPr>
        <w:t xml:space="preserve"> 20</w:t>
      </w:r>
      <w:r w:rsidR="004E304A">
        <w:rPr>
          <w:rFonts w:ascii="Arial" w:hAnsi="Arial" w:cs="Arial"/>
          <w:b/>
          <w:sz w:val="20"/>
          <w:szCs w:val="20"/>
        </w:rPr>
        <w:t>20</w:t>
      </w:r>
      <w:r w:rsidR="00205F77" w:rsidRPr="004D02F0">
        <w:rPr>
          <w:rFonts w:ascii="Arial" w:hAnsi="Arial" w:cs="Arial"/>
          <w:b/>
          <w:sz w:val="20"/>
          <w:szCs w:val="20"/>
        </w:rPr>
        <w:t xml:space="preserve">, </w:t>
      </w:r>
      <w:r w:rsidR="00406E56">
        <w:rPr>
          <w:rFonts w:ascii="Arial" w:hAnsi="Arial" w:cs="Arial"/>
          <w:b/>
          <w:sz w:val="20"/>
          <w:szCs w:val="20"/>
        </w:rPr>
        <w:t>Frankfurt</w:t>
      </w:r>
      <w:bookmarkStart w:id="3" w:name="_Hlk486831588"/>
      <w:r w:rsidR="009066E5">
        <w:rPr>
          <w:rFonts w:ascii="Arial" w:hAnsi="Arial" w:cs="Arial"/>
          <w:b/>
          <w:sz w:val="20"/>
          <w:szCs w:val="20"/>
        </w:rPr>
        <w:t>.</w:t>
      </w:r>
      <w:r w:rsidR="004E304A">
        <w:rPr>
          <w:rFonts w:ascii="Arial" w:hAnsi="Arial" w:cs="Arial"/>
          <w:bCs/>
          <w:sz w:val="20"/>
          <w:szCs w:val="20"/>
        </w:rPr>
        <w:t xml:space="preserve"> </w:t>
      </w:r>
      <w:r w:rsidR="008248E2">
        <w:rPr>
          <w:rFonts w:ascii="Arial" w:hAnsi="Arial" w:cs="Arial"/>
          <w:bCs/>
          <w:sz w:val="20"/>
          <w:szCs w:val="20"/>
        </w:rPr>
        <w:t>Der</w:t>
      </w:r>
      <w:r w:rsidR="009066E5">
        <w:rPr>
          <w:rFonts w:ascii="Arial" w:hAnsi="Arial" w:cs="Arial"/>
          <w:bCs/>
          <w:sz w:val="20"/>
          <w:szCs w:val="20"/>
        </w:rPr>
        <w:t xml:space="preserve"> Flächenumsatz an den Top-7-Bürostandorten in Deutschland </w:t>
      </w:r>
      <w:r>
        <w:rPr>
          <w:rFonts w:ascii="Arial" w:hAnsi="Arial" w:cs="Arial"/>
          <w:bCs/>
          <w:sz w:val="20"/>
          <w:szCs w:val="20"/>
        </w:rPr>
        <w:t>ist</w:t>
      </w:r>
      <w:r w:rsidR="008248E2">
        <w:rPr>
          <w:rFonts w:ascii="Arial" w:hAnsi="Arial" w:cs="Arial"/>
          <w:bCs/>
          <w:sz w:val="20"/>
          <w:szCs w:val="20"/>
        </w:rPr>
        <w:t xml:space="preserve"> </w:t>
      </w:r>
      <w:r>
        <w:rPr>
          <w:rFonts w:ascii="Arial" w:hAnsi="Arial" w:cs="Arial"/>
          <w:bCs/>
          <w:sz w:val="20"/>
          <w:szCs w:val="20"/>
        </w:rPr>
        <w:t xml:space="preserve">im ersten </w:t>
      </w:r>
      <w:r w:rsidR="007F3844">
        <w:rPr>
          <w:rFonts w:ascii="Arial" w:hAnsi="Arial" w:cs="Arial"/>
          <w:bCs/>
          <w:sz w:val="20"/>
          <w:szCs w:val="20"/>
        </w:rPr>
        <w:t>Halbjahr</w:t>
      </w:r>
      <w:r>
        <w:rPr>
          <w:rFonts w:ascii="Arial" w:hAnsi="Arial" w:cs="Arial"/>
          <w:bCs/>
          <w:sz w:val="20"/>
          <w:szCs w:val="20"/>
        </w:rPr>
        <w:t xml:space="preserve"> </w:t>
      </w:r>
      <w:r w:rsidR="00D61675">
        <w:rPr>
          <w:rFonts w:ascii="Arial" w:hAnsi="Arial" w:cs="Arial"/>
          <w:bCs/>
          <w:sz w:val="20"/>
          <w:szCs w:val="20"/>
        </w:rPr>
        <w:t xml:space="preserve">2020 </w:t>
      </w:r>
      <w:r w:rsidR="009066E5">
        <w:rPr>
          <w:rFonts w:ascii="Arial" w:hAnsi="Arial" w:cs="Arial"/>
          <w:bCs/>
          <w:sz w:val="20"/>
          <w:szCs w:val="20"/>
        </w:rPr>
        <w:t>im Vergleich zum Vorjahr</w:t>
      </w:r>
      <w:r>
        <w:rPr>
          <w:rFonts w:ascii="Arial" w:hAnsi="Arial" w:cs="Arial"/>
          <w:bCs/>
          <w:sz w:val="20"/>
          <w:szCs w:val="20"/>
        </w:rPr>
        <w:t xml:space="preserve">eszeitraum um rund </w:t>
      </w:r>
      <w:r w:rsidR="007F3844">
        <w:rPr>
          <w:rFonts w:ascii="Arial" w:hAnsi="Arial" w:cs="Arial"/>
          <w:bCs/>
          <w:sz w:val="20"/>
          <w:szCs w:val="20"/>
        </w:rPr>
        <w:t>3</w:t>
      </w:r>
      <w:r>
        <w:rPr>
          <w:rFonts w:ascii="Arial" w:hAnsi="Arial" w:cs="Arial"/>
          <w:bCs/>
          <w:sz w:val="20"/>
          <w:szCs w:val="20"/>
        </w:rPr>
        <w:t>5 % gesunken</w:t>
      </w:r>
      <w:r w:rsidR="009066E5">
        <w:rPr>
          <w:rFonts w:ascii="Arial" w:hAnsi="Arial" w:cs="Arial"/>
          <w:bCs/>
          <w:sz w:val="20"/>
          <w:szCs w:val="20"/>
        </w:rPr>
        <w:t xml:space="preserve">. </w:t>
      </w:r>
      <w:r>
        <w:rPr>
          <w:rFonts w:ascii="Arial" w:hAnsi="Arial" w:cs="Arial"/>
          <w:bCs/>
          <w:sz w:val="20"/>
          <w:szCs w:val="20"/>
        </w:rPr>
        <w:t>W</w:t>
      </w:r>
      <w:r w:rsidR="00D61675">
        <w:rPr>
          <w:rFonts w:ascii="Arial" w:hAnsi="Arial" w:cs="Arial"/>
          <w:bCs/>
          <w:sz w:val="20"/>
          <w:szCs w:val="20"/>
        </w:rPr>
        <w:t>urden</w:t>
      </w:r>
      <w:r>
        <w:rPr>
          <w:rFonts w:ascii="Arial" w:hAnsi="Arial" w:cs="Arial"/>
          <w:bCs/>
          <w:sz w:val="20"/>
          <w:szCs w:val="20"/>
        </w:rPr>
        <w:t xml:space="preserve"> in den ersten </w:t>
      </w:r>
      <w:r w:rsidR="007F3844">
        <w:rPr>
          <w:rFonts w:ascii="Arial" w:hAnsi="Arial" w:cs="Arial"/>
          <w:bCs/>
          <w:sz w:val="20"/>
          <w:szCs w:val="20"/>
        </w:rPr>
        <w:t>sechs</w:t>
      </w:r>
      <w:r>
        <w:rPr>
          <w:rFonts w:ascii="Arial" w:hAnsi="Arial" w:cs="Arial"/>
          <w:bCs/>
          <w:sz w:val="20"/>
          <w:szCs w:val="20"/>
        </w:rPr>
        <w:t xml:space="preserve"> Monaten 2019 noch etwa </w:t>
      </w:r>
      <w:r w:rsidR="007F3844">
        <w:rPr>
          <w:rFonts w:ascii="Arial" w:hAnsi="Arial" w:cs="Arial"/>
          <w:bCs/>
          <w:sz w:val="20"/>
          <w:szCs w:val="20"/>
        </w:rPr>
        <w:t>1,85 Mio.</w:t>
      </w:r>
      <w:r>
        <w:rPr>
          <w:rFonts w:ascii="Arial" w:hAnsi="Arial" w:cs="Arial"/>
          <w:bCs/>
          <w:sz w:val="20"/>
          <w:szCs w:val="20"/>
        </w:rPr>
        <w:t xml:space="preserve"> m²</w:t>
      </w:r>
      <w:r w:rsidR="00D61675">
        <w:rPr>
          <w:rFonts w:ascii="Arial" w:hAnsi="Arial" w:cs="Arial"/>
          <w:bCs/>
          <w:sz w:val="20"/>
          <w:szCs w:val="20"/>
        </w:rPr>
        <w:t xml:space="preserve"> umgesetzt</w:t>
      </w:r>
      <w:r>
        <w:rPr>
          <w:rFonts w:ascii="Arial" w:hAnsi="Arial" w:cs="Arial"/>
          <w:bCs/>
          <w:sz w:val="20"/>
          <w:szCs w:val="20"/>
        </w:rPr>
        <w:t xml:space="preserve">, </w:t>
      </w:r>
      <w:r w:rsidR="00D61675">
        <w:rPr>
          <w:rFonts w:ascii="Arial" w:hAnsi="Arial" w:cs="Arial"/>
          <w:bCs/>
          <w:sz w:val="20"/>
          <w:szCs w:val="20"/>
        </w:rPr>
        <w:t>so betrug der Flächenumsatz</w:t>
      </w:r>
      <w:r>
        <w:rPr>
          <w:rFonts w:ascii="Arial" w:hAnsi="Arial" w:cs="Arial"/>
          <w:bCs/>
          <w:sz w:val="20"/>
          <w:szCs w:val="20"/>
        </w:rPr>
        <w:t xml:space="preserve"> von Januar bis </w:t>
      </w:r>
      <w:r w:rsidR="007F3844">
        <w:rPr>
          <w:rFonts w:ascii="Arial" w:hAnsi="Arial" w:cs="Arial"/>
          <w:bCs/>
          <w:sz w:val="20"/>
          <w:szCs w:val="20"/>
        </w:rPr>
        <w:t>Juni</w:t>
      </w:r>
      <w:r>
        <w:rPr>
          <w:rFonts w:ascii="Arial" w:hAnsi="Arial" w:cs="Arial"/>
          <w:bCs/>
          <w:sz w:val="20"/>
          <w:szCs w:val="20"/>
        </w:rPr>
        <w:t xml:space="preserve"> 2020 ca. </w:t>
      </w:r>
      <w:r w:rsidR="007F3844">
        <w:rPr>
          <w:rFonts w:ascii="Arial" w:hAnsi="Arial" w:cs="Arial"/>
          <w:bCs/>
          <w:sz w:val="20"/>
          <w:szCs w:val="20"/>
        </w:rPr>
        <w:t>1,2</w:t>
      </w:r>
      <w:r w:rsidR="00AA614B">
        <w:rPr>
          <w:rFonts w:ascii="Arial" w:hAnsi="Arial" w:cs="Arial"/>
          <w:bCs/>
          <w:sz w:val="20"/>
          <w:szCs w:val="20"/>
        </w:rPr>
        <w:t>0</w:t>
      </w:r>
      <w:r w:rsidR="007F3844">
        <w:rPr>
          <w:rFonts w:ascii="Arial" w:hAnsi="Arial" w:cs="Arial"/>
          <w:bCs/>
          <w:sz w:val="20"/>
          <w:szCs w:val="20"/>
        </w:rPr>
        <w:t xml:space="preserve"> Mio.</w:t>
      </w:r>
      <w:r>
        <w:rPr>
          <w:rFonts w:ascii="Arial" w:hAnsi="Arial" w:cs="Arial"/>
          <w:bCs/>
          <w:sz w:val="20"/>
          <w:szCs w:val="20"/>
        </w:rPr>
        <w:t xml:space="preserve"> m² in Hamburg, Berlin, Düsseldorf, Köln, Frankfurt, Stuttgart und München.</w:t>
      </w:r>
      <w:r w:rsidR="009066E5">
        <w:rPr>
          <w:rFonts w:ascii="Arial" w:hAnsi="Arial" w:cs="Arial"/>
          <w:bCs/>
          <w:sz w:val="20"/>
          <w:szCs w:val="20"/>
        </w:rPr>
        <w:t xml:space="preserve"> Das geht aus aktuellen Zahlen </w:t>
      </w:r>
      <w:r w:rsidR="00AB2DBC">
        <w:rPr>
          <w:rFonts w:ascii="Arial" w:hAnsi="Arial" w:cs="Arial"/>
          <w:bCs/>
          <w:sz w:val="20"/>
          <w:szCs w:val="20"/>
        </w:rPr>
        <w:t>von</w:t>
      </w:r>
      <w:r w:rsidR="009066E5">
        <w:rPr>
          <w:rFonts w:ascii="Arial" w:hAnsi="Arial" w:cs="Arial"/>
          <w:bCs/>
          <w:sz w:val="20"/>
          <w:szCs w:val="20"/>
        </w:rPr>
        <w:t xml:space="preserve"> </w:t>
      </w:r>
      <w:r w:rsidR="009066E5" w:rsidRPr="009066E5">
        <w:rPr>
          <w:rFonts w:ascii="Arial" w:hAnsi="Arial" w:cs="Arial"/>
          <w:b/>
          <w:sz w:val="20"/>
          <w:szCs w:val="20"/>
        </w:rPr>
        <w:t>German Property Partners (GPP)</w:t>
      </w:r>
      <w:r w:rsidR="009066E5">
        <w:rPr>
          <w:rFonts w:ascii="Arial" w:hAnsi="Arial" w:cs="Arial"/>
          <w:bCs/>
          <w:sz w:val="20"/>
          <w:szCs w:val="20"/>
        </w:rPr>
        <w:t xml:space="preserve"> hervor.</w:t>
      </w:r>
      <w:r w:rsidR="008248E2" w:rsidRPr="008248E2">
        <w:rPr>
          <w:noProof/>
        </w:rPr>
        <w:t xml:space="preserve"> </w:t>
      </w:r>
    </w:p>
    <w:p w14:paraId="01ECFAA3" w14:textId="77777777" w:rsidR="004E304A" w:rsidRDefault="004E304A" w:rsidP="00205F77">
      <w:pPr>
        <w:widowControl w:val="0"/>
        <w:spacing w:after="0"/>
        <w:jc w:val="both"/>
        <w:rPr>
          <w:rFonts w:ascii="Arial" w:hAnsi="Arial" w:cs="Arial"/>
          <w:bCs/>
          <w:sz w:val="20"/>
          <w:szCs w:val="20"/>
        </w:rPr>
      </w:pPr>
    </w:p>
    <w:p w14:paraId="035D3C6D" w14:textId="4D230900" w:rsidR="004C1EFC" w:rsidRDefault="007F3844" w:rsidP="004C1EFC">
      <w:pPr>
        <w:widowControl w:val="0"/>
        <w:spacing w:after="0"/>
        <w:jc w:val="center"/>
        <w:rPr>
          <w:rFonts w:ascii="Arial" w:hAnsi="Arial" w:cs="Arial"/>
          <w:b/>
          <w:bCs/>
          <w:sz w:val="20"/>
          <w:szCs w:val="20"/>
        </w:rPr>
      </w:pPr>
      <w:r>
        <w:rPr>
          <w:rFonts w:ascii="Arial" w:hAnsi="Arial" w:cs="Arial"/>
          <w:b/>
          <w:bCs/>
          <w:sz w:val="20"/>
          <w:szCs w:val="20"/>
        </w:rPr>
        <w:t>CORONA-AUSWIRKUNGEN DEUTLICH ZU SPÜREN</w:t>
      </w:r>
    </w:p>
    <w:p w14:paraId="465237C3" w14:textId="77777777" w:rsidR="00A035D3" w:rsidRDefault="00A035D3" w:rsidP="004C1EFC">
      <w:pPr>
        <w:widowControl w:val="0"/>
        <w:spacing w:after="0"/>
        <w:rPr>
          <w:rFonts w:ascii="Arial" w:hAnsi="Arial" w:cs="Arial"/>
          <w:sz w:val="20"/>
          <w:szCs w:val="20"/>
        </w:rPr>
      </w:pPr>
    </w:p>
    <w:p w14:paraId="5312465E" w14:textId="0CA71493" w:rsidR="00DD4941" w:rsidRDefault="007F3844" w:rsidP="004C1EFC">
      <w:pPr>
        <w:widowControl w:val="0"/>
        <w:spacing w:after="0"/>
        <w:rPr>
          <w:rFonts w:ascii="Arial" w:hAnsi="Arial" w:cs="Arial"/>
          <w:sz w:val="20"/>
          <w:szCs w:val="20"/>
        </w:rPr>
      </w:pPr>
      <w:r>
        <w:rPr>
          <w:rFonts w:ascii="Arial" w:hAnsi="Arial" w:cs="Arial"/>
          <w:sz w:val="20"/>
          <w:szCs w:val="20"/>
        </w:rPr>
        <w:t xml:space="preserve">Ursächlich für den starken Rückgang des Flächenumsatzes ist die Corona-Pandemie und die damit verbundenen Lockdown-Maßnahmen. </w:t>
      </w:r>
      <w:r w:rsidRPr="00E90575">
        <w:rPr>
          <w:rFonts w:ascii="Arial" w:hAnsi="Arial" w:cs="Arial"/>
          <w:b/>
          <w:bCs/>
          <w:sz w:val="20"/>
          <w:szCs w:val="20"/>
        </w:rPr>
        <w:t>GPP-Sprecher Oliver Schön</w:t>
      </w:r>
      <w:r>
        <w:rPr>
          <w:rFonts w:ascii="Arial" w:hAnsi="Arial" w:cs="Arial"/>
          <w:sz w:val="20"/>
          <w:szCs w:val="20"/>
        </w:rPr>
        <w:t>: „</w:t>
      </w:r>
      <w:r w:rsidR="00197861">
        <w:rPr>
          <w:rFonts w:ascii="Arial" w:hAnsi="Arial" w:cs="Arial"/>
          <w:sz w:val="20"/>
          <w:szCs w:val="20"/>
        </w:rPr>
        <w:t>Wir haben an allen Top-7-Standorten einen deutlichen Rückgang der Nachfrage erlebt. Unternehmen agieren bei der Suche nach Büroflächen zögerlich. Vor allem Gesuche, die in der Expansion von Unternehmen begründet sind, liegen weitgehend auf Eis.“ Am deutlichsten ging der Flächenumsatz im Vergleich zum Vorjahreszeitraum in Frankfurt zurück (-55 %). München verzeichnete den niedrigsten Rückgang (-19</w:t>
      </w:r>
      <w:r w:rsidR="0071177B">
        <w:rPr>
          <w:rFonts w:ascii="Arial" w:hAnsi="Arial" w:cs="Arial"/>
          <w:sz w:val="20"/>
          <w:szCs w:val="20"/>
        </w:rPr>
        <w:t xml:space="preserve"> </w:t>
      </w:r>
      <w:r w:rsidR="00197861">
        <w:rPr>
          <w:rFonts w:ascii="Arial" w:hAnsi="Arial" w:cs="Arial"/>
          <w:sz w:val="20"/>
          <w:szCs w:val="20"/>
        </w:rPr>
        <w:t>%).</w:t>
      </w:r>
    </w:p>
    <w:p w14:paraId="7D7D1515" w14:textId="3619DDCB" w:rsidR="00A043D5" w:rsidRDefault="00197861" w:rsidP="004C1EFC">
      <w:pPr>
        <w:widowControl w:val="0"/>
        <w:spacing w:after="0"/>
        <w:rPr>
          <w:rFonts w:ascii="Arial" w:hAnsi="Arial" w:cs="Arial"/>
          <w:sz w:val="20"/>
          <w:szCs w:val="20"/>
        </w:rPr>
      </w:pPr>
      <w:r>
        <w:rPr>
          <w:rFonts w:ascii="Arial" w:hAnsi="Arial" w:cs="Arial"/>
          <w:sz w:val="20"/>
          <w:szCs w:val="20"/>
        </w:rPr>
        <w:lastRenderedPageBreak/>
        <w:t xml:space="preserve">Gleichzeitig </w:t>
      </w:r>
      <w:r w:rsidR="00D92749">
        <w:rPr>
          <w:rFonts w:ascii="Arial" w:hAnsi="Arial" w:cs="Arial"/>
          <w:sz w:val="20"/>
          <w:szCs w:val="20"/>
        </w:rPr>
        <w:t xml:space="preserve">sank die Leerstandsquote nur in Berlin (von 1,6 auf 1,3 %) und in Düsseldorf (von 7,4 auf 6,8 %). In München stagnierte sie bei 1,7 %. An den anderen Standorten nahm das Flächenangebot leicht zu. Oliver Schön: „Im Zuge der Corona-Pandemie haben viele Unternehmen ihren Flächenbedarf überprüft, </w:t>
      </w:r>
      <w:r w:rsidR="000F1FCB">
        <w:rPr>
          <w:rFonts w:ascii="Arial" w:hAnsi="Arial" w:cs="Arial"/>
          <w:sz w:val="20"/>
          <w:szCs w:val="20"/>
        </w:rPr>
        <w:t xml:space="preserve">zeitweise </w:t>
      </w:r>
      <w:r w:rsidR="00D92749">
        <w:rPr>
          <w:rFonts w:ascii="Arial" w:hAnsi="Arial" w:cs="Arial"/>
          <w:sz w:val="20"/>
          <w:szCs w:val="20"/>
        </w:rPr>
        <w:t xml:space="preserve">Homeoffice-Lösungen ausgebaut und teilweise </w:t>
      </w:r>
      <w:r w:rsidR="0015733D">
        <w:rPr>
          <w:rFonts w:ascii="Arial" w:hAnsi="Arial" w:cs="Arial"/>
          <w:sz w:val="20"/>
          <w:szCs w:val="20"/>
        </w:rPr>
        <w:t xml:space="preserve">leider auch Stellen abbauen müssen. Dadurch kommen temporär Untermietflächen auf den Markt. Dieser Trend wird aber unserer Meinung </w:t>
      </w:r>
      <w:proofErr w:type="gramStart"/>
      <w:r w:rsidR="0015733D">
        <w:rPr>
          <w:rFonts w:ascii="Arial" w:hAnsi="Arial" w:cs="Arial"/>
          <w:sz w:val="20"/>
          <w:szCs w:val="20"/>
        </w:rPr>
        <w:t xml:space="preserve">nach </w:t>
      </w:r>
      <w:r w:rsidR="0071177B">
        <w:rPr>
          <w:rFonts w:ascii="Arial" w:hAnsi="Arial" w:cs="Arial"/>
          <w:sz w:val="20"/>
          <w:szCs w:val="20"/>
        </w:rPr>
        <w:t>k</w:t>
      </w:r>
      <w:r w:rsidR="0015733D">
        <w:rPr>
          <w:rFonts w:ascii="Arial" w:hAnsi="Arial" w:cs="Arial"/>
          <w:sz w:val="20"/>
          <w:szCs w:val="20"/>
        </w:rPr>
        <w:t xml:space="preserve">ein </w:t>
      </w:r>
      <w:r w:rsidR="0071177B">
        <w:rPr>
          <w:rFonts w:ascii="Arial" w:hAnsi="Arial" w:cs="Arial"/>
          <w:sz w:val="20"/>
          <w:szCs w:val="20"/>
        </w:rPr>
        <w:t>dauerhaftes</w:t>
      </w:r>
      <w:r w:rsidR="0015733D">
        <w:rPr>
          <w:rFonts w:ascii="Arial" w:hAnsi="Arial" w:cs="Arial"/>
          <w:sz w:val="20"/>
          <w:szCs w:val="20"/>
        </w:rPr>
        <w:t xml:space="preserve"> Phänomen</w:t>
      </w:r>
      <w:proofErr w:type="gramEnd"/>
      <w:r w:rsidR="0015733D">
        <w:rPr>
          <w:rFonts w:ascii="Arial" w:hAnsi="Arial" w:cs="Arial"/>
          <w:sz w:val="20"/>
          <w:szCs w:val="20"/>
        </w:rPr>
        <w:t xml:space="preserve"> sein.“</w:t>
      </w:r>
    </w:p>
    <w:p w14:paraId="1CC1D6C9" w14:textId="53599849" w:rsidR="00A043D5" w:rsidRDefault="00A043D5" w:rsidP="004C1EFC">
      <w:pPr>
        <w:widowControl w:val="0"/>
        <w:spacing w:after="0"/>
        <w:rPr>
          <w:rFonts w:ascii="Arial" w:hAnsi="Arial" w:cs="Arial"/>
          <w:sz w:val="20"/>
          <w:szCs w:val="20"/>
        </w:rPr>
      </w:pPr>
    </w:p>
    <w:p w14:paraId="2F341C5C" w14:textId="2E2A0C41" w:rsidR="00A043D5" w:rsidRPr="002E028B" w:rsidRDefault="00FD45FE" w:rsidP="002E028B">
      <w:pPr>
        <w:widowControl w:val="0"/>
        <w:spacing w:after="0"/>
        <w:jc w:val="center"/>
        <w:rPr>
          <w:rFonts w:ascii="Arial" w:hAnsi="Arial" w:cs="Arial"/>
          <w:b/>
          <w:bCs/>
          <w:sz w:val="20"/>
          <w:szCs w:val="20"/>
        </w:rPr>
      </w:pPr>
      <w:r>
        <w:rPr>
          <w:rFonts w:ascii="Arial" w:hAnsi="Arial" w:cs="Arial"/>
          <w:b/>
          <w:bCs/>
          <w:sz w:val="20"/>
          <w:szCs w:val="20"/>
        </w:rPr>
        <w:t>MEHRERE STÄDTE VERZEICHNEN PREISANSTIEG</w:t>
      </w:r>
    </w:p>
    <w:p w14:paraId="1FB7C3C1" w14:textId="77777777" w:rsidR="006B7430" w:rsidRDefault="006B7430" w:rsidP="004C1EFC">
      <w:pPr>
        <w:widowControl w:val="0"/>
        <w:spacing w:after="0"/>
        <w:rPr>
          <w:rFonts w:ascii="Arial" w:hAnsi="Arial" w:cs="Arial"/>
          <w:sz w:val="20"/>
          <w:szCs w:val="20"/>
        </w:rPr>
      </w:pPr>
    </w:p>
    <w:p w14:paraId="289EBE5D" w14:textId="21D67988" w:rsidR="002E028B" w:rsidRDefault="000F1FCB" w:rsidP="004C1EFC">
      <w:pPr>
        <w:widowControl w:val="0"/>
        <w:spacing w:after="0"/>
        <w:rPr>
          <w:rFonts w:ascii="Arial" w:hAnsi="Arial" w:cs="Arial"/>
          <w:sz w:val="20"/>
          <w:szCs w:val="20"/>
        </w:rPr>
      </w:pPr>
      <w:r>
        <w:rPr>
          <w:rFonts w:ascii="Arial" w:hAnsi="Arial" w:cs="Arial"/>
          <w:sz w:val="20"/>
          <w:szCs w:val="20"/>
        </w:rPr>
        <w:t>Die Durchschnittsmiete</w:t>
      </w:r>
      <w:r w:rsidR="0071177B">
        <w:rPr>
          <w:rFonts w:ascii="Arial" w:hAnsi="Arial" w:cs="Arial"/>
          <w:sz w:val="20"/>
          <w:szCs w:val="20"/>
        </w:rPr>
        <w:t xml:space="preserve"> stieg an sechs der sieben Standorte</w:t>
      </w:r>
      <w:r>
        <w:rPr>
          <w:rFonts w:ascii="Arial" w:hAnsi="Arial" w:cs="Arial"/>
          <w:sz w:val="20"/>
          <w:szCs w:val="20"/>
        </w:rPr>
        <w:t xml:space="preserve">. </w:t>
      </w:r>
      <w:r w:rsidR="00AA614B">
        <w:rPr>
          <w:rFonts w:ascii="Arial" w:hAnsi="Arial" w:cs="Arial"/>
          <w:sz w:val="20"/>
          <w:szCs w:val="20"/>
        </w:rPr>
        <w:t xml:space="preserve">Etwa in Frankfurt um 9 %, was am größten Deal im Projekt FOUR-T1 liegt. </w:t>
      </w:r>
      <w:r w:rsidR="00FD45FE">
        <w:rPr>
          <w:rFonts w:ascii="Arial" w:hAnsi="Arial" w:cs="Arial"/>
          <w:sz w:val="20"/>
          <w:szCs w:val="20"/>
        </w:rPr>
        <w:t>I</w:t>
      </w:r>
      <w:r>
        <w:rPr>
          <w:rFonts w:ascii="Arial" w:hAnsi="Arial" w:cs="Arial"/>
          <w:sz w:val="20"/>
          <w:szCs w:val="20"/>
        </w:rPr>
        <w:t>n Berlin und München gab es mit einem Anstieg um 20 % eine deutliche Steigerung. In der Bundeshauptstadt ist dies durch Anmietungen zu begründen, die bereits vor der Corona-Pandemie angestoßen wurden.</w:t>
      </w:r>
      <w:r w:rsidR="00FD45FE">
        <w:rPr>
          <w:rFonts w:ascii="Arial" w:hAnsi="Arial" w:cs="Arial"/>
          <w:sz w:val="20"/>
          <w:szCs w:val="20"/>
        </w:rPr>
        <w:t xml:space="preserve"> </w:t>
      </w:r>
      <w:r>
        <w:rPr>
          <w:rFonts w:ascii="Arial" w:hAnsi="Arial" w:cs="Arial"/>
          <w:sz w:val="20"/>
          <w:szCs w:val="20"/>
        </w:rPr>
        <w:t>In München lag der deutliche Anstieg</w:t>
      </w:r>
      <w:r w:rsidR="00E90575">
        <w:rPr>
          <w:rFonts w:ascii="Arial" w:hAnsi="Arial" w:cs="Arial"/>
          <w:sz w:val="20"/>
          <w:szCs w:val="20"/>
        </w:rPr>
        <w:t xml:space="preserve"> vor allem</w:t>
      </w:r>
      <w:r>
        <w:rPr>
          <w:rFonts w:ascii="Arial" w:hAnsi="Arial" w:cs="Arial"/>
          <w:sz w:val="20"/>
          <w:szCs w:val="20"/>
        </w:rPr>
        <w:t xml:space="preserve"> an den teuren Großabschlüssen von Amazon </w:t>
      </w:r>
      <w:r w:rsidR="0071177B">
        <w:rPr>
          <w:rFonts w:ascii="Arial" w:hAnsi="Arial" w:cs="Arial"/>
          <w:sz w:val="20"/>
          <w:szCs w:val="20"/>
        </w:rPr>
        <w:t xml:space="preserve">im ersten Quartal </w:t>
      </w:r>
      <w:r>
        <w:rPr>
          <w:rFonts w:ascii="Arial" w:hAnsi="Arial" w:cs="Arial"/>
          <w:sz w:val="20"/>
          <w:szCs w:val="20"/>
        </w:rPr>
        <w:t>und KPMG</w:t>
      </w:r>
      <w:r w:rsidR="0071177B">
        <w:rPr>
          <w:rFonts w:ascii="Arial" w:hAnsi="Arial" w:cs="Arial"/>
          <w:sz w:val="20"/>
          <w:szCs w:val="20"/>
        </w:rPr>
        <w:t xml:space="preserve"> im zweiten</w:t>
      </w:r>
      <w:r>
        <w:rPr>
          <w:rFonts w:ascii="Arial" w:hAnsi="Arial" w:cs="Arial"/>
          <w:sz w:val="20"/>
          <w:szCs w:val="20"/>
        </w:rPr>
        <w:t xml:space="preserve"> (siehe Tabelle).</w:t>
      </w:r>
      <w:r w:rsidR="00AA614B">
        <w:rPr>
          <w:rFonts w:ascii="Arial" w:hAnsi="Arial" w:cs="Arial"/>
          <w:sz w:val="20"/>
          <w:szCs w:val="20"/>
        </w:rPr>
        <w:t xml:space="preserve"> </w:t>
      </w:r>
    </w:p>
    <w:p w14:paraId="31277D0B" w14:textId="52F4D4C1" w:rsidR="000F1FCB" w:rsidRDefault="000F1FCB" w:rsidP="004C1EFC">
      <w:pPr>
        <w:widowControl w:val="0"/>
        <w:spacing w:after="0"/>
        <w:rPr>
          <w:rFonts w:ascii="Arial" w:hAnsi="Arial" w:cs="Arial"/>
          <w:sz w:val="20"/>
          <w:szCs w:val="20"/>
        </w:rPr>
      </w:pPr>
    </w:p>
    <w:p w14:paraId="1592CE14" w14:textId="0E5BDA32" w:rsidR="000F1FCB" w:rsidRDefault="000F1FCB" w:rsidP="004C1EFC">
      <w:pPr>
        <w:widowControl w:val="0"/>
        <w:spacing w:after="0"/>
        <w:rPr>
          <w:rFonts w:ascii="Arial" w:hAnsi="Arial" w:cs="Arial"/>
          <w:sz w:val="20"/>
          <w:szCs w:val="20"/>
        </w:rPr>
      </w:pPr>
      <w:r>
        <w:rPr>
          <w:rFonts w:ascii="Arial" w:hAnsi="Arial" w:cs="Arial"/>
          <w:sz w:val="20"/>
          <w:szCs w:val="20"/>
        </w:rPr>
        <w:t>Bei der Spitzenmiete legte Hamburg mit einem Anstieg um 9 % am deutlichsten zu (von 28 auf 30,50 €/m²/Monat). In Düsseldorf stieg sie am geringsten</w:t>
      </w:r>
      <w:r w:rsidR="0071177B">
        <w:rPr>
          <w:rFonts w:ascii="Arial" w:hAnsi="Arial" w:cs="Arial"/>
          <w:sz w:val="20"/>
          <w:szCs w:val="20"/>
        </w:rPr>
        <w:t xml:space="preserve"> an</w:t>
      </w:r>
      <w:r>
        <w:rPr>
          <w:rFonts w:ascii="Arial" w:hAnsi="Arial" w:cs="Arial"/>
          <w:sz w:val="20"/>
          <w:szCs w:val="20"/>
        </w:rPr>
        <w:t>, liegt nun bei 28,50 €/m²/Monat (+2 %).</w:t>
      </w:r>
    </w:p>
    <w:p w14:paraId="54972A9C" w14:textId="77777777" w:rsidR="000F1FCB" w:rsidRDefault="000F1FCB" w:rsidP="004C1EFC">
      <w:pPr>
        <w:widowControl w:val="0"/>
        <w:spacing w:after="0"/>
        <w:rPr>
          <w:rFonts w:ascii="Arial" w:hAnsi="Arial" w:cs="Arial"/>
          <w:sz w:val="20"/>
          <w:szCs w:val="20"/>
        </w:rPr>
      </w:pPr>
    </w:p>
    <w:p w14:paraId="5BB2BD37" w14:textId="1231EAB7" w:rsidR="00D6747B" w:rsidRPr="00A279C4" w:rsidRDefault="00D6747B" w:rsidP="00F576C0">
      <w:pPr>
        <w:widowControl w:val="0"/>
        <w:spacing w:after="0"/>
        <w:jc w:val="center"/>
        <w:rPr>
          <w:rFonts w:ascii="Arial" w:eastAsiaTheme="minorEastAsia" w:hAnsi="Arial" w:cs="Arial"/>
          <w:b/>
          <w:bCs/>
          <w:sz w:val="20"/>
          <w:szCs w:val="20"/>
          <w:lang w:eastAsia="de-DE"/>
        </w:rPr>
      </w:pPr>
      <w:r w:rsidRPr="00A279C4">
        <w:rPr>
          <w:rFonts w:ascii="Arial" w:eastAsiaTheme="minorEastAsia" w:hAnsi="Arial" w:cs="Arial"/>
          <w:b/>
          <w:bCs/>
          <w:sz w:val="20"/>
          <w:szCs w:val="20"/>
          <w:lang w:eastAsia="de-DE"/>
        </w:rPr>
        <w:t>PROGNOSE</w:t>
      </w:r>
    </w:p>
    <w:p w14:paraId="0B4A2806" w14:textId="77777777" w:rsidR="00D6747B" w:rsidRDefault="00D6747B" w:rsidP="00205F77">
      <w:pPr>
        <w:widowControl w:val="0"/>
        <w:spacing w:after="0"/>
        <w:jc w:val="both"/>
        <w:rPr>
          <w:rFonts w:ascii="Arial" w:eastAsiaTheme="minorEastAsia" w:hAnsi="Arial" w:cs="Arial"/>
          <w:sz w:val="20"/>
          <w:szCs w:val="20"/>
          <w:lang w:eastAsia="de-DE"/>
        </w:rPr>
      </w:pPr>
    </w:p>
    <w:p w14:paraId="28EC8D01" w14:textId="3FD4A775" w:rsidR="00DD4941" w:rsidRDefault="007D3839" w:rsidP="00CA2AE4">
      <w:pPr>
        <w:widowControl w:val="0"/>
        <w:spacing w:after="0"/>
        <w:jc w:val="both"/>
        <w:rPr>
          <w:rFonts w:ascii="Arial" w:eastAsiaTheme="minorEastAsia" w:hAnsi="Arial" w:cs="Arial"/>
          <w:b/>
          <w:bCs/>
          <w:sz w:val="20"/>
          <w:szCs w:val="20"/>
          <w:lang w:eastAsia="de-DE"/>
        </w:rPr>
      </w:pPr>
      <w:r>
        <w:rPr>
          <w:rFonts w:ascii="Arial" w:eastAsiaTheme="minorEastAsia" w:hAnsi="Arial" w:cs="Arial"/>
          <w:b/>
          <w:bCs/>
          <w:sz w:val="20"/>
          <w:szCs w:val="20"/>
          <w:lang w:eastAsia="de-DE"/>
        </w:rPr>
        <w:t>Oliver Schön</w:t>
      </w:r>
      <w:r w:rsidR="00D6747B">
        <w:rPr>
          <w:rFonts w:ascii="Arial" w:eastAsiaTheme="minorEastAsia" w:hAnsi="Arial" w:cs="Arial"/>
          <w:sz w:val="20"/>
          <w:szCs w:val="20"/>
          <w:lang w:eastAsia="de-DE"/>
        </w:rPr>
        <w:t>: „</w:t>
      </w:r>
      <w:r w:rsidR="000F1FCB">
        <w:rPr>
          <w:rFonts w:ascii="Arial" w:eastAsiaTheme="minorEastAsia" w:hAnsi="Arial" w:cs="Arial"/>
          <w:sz w:val="20"/>
          <w:szCs w:val="20"/>
          <w:lang w:eastAsia="de-DE"/>
        </w:rPr>
        <w:t xml:space="preserve">Üblicherweise reagiert der Büromarkt zeitverzögert auf Krisen. </w:t>
      </w:r>
      <w:r w:rsidR="0071177B">
        <w:rPr>
          <w:rFonts w:ascii="Arial" w:eastAsiaTheme="minorEastAsia" w:hAnsi="Arial" w:cs="Arial"/>
          <w:sz w:val="20"/>
          <w:szCs w:val="20"/>
          <w:lang w:eastAsia="de-DE"/>
        </w:rPr>
        <w:t>Erste</w:t>
      </w:r>
      <w:r w:rsidR="000F1FCB">
        <w:rPr>
          <w:rFonts w:ascii="Arial" w:eastAsiaTheme="minorEastAsia" w:hAnsi="Arial" w:cs="Arial"/>
          <w:sz w:val="20"/>
          <w:szCs w:val="20"/>
          <w:lang w:eastAsia="de-DE"/>
        </w:rPr>
        <w:t xml:space="preserve"> Folgen der Corona-Pandemie sind aber sehr unmittelbar zu erkennen. Es kann davon ausgegangen werden, dass der Flächenumsatz 2020 deutlich hinter den Erwartungen zurückbleiben wird. Wir rechnen an den Top-7-Standorten mit rund 2,5 Millionen Quadratmetern zum Jahresende. 2019 waren es rund 3,87 Millionen Quadratmeter.</w:t>
      </w:r>
      <w:r w:rsidR="0071177B">
        <w:rPr>
          <w:rFonts w:ascii="Arial" w:eastAsiaTheme="minorEastAsia" w:hAnsi="Arial" w:cs="Arial"/>
          <w:sz w:val="20"/>
          <w:szCs w:val="20"/>
          <w:lang w:eastAsia="de-DE"/>
        </w:rPr>
        <w:t xml:space="preserve"> Wie und ob sich die aktuelle Situation auch langfristig auf </w:t>
      </w:r>
      <w:r w:rsidR="000F1FCB">
        <w:rPr>
          <w:rFonts w:ascii="Arial" w:eastAsiaTheme="minorEastAsia" w:hAnsi="Arial" w:cs="Arial"/>
          <w:sz w:val="20"/>
          <w:szCs w:val="20"/>
          <w:lang w:eastAsia="de-DE"/>
        </w:rPr>
        <w:t>die Mietpreisentwicklung und d</w:t>
      </w:r>
      <w:r w:rsidR="00CA2AE4">
        <w:rPr>
          <w:rFonts w:ascii="Arial" w:eastAsiaTheme="minorEastAsia" w:hAnsi="Arial" w:cs="Arial"/>
          <w:sz w:val="20"/>
          <w:szCs w:val="20"/>
          <w:lang w:eastAsia="de-DE"/>
        </w:rPr>
        <w:t xml:space="preserve">as Flächenangebot </w:t>
      </w:r>
      <w:r w:rsidR="0071177B">
        <w:rPr>
          <w:rFonts w:ascii="Arial" w:eastAsiaTheme="minorEastAsia" w:hAnsi="Arial" w:cs="Arial"/>
          <w:sz w:val="20"/>
          <w:szCs w:val="20"/>
          <w:lang w:eastAsia="de-DE"/>
        </w:rPr>
        <w:t>auswirken wird, ist noch nicht abzusehen</w:t>
      </w:r>
      <w:bookmarkStart w:id="4" w:name="_GoBack"/>
      <w:bookmarkEnd w:id="4"/>
      <w:r w:rsidR="00CA2AE4">
        <w:rPr>
          <w:rFonts w:ascii="Arial" w:eastAsiaTheme="minorEastAsia" w:hAnsi="Arial" w:cs="Arial"/>
          <w:sz w:val="20"/>
          <w:szCs w:val="20"/>
          <w:lang w:eastAsia="de-DE"/>
        </w:rPr>
        <w:t>. Auch wenn sich mancherorts die Situation ganz langsam wieder normalisiert, dürfte mit einem Nach</w:t>
      </w:r>
      <w:r w:rsidR="00E90575">
        <w:rPr>
          <w:rFonts w:ascii="Arial" w:eastAsiaTheme="minorEastAsia" w:hAnsi="Arial" w:cs="Arial"/>
          <w:sz w:val="20"/>
          <w:szCs w:val="20"/>
          <w:lang w:eastAsia="de-DE"/>
        </w:rPr>
        <w:t>h</w:t>
      </w:r>
      <w:r w:rsidR="00CA2AE4">
        <w:rPr>
          <w:rFonts w:ascii="Arial" w:eastAsiaTheme="minorEastAsia" w:hAnsi="Arial" w:cs="Arial"/>
          <w:sz w:val="20"/>
          <w:szCs w:val="20"/>
          <w:lang w:eastAsia="de-DE"/>
        </w:rPr>
        <w:t>oleffekt am Büromarkt erst 2021 zu rechnen sein.“</w:t>
      </w:r>
    </w:p>
    <w:p w14:paraId="1FD92E0D" w14:textId="77777777" w:rsidR="009F60AA" w:rsidRDefault="009F60AA" w:rsidP="00A279C4">
      <w:pPr>
        <w:widowControl w:val="0"/>
        <w:spacing w:after="0"/>
        <w:jc w:val="center"/>
        <w:rPr>
          <w:rFonts w:ascii="Arial" w:eastAsiaTheme="minorEastAsia" w:hAnsi="Arial" w:cs="Arial"/>
          <w:b/>
          <w:bCs/>
          <w:sz w:val="20"/>
          <w:szCs w:val="20"/>
          <w:lang w:eastAsia="de-DE"/>
        </w:rPr>
      </w:pPr>
    </w:p>
    <w:p w14:paraId="236FBA50" w14:textId="2457B472" w:rsidR="00D6747B" w:rsidRDefault="00A279C4" w:rsidP="00A279C4">
      <w:pPr>
        <w:widowControl w:val="0"/>
        <w:spacing w:after="0"/>
        <w:jc w:val="center"/>
        <w:rPr>
          <w:rFonts w:ascii="Arial" w:eastAsiaTheme="minorEastAsia" w:hAnsi="Arial" w:cs="Arial"/>
          <w:sz w:val="20"/>
          <w:szCs w:val="20"/>
          <w:lang w:eastAsia="de-DE"/>
        </w:rPr>
      </w:pPr>
      <w:r w:rsidRPr="00A279C4">
        <w:rPr>
          <w:rFonts w:ascii="Arial" w:eastAsiaTheme="minorEastAsia" w:hAnsi="Arial" w:cs="Arial"/>
          <w:b/>
          <w:bCs/>
          <w:sz w:val="20"/>
          <w:szCs w:val="20"/>
          <w:lang w:eastAsia="de-DE"/>
        </w:rPr>
        <w:t>ALLE ZAHLEN AUF EINEN BLICK</w:t>
      </w:r>
    </w:p>
    <w:bookmarkEnd w:id="1"/>
    <w:bookmarkEnd w:id="3"/>
    <w:p w14:paraId="35477533" w14:textId="77777777" w:rsidR="001823AA" w:rsidRPr="004D02F0" w:rsidRDefault="001823AA" w:rsidP="00C740FF">
      <w:pPr>
        <w:spacing w:after="0" w:line="240" w:lineRule="auto"/>
        <w:jc w:val="both"/>
        <w:rPr>
          <w:rFonts w:ascii="Arial" w:hAnsi="Arial" w:cs="Arial"/>
          <w:b/>
          <w:sz w:val="20"/>
          <w:szCs w:val="20"/>
        </w:rPr>
      </w:pPr>
    </w:p>
    <w:p w14:paraId="2820E23F" w14:textId="30F9FC7E" w:rsidR="003A0BD4" w:rsidRDefault="003A0BD4" w:rsidP="003A0BD4">
      <w:pPr>
        <w:spacing w:after="0" w:line="240" w:lineRule="auto"/>
        <w:jc w:val="both"/>
        <w:rPr>
          <w:rFonts w:ascii="Arial" w:hAnsi="Arial" w:cs="Arial"/>
          <w:sz w:val="20"/>
          <w:szCs w:val="20"/>
        </w:rPr>
      </w:pPr>
      <w:r>
        <w:rPr>
          <w:rFonts w:ascii="Arial" w:hAnsi="Arial" w:cs="Arial"/>
          <w:b/>
          <w:sz w:val="20"/>
          <w:szCs w:val="20"/>
        </w:rPr>
        <w:t xml:space="preserve">Top bekannte Abschlüsse über </w:t>
      </w:r>
      <w:r w:rsidR="007D7068">
        <w:rPr>
          <w:rFonts w:ascii="Arial" w:hAnsi="Arial" w:cs="Arial"/>
          <w:b/>
          <w:sz w:val="20"/>
          <w:szCs w:val="20"/>
        </w:rPr>
        <w:t>5</w:t>
      </w:r>
      <w:r>
        <w:rPr>
          <w:rFonts w:ascii="Arial" w:hAnsi="Arial" w:cs="Arial"/>
          <w:b/>
          <w:sz w:val="20"/>
          <w:szCs w:val="20"/>
        </w:rPr>
        <w:t>.000 m² | Top-7-Standorte | 1</w:t>
      </w:r>
      <w:r w:rsidR="00DD4941">
        <w:rPr>
          <w:rFonts w:ascii="Arial" w:hAnsi="Arial" w:cs="Arial"/>
          <w:b/>
          <w:sz w:val="20"/>
          <w:szCs w:val="20"/>
        </w:rPr>
        <w:t>.-2</w:t>
      </w:r>
      <w:r>
        <w:rPr>
          <w:rFonts w:ascii="Arial" w:hAnsi="Arial" w:cs="Arial"/>
          <w:b/>
          <w:sz w:val="20"/>
          <w:szCs w:val="20"/>
        </w:rPr>
        <w:t>. Quartal 20</w:t>
      </w:r>
      <w:r w:rsidR="00CD0A90">
        <w:rPr>
          <w:rFonts w:ascii="Arial" w:hAnsi="Arial" w:cs="Arial"/>
          <w:b/>
          <w:sz w:val="20"/>
          <w:szCs w:val="20"/>
        </w:rPr>
        <w:t>20</w:t>
      </w:r>
    </w:p>
    <w:tbl>
      <w:tblPr>
        <w:tblStyle w:val="Tabellenraster"/>
        <w:tblW w:w="5000" w:type="pct"/>
        <w:tblLook w:val="04A0" w:firstRow="1" w:lastRow="0" w:firstColumn="1" w:lastColumn="0" w:noHBand="0" w:noVBand="1"/>
      </w:tblPr>
      <w:tblGrid>
        <w:gridCol w:w="865"/>
        <w:gridCol w:w="3666"/>
        <w:gridCol w:w="3527"/>
        <w:gridCol w:w="1004"/>
      </w:tblGrid>
      <w:tr w:rsidR="003A0BD4" w14:paraId="2227A3DF" w14:textId="77777777" w:rsidTr="003A0BD4">
        <w:trPr>
          <w:trHeight w:val="227"/>
        </w:trPr>
        <w:tc>
          <w:tcPr>
            <w:tcW w:w="477" w:type="pct"/>
            <w:tcBorders>
              <w:top w:val="single" w:sz="4" w:space="0" w:color="auto"/>
              <w:left w:val="single" w:sz="4" w:space="0" w:color="auto"/>
              <w:bottom w:val="single" w:sz="4" w:space="0" w:color="auto"/>
              <w:right w:val="single" w:sz="4" w:space="0" w:color="auto"/>
            </w:tcBorders>
            <w:vAlign w:val="center"/>
            <w:hideMark/>
          </w:tcPr>
          <w:p w14:paraId="10944316" w14:textId="77777777" w:rsidR="003A0BD4" w:rsidRDefault="003A0BD4">
            <w:pPr>
              <w:widowControl w:val="0"/>
              <w:jc w:val="center"/>
              <w:rPr>
                <w:rFonts w:ascii="Arial" w:hAnsi="Arial" w:cs="Arial"/>
                <w:b/>
                <w:sz w:val="16"/>
                <w:szCs w:val="16"/>
              </w:rPr>
            </w:pPr>
            <w:r>
              <w:rPr>
                <w:rFonts w:ascii="Arial" w:hAnsi="Arial" w:cs="Arial"/>
                <w:b/>
                <w:sz w:val="16"/>
                <w:szCs w:val="16"/>
              </w:rPr>
              <w:t>Stadt</w:t>
            </w:r>
          </w:p>
        </w:tc>
        <w:tc>
          <w:tcPr>
            <w:tcW w:w="2023" w:type="pct"/>
            <w:tcBorders>
              <w:top w:val="single" w:sz="4" w:space="0" w:color="auto"/>
              <w:left w:val="single" w:sz="4" w:space="0" w:color="auto"/>
              <w:bottom w:val="single" w:sz="4" w:space="0" w:color="auto"/>
              <w:right w:val="single" w:sz="4" w:space="0" w:color="auto"/>
            </w:tcBorders>
            <w:vAlign w:val="center"/>
            <w:hideMark/>
          </w:tcPr>
          <w:p w14:paraId="22DE5F50" w14:textId="77777777" w:rsidR="003A0BD4" w:rsidRDefault="003A0BD4">
            <w:pPr>
              <w:widowControl w:val="0"/>
              <w:jc w:val="center"/>
              <w:rPr>
                <w:rFonts w:ascii="Arial" w:hAnsi="Arial" w:cs="Arial"/>
                <w:b/>
                <w:sz w:val="16"/>
                <w:szCs w:val="16"/>
              </w:rPr>
            </w:pPr>
            <w:r>
              <w:rPr>
                <w:rFonts w:ascii="Arial" w:hAnsi="Arial" w:cs="Arial"/>
                <w:b/>
                <w:sz w:val="16"/>
                <w:szCs w:val="16"/>
              </w:rPr>
              <w:t>Projekt/Objekt</w:t>
            </w:r>
          </w:p>
        </w:tc>
        <w:tc>
          <w:tcPr>
            <w:tcW w:w="1946" w:type="pct"/>
            <w:tcBorders>
              <w:top w:val="single" w:sz="4" w:space="0" w:color="auto"/>
              <w:left w:val="single" w:sz="4" w:space="0" w:color="auto"/>
              <w:bottom w:val="single" w:sz="4" w:space="0" w:color="auto"/>
              <w:right w:val="single" w:sz="4" w:space="0" w:color="auto"/>
            </w:tcBorders>
            <w:vAlign w:val="center"/>
            <w:hideMark/>
          </w:tcPr>
          <w:p w14:paraId="47FB3C01" w14:textId="77777777" w:rsidR="003A0BD4" w:rsidRDefault="003A0BD4">
            <w:pPr>
              <w:widowControl w:val="0"/>
              <w:jc w:val="center"/>
              <w:rPr>
                <w:rFonts w:ascii="Arial" w:hAnsi="Arial" w:cs="Arial"/>
                <w:b/>
                <w:sz w:val="16"/>
                <w:szCs w:val="16"/>
              </w:rPr>
            </w:pPr>
            <w:r>
              <w:rPr>
                <w:rFonts w:ascii="Arial" w:hAnsi="Arial" w:cs="Arial"/>
                <w:b/>
                <w:sz w:val="16"/>
                <w:szCs w:val="16"/>
              </w:rPr>
              <w:t>Mieter/Eigennutzer</w:t>
            </w:r>
          </w:p>
        </w:tc>
        <w:tc>
          <w:tcPr>
            <w:tcW w:w="554" w:type="pct"/>
            <w:tcBorders>
              <w:top w:val="single" w:sz="4" w:space="0" w:color="auto"/>
              <w:left w:val="single" w:sz="4" w:space="0" w:color="auto"/>
              <w:bottom w:val="single" w:sz="4" w:space="0" w:color="auto"/>
              <w:right w:val="single" w:sz="4" w:space="0" w:color="auto"/>
            </w:tcBorders>
            <w:vAlign w:val="center"/>
            <w:hideMark/>
          </w:tcPr>
          <w:p w14:paraId="0C39D832" w14:textId="77777777" w:rsidR="003A0BD4" w:rsidRDefault="003A0BD4">
            <w:pPr>
              <w:widowControl w:val="0"/>
              <w:jc w:val="center"/>
              <w:rPr>
                <w:rFonts w:ascii="Arial" w:hAnsi="Arial" w:cs="Arial"/>
                <w:b/>
                <w:sz w:val="16"/>
                <w:szCs w:val="16"/>
              </w:rPr>
            </w:pPr>
            <w:r>
              <w:rPr>
                <w:rFonts w:ascii="Arial" w:hAnsi="Arial" w:cs="Arial"/>
                <w:b/>
                <w:sz w:val="16"/>
                <w:szCs w:val="16"/>
              </w:rPr>
              <w:t xml:space="preserve">Mietfläche </w:t>
            </w:r>
            <w:r>
              <w:rPr>
                <w:rFonts w:ascii="Arial" w:hAnsi="Arial" w:cs="Arial"/>
                <w:sz w:val="16"/>
                <w:szCs w:val="16"/>
              </w:rPr>
              <w:t>(ca. m²)</w:t>
            </w:r>
          </w:p>
        </w:tc>
      </w:tr>
      <w:tr w:rsidR="00A4078F" w14:paraId="6B113FF8" w14:textId="77777777" w:rsidTr="003A0BD4">
        <w:trPr>
          <w:trHeight w:val="227"/>
        </w:trPr>
        <w:tc>
          <w:tcPr>
            <w:tcW w:w="477" w:type="pct"/>
            <w:tcBorders>
              <w:top w:val="single" w:sz="4" w:space="0" w:color="auto"/>
              <w:left w:val="single" w:sz="4" w:space="0" w:color="auto"/>
              <w:bottom w:val="single" w:sz="4" w:space="0" w:color="auto"/>
              <w:right w:val="single" w:sz="4" w:space="0" w:color="auto"/>
            </w:tcBorders>
            <w:vAlign w:val="center"/>
          </w:tcPr>
          <w:p w14:paraId="2A077193" w14:textId="2A0D5CC6" w:rsidR="00A4078F" w:rsidRPr="001D6864" w:rsidRDefault="00A4078F">
            <w:pPr>
              <w:widowControl w:val="0"/>
              <w:jc w:val="center"/>
              <w:rPr>
                <w:rFonts w:ascii="Arial" w:hAnsi="Arial" w:cs="Arial"/>
                <w:bCs/>
                <w:sz w:val="16"/>
                <w:szCs w:val="16"/>
              </w:rPr>
            </w:pPr>
            <w:r>
              <w:rPr>
                <w:rFonts w:ascii="Arial" w:hAnsi="Arial" w:cs="Arial"/>
                <w:bCs/>
                <w:sz w:val="16"/>
                <w:szCs w:val="16"/>
              </w:rPr>
              <w:t>BER</w:t>
            </w:r>
          </w:p>
        </w:tc>
        <w:tc>
          <w:tcPr>
            <w:tcW w:w="2023" w:type="pct"/>
            <w:tcBorders>
              <w:top w:val="single" w:sz="4" w:space="0" w:color="auto"/>
              <w:left w:val="single" w:sz="4" w:space="0" w:color="auto"/>
              <w:bottom w:val="single" w:sz="4" w:space="0" w:color="auto"/>
              <w:right w:val="single" w:sz="4" w:space="0" w:color="auto"/>
            </w:tcBorders>
            <w:vAlign w:val="center"/>
          </w:tcPr>
          <w:p w14:paraId="7A9CE758" w14:textId="4B0F6BCE" w:rsidR="00A4078F" w:rsidRPr="001D6864" w:rsidRDefault="00A4078F">
            <w:pPr>
              <w:widowControl w:val="0"/>
              <w:jc w:val="center"/>
              <w:rPr>
                <w:rFonts w:ascii="Arial" w:hAnsi="Arial" w:cs="Arial"/>
                <w:bCs/>
                <w:sz w:val="16"/>
                <w:szCs w:val="16"/>
              </w:rPr>
            </w:pPr>
            <w:r>
              <w:rPr>
                <w:rFonts w:ascii="Arial" w:hAnsi="Arial" w:cs="Arial"/>
                <w:bCs/>
                <w:sz w:val="16"/>
                <w:szCs w:val="16"/>
              </w:rPr>
              <w:t>„</w:t>
            </w:r>
            <w:proofErr w:type="spellStart"/>
            <w:r>
              <w:rPr>
                <w:rFonts w:ascii="Arial" w:hAnsi="Arial" w:cs="Arial"/>
                <w:bCs/>
                <w:sz w:val="16"/>
                <w:szCs w:val="16"/>
              </w:rPr>
              <w:t>Cule</w:t>
            </w:r>
            <w:proofErr w:type="spellEnd"/>
            <w:r>
              <w:rPr>
                <w:rFonts w:ascii="Arial" w:hAnsi="Arial" w:cs="Arial"/>
                <w:bCs/>
                <w:sz w:val="16"/>
                <w:szCs w:val="16"/>
              </w:rPr>
              <w:t>“, An den Treptowers 3</w:t>
            </w:r>
          </w:p>
        </w:tc>
        <w:tc>
          <w:tcPr>
            <w:tcW w:w="1946" w:type="pct"/>
            <w:tcBorders>
              <w:top w:val="single" w:sz="4" w:space="0" w:color="auto"/>
              <w:left w:val="single" w:sz="4" w:space="0" w:color="auto"/>
              <w:bottom w:val="single" w:sz="4" w:space="0" w:color="auto"/>
              <w:right w:val="single" w:sz="4" w:space="0" w:color="auto"/>
            </w:tcBorders>
            <w:vAlign w:val="center"/>
          </w:tcPr>
          <w:p w14:paraId="70641E17" w14:textId="6F1F7AC9" w:rsidR="00A4078F" w:rsidRPr="001D6864" w:rsidRDefault="00A4078F">
            <w:pPr>
              <w:widowControl w:val="0"/>
              <w:jc w:val="center"/>
              <w:rPr>
                <w:rFonts w:ascii="Arial" w:hAnsi="Arial" w:cs="Arial"/>
                <w:bCs/>
                <w:sz w:val="16"/>
                <w:szCs w:val="16"/>
              </w:rPr>
            </w:pPr>
            <w:r>
              <w:rPr>
                <w:rFonts w:ascii="Arial" w:hAnsi="Arial" w:cs="Arial"/>
                <w:bCs/>
                <w:sz w:val="16"/>
                <w:szCs w:val="16"/>
              </w:rPr>
              <w:t>Deutsche Rentenversicherung Bund</w:t>
            </w:r>
          </w:p>
        </w:tc>
        <w:tc>
          <w:tcPr>
            <w:tcW w:w="554" w:type="pct"/>
            <w:tcBorders>
              <w:top w:val="single" w:sz="4" w:space="0" w:color="auto"/>
              <w:left w:val="single" w:sz="4" w:space="0" w:color="auto"/>
              <w:bottom w:val="single" w:sz="4" w:space="0" w:color="auto"/>
              <w:right w:val="single" w:sz="4" w:space="0" w:color="auto"/>
            </w:tcBorders>
            <w:vAlign w:val="center"/>
          </w:tcPr>
          <w:p w14:paraId="4BE353C3" w14:textId="29C7A5BE" w:rsidR="00A4078F" w:rsidRPr="001D6864" w:rsidRDefault="00A4078F">
            <w:pPr>
              <w:widowControl w:val="0"/>
              <w:jc w:val="center"/>
              <w:rPr>
                <w:rFonts w:ascii="Arial" w:hAnsi="Arial" w:cs="Arial"/>
                <w:bCs/>
                <w:sz w:val="16"/>
                <w:szCs w:val="16"/>
              </w:rPr>
            </w:pPr>
            <w:r>
              <w:rPr>
                <w:rFonts w:ascii="Arial" w:hAnsi="Arial" w:cs="Arial"/>
                <w:bCs/>
                <w:sz w:val="16"/>
                <w:szCs w:val="16"/>
              </w:rPr>
              <w:t>84.300</w:t>
            </w:r>
          </w:p>
        </w:tc>
      </w:tr>
      <w:tr w:rsidR="001D6864" w14:paraId="4026BA19" w14:textId="77777777" w:rsidTr="003A0BD4">
        <w:trPr>
          <w:trHeight w:val="227"/>
        </w:trPr>
        <w:tc>
          <w:tcPr>
            <w:tcW w:w="477" w:type="pct"/>
            <w:tcBorders>
              <w:top w:val="single" w:sz="4" w:space="0" w:color="auto"/>
              <w:left w:val="single" w:sz="4" w:space="0" w:color="auto"/>
              <w:bottom w:val="single" w:sz="4" w:space="0" w:color="auto"/>
              <w:right w:val="single" w:sz="4" w:space="0" w:color="auto"/>
            </w:tcBorders>
            <w:vAlign w:val="center"/>
          </w:tcPr>
          <w:p w14:paraId="1EF82A7B" w14:textId="7275DB93" w:rsidR="001D6864" w:rsidRPr="001D6864" w:rsidRDefault="001D6864">
            <w:pPr>
              <w:widowControl w:val="0"/>
              <w:jc w:val="center"/>
              <w:rPr>
                <w:rFonts w:ascii="Arial" w:hAnsi="Arial" w:cs="Arial"/>
                <w:bCs/>
                <w:sz w:val="16"/>
                <w:szCs w:val="16"/>
              </w:rPr>
            </w:pPr>
            <w:r w:rsidRPr="001D6864">
              <w:rPr>
                <w:rFonts w:ascii="Arial" w:hAnsi="Arial" w:cs="Arial"/>
                <w:bCs/>
                <w:sz w:val="16"/>
                <w:szCs w:val="16"/>
              </w:rPr>
              <w:t>MUC</w:t>
            </w:r>
          </w:p>
        </w:tc>
        <w:tc>
          <w:tcPr>
            <w:tcW w:w="2023" w:type="pct"/>
            <w:tcBorders>
              <w:top w:val="single" w:sz="4" w:space="0" w:color="auto"/>
              <w:left w:val="single" w:sz="4" w:space="0" w:color="auto"/>
              <w:bottom w:val="single" w:sz="4" w:space="0" w:color="auto"/>
              <w:right w:val="single" w:sz="4" w:space="0" w:color="auto"/>
            </w:tcBorders>
            <w:vAlign w:val="center"/>
          </w:tcPr>
          <w:p w14:paraId="318264C3" w14:textId="21C4D5D0" w:rsidR="001D6864" w:rsidRPr="001D6864" w:rsidRDefault="001D6864">
            <w:pPr>
              <w:widowControl w:val="0"/>
              <w:jc w:val="center"/>
              <w:rPr>
                <w:rFonts w:ascii="Arial" w:hAnsi="Arial" w:cs="Arial"/>
                <w:bCs/>
                <w:sz w:val="16"/>
                <w:szCs w:val="16"/>
              </w:rPr>
            </w:pPr>
            <w:proofErr w:type="spellStart"/>
            <w:r w:rsidRPr="001D6864">
              <w:rPr>
                <w:rFonts w:ascii="Arial" w:hAnsi="Arial" w:cs="Arial"/>
                <w:bCs/>
                <w:sz w:val="16"/>
                <w:szCs w:val="16"/>
              </w:rPr>
              <w:t>Lyonel</w:t>
            </w:r>
            <w:proofErr w:type="spellEnd"/>
            <w:r w:rsidRPr="001D6864">
              <w:rPr>
                <w:rFonts w:ascii="Arial" w:hAnsi="Arial" w:cs="Arial"/>
                <w:bCs/>
                <w:sz w:val="16"/>
                <w:szCs w:val="16"/>
              </w:rPr>
              <w:t>-Feininger-Straße/Anni-Albers-Straße</w:t>
            </w:r>
          </w:p>
        </w:tc>
        <w:tc>
          <w:tcPr>
            <w:tcW w:w="1946" w:type="pct"/>
            <w:tcBorders>
              <w:top w:val="single" w:sz="4" w:space="0" w:color="auto"/>
              <w:left w:val="single" w:sz="4" w:space="0" w:color="auto"/>
              <w:bottom w:val="single" w:sz="4" w:space="0" w:color="auto"/>
              <w:right w:val="single" w:sz="4" w:space="0" w:color="auto"/>
            </w:tcBorders>
            <w:vAlign w:val="center"/>
          </w:tcPr>
          <w:p w14:paraId="72604987" w14:textId="0EFFE491" w:rsidR="001D6864" w:rsidRPr="001D6864" w:rsidRDefault="001D6864">
            <w:pPr>
              <w:widowControl w:val="0"/>
              <w:jc w:val="center"/>
              <w:rPr>
                <w:rFonts w:ascii="Arial" w:hAnsi="Arial" w:cs="Arial"/>
                <w:bCs/>
                <w:sz w:val="16"/>
                <w:szCs w:val="16"/>
              </w:rPr>
            </w:pPr>
            <w:r w:rsidRPr="001D6864">
              <w:rPr>
                <w:rFonts w:ascii="Arial" w:hAnsi="Arial" w:cs="Arial"/>
                <w:bCs/>
                <w:sz w:val="16"/>
                <w:szCs w:val="16"/>
              </w:rPr>
              <w:t>Amazon</w:t>
            </w:r>
          </w:p>
        </w:tc>
        <w:tc>
          <w:tcPr>
            <w:tcW w:w="554" w:type="pct"/>
            <w:tcBorders>
              <w:top w:val="single" w:sz="4" w:space="0" w:color="auto"/>
              <w:left w:val="single" w:sz="4" w:space="0" w:color="auto"/>
              <w:bottom w:val="single" w:sz="4" w:space="0" w:color="auto"/>
              <w:right w:val="single" w:sz="4" w:space="0" w:color="auto"/>
            </w:tcBorders>
            <w:vAlign w:val="center"/>
          </w:tcPr>
          <w:p w14:paraId="72F1C530" w14:textId="7E8CFD4C" w:rsidR="001D6864" w:rsidRPr="001D6864" w:rsidRDefault="001D6864">
            <w:pPr>
              <w:widowControl w:val="0"/>
              <w:jc w:val="center"/>
              <w:rPr>
                <w:rFonts w:ascii="Arial" w:hAnsi="Arial" w:cs="Arial"/>
                <w:bCs/>
                <w:sz w:val="16"/>
                <w:szCs w:val="16"/>
              </w:rPr>
            </w:pPr>
            <w:r w:rsidRPr="001D6864">
              <w:rPr>
                <w:rFonts w:ascii="Arial" w:hAnsi="Arial" w:cs="Arial"/>
                <w:bCs/>
                <w:sz w:val="16"/>
                <w:szCs w:val="16"/>
              </w:rPr>
              <w:t>34.000</w:t>
            </w:r>
          </w:p>
        </w:tc>
      </w:tr>
      <w:tr w:rsidR="0064195A" w14:paraId="0211064F" w14:textId="77777777" w:rsidTr="003A0BD4">
        <w:trPr>
          <w:trHeight w:val="227"/>
        </w:trPr>
        <w:tc>
          <w:tcPr>
            <w:tcW w:w="477" w:type="pct"/>
            <w:tcBorders>
              <w:top w:val="single" w:sz="4" w:space="0" w:color="auto"/>
              <w:left w:val="single" w:sz="4" w:space="0" w:color="auto"/>
              <w:bottom w:val="single" w:sz="4" w:space="0" w:color="auto"/>
              <w:right w:val="single" w:sz="4" w:space="0" w:color="auto"/>
            </w:tcBorders>
            <w:vAlign w:val="center"/>
          </w:tcPr>
          <w:p w14:paraId="10D8B762" w14:textId="6E138E52" w:rsidR="0064195A" w:rsidRPr="001D6864" w:rsidRDefault="0064195A" w:rsidP="0064195A">
            <w:pPr>
              <w:widowControl w:val="0"/>
              <w:jc w:val="center"/>
              <w:rPr>
                <w:rFonts w:ascii="Arial" w:hAnsi="Arial" w:cs="Arial"/>
                <w:bCs/>
                <w:sz w:val="16"/>
                <w:szCs w:val="16"/>
              </w:rPr>
            </w:pPr>
            <w:r>
              <w:rPr>
                <w:rFonts w:ascii="Arial" w:hAnsi="Arial" w:cs="Arial"/>
                <w:bCs/>
                <w:sz w:val="16"/>
                <w:szCs w:val="16"/>
              </w:rPr>
              <w:t>MUC</w:t>
            </w:r>
          </w:p>
        </w:tc>
        <w:tc>
          <w:tcPr>
            <w:tcW w:w="2023" w:type="pct"/>
            <w:tcBorders>
              <w:top w:val="single" w:sz="4" w:space="0" w:color="auto"/>
              <w:left w:val="single" w:sz="4" w:space="0" w:color="auto"/>
              <w:bottom w:val="single" w:sz="4" w:space="0" w:color="auto"/>
              <w:right w:val="single" w:sz="4" w:space="0" w:color="auto"/>
            </w:tcBorders>
            <w:vAlign w:val="center"/>
          </w:tcPr>
          <w:p w14:paraId="64FFF168" w14:textId="7F47DA85" w:rsidR="0064195A" w:rsidRPr="001D6864" w:rsidRDefault="0064195A" w:rsidP="0064195A">
            <w:pPr>
              <w:widowControl w:val="0"/>
              <w:jc w:val="center"/>
              <w:rPr>
                <w:rFonts w:ascii="Arial" w:hAnsi="Arial" w:cs="Arial"/>
                <w:bCs/>
                <w:sz w:val="16"/>
                <w:szCs w:val="16"/>
              </w:rPr>
            </w:pPr>
            <w:r>
              <w:rPr>
                <w:rFonts w:ascii="Arial" w:hAnsi="Arial" w:cs="Arial"/>
                <w:bCs/>
                <w:sz w:val="16"/>
                <w:szCs w:val="16"/>
              </w:rPr>
              <w:t>„</w:t>
            </w:r>
            <w:proofErr w:type="spellStart"/>
            <w:r>
              <w:rPr>
                <w:rFonts w:ascii="Arial" w:hAnsi="Arial" w:cs="Arial"/>
                <w:bCs/>
                <w:sz w:val="16"/>
                <w:szCs w:val="16"/>
              </w:rPr>
              <w:t>Optineo</w:t>
            </w:r>
            <w:proofErr w:type="spellEnd"/>
            <w:r>
              <w:rPr>
                <w:rFonts w:ascii="Arial" w:hAnsi="Arial" w:cs="Arial"/>
                <w:bCs/>
                <w:sz w:val="16"/>
                <w:szCs w:val="16"/>
              </w:rPr>
              <w:t>“, Friedenstraße 10</w:t>
            </w:r>
          </w:p>
        </w:tc>
        <w:tc>
          <w:tcPr>
            <w:tcW w:w="1946" w:type="pct"/>
            <w:tcBorders>
              <w:top w:val="single" w:sz="4" w:space="0" w:color="auto"/>
              <w:left w:val="single" w:sz="4" w:space="0" w:color="auto"/>
              <w:bottom w:val="single" w:sz="4" w:space="0" w:color="auto"/>
              <w:right w:val="single" w:sz="4" w:space="0" w:color="auto"/>
            </w:tcBorders>
            <w:vAlign w:val="center"/>
          </w:tcPr>
          <w:p w14:paraId="49DD1592" w14:textId="02970E8A" w:rsidR="0064195A" w:rsidRPr="001D6864" w:rsidRDefault="0064195A" w:rsidP="0064195A">
            <w:pPr>
              <w:widowControl w:val="0"/>
              <w:jc w:val="center"/>
              <w:rPr>
                <w:rFonts w:ascii="Arial" w:hAnsi="Arial" w:cs="Arial"/>
                <w:bCs/>
                <w:sz w:val="16"/>
                <w:szCs w:val="16"/>
              </w:rPr>
            </w:pPr>
            <w:r>
              <w:rPr>
                <w:rFonts w:ascii="Arial" w:hAnsi="Arial" w:cs="Arial"/>
                <w:bCs/>
                <w:sz w:val="16"/>
                <w:szCs w:val="16"/>
              </w:rPr>
              <w:t>KPMG</w:t>
            </w:r>
          </w:p>
        </w:tc>
        <w:tc>
          <w:tcPr>
            <w:tcW w:w="554" w:type="pct"/>
            <w:tcBorders>
              <w:top w:val="single" w:sz="4" w:space="0" w:color="auto"/>
              <w:left w:val="single" w:sz="4" w:space="0" w:color="auto"/>
              <w:bottom w:val="single" w:sz="4" w:space="0" w:color="auto"/>
              <w:right w:val="single" w:sz="4" w:space="0" w:color="auto"/>
            </w:tcBorders>
            <w:vAlign w:val="center"/>
          </w:tcPr>
          <w:p w14:paraId="4191665E" w14:textId="78157F19" w:rsidR="0064195A" w:rsidRPr="001D6864" w:rsidRDefault="0064195A" w:rsidP="0064195A">
            <w:pPr>
              <w:widowControl w:val="0"/>
              <w:jc w:val="center"/>
              <w:rPr>
                <w:rFonts w:ascii="Arial" w:hAnsi="Arial" w:cs="Arial"/>
                <w:bCs/>
                <w:sz w:val="16"/>
                <w:szCs w:val="16"/>
              </w:rPr>
            </w:pPr>
            <w:r>
              <w:rPr>
                <w:rFonts w:ascii="Arial" w:hAnsi="Arial" w:cs="Arial"/>
                <w:bCs/>
                <w:sz w:val="16"/>
                <w:szCs w:val="16"/>
              </w:rPr>
              <w:t>32.000</w:t>
            </w:r>
          </w:p>
        </w:tc>
      </w:tr>
      <w:tr w:rsidR="0064195A" w14:paraId="4C96267E" w14:textId="77777777" w:rsidTr="003A0BD4">
        <w:trPr>
          <w:trHeight w:val="227"/>
        </w:trPr>
        <w:tc>
          <w:tcPr>
            <w:tcW w:w="477" w:type="pct"/>
            <w:tcBorders>
              <w:top w:val="single" w:sz="4" w:space="0" w:color="auto"/>
              <w:left w:val="single" w:sz="4" w:space="0" w:color="auto"/>
              <w:bottom w:val="single" w:sz="4" w:space="0" w:color="auto"/>
              <w:right w:val="single" w:sz="4" w:space="0" w:color="auto"/>
            </w:tcBorders>
            <w:vAlign w:val="center"/>
          </w:tcPr>
          <w:p w14:paraId="142345A5" w14:textId="53AEED26" w:rsidR="0064195A" w:rsidRPr="007D3839" w:rsidRDefault="0064195A" w:rsidP="0064195A">
            <w:pPr>
              <w:widowControl w:val="0"/>
              <w:jc w:val="center"/>
              <w:rPr>
                <w:rFonts w:ascii="Arial" w:hAnsi="Arial" w:cs="Arial"/>
                <w:bCs/>
                <w:sz w:val="16"/>
                <w:szCs w:val="16"/>
              </w:rPr>
            </w:pPr>
            <w:r>
              <w:rPr>
                <w:rFonts w:ascii="Arial" w:hAnsi="Arial" w:cs="Arial"/>
                <w:bCs/>
                <w:sz w:val="16"/>
                <w:szCs w:val="16"/>
              </w:rPr>
              <w:t>DUS</w:t>
            </w:r>
          </w:p>
        </w:tc>
        <w:tc>
          <w:tcPr>
            <w:tcW w:w="2023" w:type="pct"/>
            <w:tcBorders>
              <w:top w:val="single" w:sz="4" w:space="0" w:color="auto"/>
              <w:left w:val="single" w:sz="4" w:space="0" w:color="auto"/>
              <w:bottom w:val="single" w:sz="4" w:space="0" w:color="auto"/>
              <w:right w:val="single" w:sz="4" w:space="0" w:color="auto"/>
            </w:tcBorders>
            <w:vAlign w:val="center"/>
          </w:tcPr>
          <w:p w14:paraId="28339426" w14:textId="7DABB36A" w:rsidR="0064195A" w:rsidRPr="007D3839" w:rsidRDefault="0064195A" w:rsidP="0064195A">
            <w:pPr>
              <w:widowControl w:val="0"/>
              <w:jc w:val="center"/>
              <w:rPr>
                <w:rFonts w:ascii="Arial" w:hAnsi="Arial" w:cs="Arial"/>
                <w:bCs/>
                <w:sz w:val="16"/>
                <w:szCs w:val="16"/>
              </w:rPr>
            </w:pPr>
            <w:r>
              <w:rPr>
                <w:rFonts w:ascii="Arial" w:hAnsi="Arial" w:cs="Arial"/>
                <w:bCs/>
                <w:sz w:val="16"/>
                <w:szCs w:val="16"/>
              </w:rPr>
              <w:t>Moskauer Straße 19</w:t>
            </w:r>
          </w:p>
        </w:tc>
        <w:tc>
          <w:tcPr>
            <w:tcW w:w="1946" w:type="pct"/>
            <w:tcBorders>
              <w:top w:val="single" w:sz="4" w:space="0" w:color="auto"/>
              <w:left w:val="single" w:sz="4" w:space="0" w:color="auto"/>
              <w:bottom w:val="single" w:sz="4" w:space="0" w:color="auto"/>
              <w:right w:val="single" w:sz="4" w:space="0" w:color="auto"/>
            </w:tcBorders>
            <w:vAlign w:val="center"/>
          </w:tcPr>
          <w:p w14:paraId="5DC73B09" w14:textId="32840C93" w:rsidR="0064195A" w:rsidRPr="007D3839" w:rsidRDefault="0064195A" w:rsidP="0064195A">
            <w:pPr>
              <w:widowControl w:val="0"/>
              <w:jc w:val="center"/>
              <w:rPr>
                <w:rFonts w:ascii="Arial" w:hAnsi="Arial" w:cs="Arial"/>
                <w:bCs/>
                <w:sz w:val="16"/>
                <w:szCs w:val="16"/>
              </w:rPr>
            </w:pPr>
            <w:r>
              <w:rPr>
                <w:rFonts w:ascii="Arial" w:hAnsi="Arial" w:cs="Arial"/>
                <w:bCs/>
                <w:sz w:val="16"/>
                <w:szCs w:val="16"/>
              </w:rPr>
              <w:t>Oberfinanzdirektion</w:t>
            </w:r>
          </w:p>
        </w:tc>
        <w:tc>
          <w:tcPr>
            <w:tcW w:w="554" w:type="pct"/>
            <w:tcBorders>
              <w:top w:val="single" w:sz="4" w:space="0" w:color="auto"/>
              <w:left w:val="single" w:sz="4" w:space="0" w:color="auto"/>
              <w:bottom w:val="single" w:sz="4" w:space="0" w:color="auto"/>
              <w:right w:val="single" w:sz="4" w:space="0" w:color="auto"/>
            </w:tcBorders>
            <w:vAlign w:val="center"/>
          </w:tcPr>
          <w:p w14:paraId="3F30C22E" w14:textId="50FD1A29" w:rsidR="0064195A" w:rsidRPr="007D3839" w:rsidRDefault="0064195A" w:rsidP="0064195A">
            <w:pPr>
              <w:widowControl w:val="0"/>
              <w:jc w:val="center"/>
              <w:rPr>
                <w:rFonts w:ascii="Arial" w:hAnsi="Arial" w:cs="Arial"/>
                <w:bCs/>
                <w:sz w:val="16"/>
                <w:szCs w:val="16"/>
              </w:rPr>
            </w:pPr>
            <w:r>
              <w:rPr>
                <w:rFonts w:ascii="Arial" w:hAnsi="Arial" w:cs="Arial"/>
                <w:bCs/>
                <w:sz w:val="16"/>
                <w:szCs w:val="16"/>
              </w:rPr>
              <w:t>29.810</w:t>
            </w:r>
          </w:p>
        </w:tc>
      </w:tr>
      <w:tr w:rsidR="0064195A" w14:paraId="72202694" w14:textId="77777777" w:rsidTr="003A0BD4">
        <w:trPr>
          <w:trHeight w:val="227"/>
        </w:trPr>
        <w:tc>
          <w:tcPr>
            <w:tcW w:w="477" w:type="pct"/>
            <w:tcBorders>
              <w:top w:val="single" w:sz="4" w:space="0" w:color="auto"/>
              <w:left w:val="single" w:sz="4" w:space="0" w:color="auto"/>
              <w:bottom w:val="single" w:sz="4" w:space="0" w:color="auto"/>
              <w:right w:val="single" w:sz="4" w:space="0" w:color="auto"/>
            </w:tcBorders>
            <w:vAlign w:val="center"/>
          </w:tcPr>
          <w:p w14:paraId="134BE444" w14:textId="29E9E61C" w:rsidR="0064195A" w:rsidRDefault="0064195A" w:rsidP="0064195A">
            <w:pPr>
              <w:widowControl w:val="0"/>
              <w:jc w:val="center"/>
              <w:rPr>
                <w:rFonts w:ascii="Arial" w:hAnsi="Arial" w:cs="Arial"/>
                <w:bCs/>
                <w:sz w:val="16"/>
                <w:szCs w:val="16"/>
              </w:rPr>
            </w:pPr>
            <w:r>
              <w:rPr>
                <w:rFonts w:ascii="Arial" w:hAnsi="Arial" w:cs="Arial"/>
                <w:bCs/>
                <w:sz w:val="16"/>
                <w:szCs w:val="16"/>
              </w:rPr>
              <w:t>CGN</w:t>
            </w:r>
          </w:p>
        </w:tc>
        <w:tc>
          <w:tcPr>
            <w:tcW w:w="2023" w:type="pct"/>
            <w:tcBorders>
              <w:top w:val="single" w:sz="4" w:space="0" w:color="auto"/>
              <w:left w:val="single" w:sz="4" w:space="0" w:color="auto"/>
              <w:bottom w:val="single" w:sz="4" w:space="0" w:color="auto"/>
              <w:right w:val="single" w:sz="4" w:space="0" w:color="auto"/>
            </w:tcBorders>
            <w:vAlign w:val="center"/>
          </w:tcPr>
          <w:p w14:paraId="6180CAAF" w14:textId="5B0C505D" w:rsidR="0064195A" w:rsidRDefault="0064195A" w:rsidP="0064195A">
            <w:pPr>
              <w:widowControl w:val="0"/>
              <w:jc w:val="center"/>
              <w:rPr>
                <w:rFonts w:ascii="Arial" w:hAnsi="Arial" w:cs="Arial"/>
                <w:bCs/>
                <w:sz w:val="16"/>
                <w:szCs w:val="16"/>
              </w:rPr>
            </w:pPr>
            <w:r>
              <w:rPr>
                <w:rFonts w:ascii="Arial" w:hAnsi="Arial" w:cs="Arial"/>
                <w:bCs/>
                <w:sz w:val="16"/>
                <w:szCs w:val="16"/>
              </w:rPr>
              <w:t>Neubauprojekt, Kö</w:t>
            </w:r>
            <w:r w:rsidR="00CE37A0">
              <w:rPr>
                <w:rFonts w:ascii="Arial" w:hAnsi="Arial" w:cs="Arial"/>
                <w:bCs/>
                <w:sz w:val="16"/>
                <w:szCs w:val="16"/>
              </w:rPr>
              <w:t>l</w:t>
            </w:r>
            <w:r>
              <w:rPr>
                <w:rFonts w:ascii="Arial" w:hAnsi="Arial" w:cs="Arial"/>
                <w:bCs/>
                <w:sz w:val="16"/>
                <w:szCs w:val="16"/>
              </w:rPr>
              <w:t>n-Gremberghoven</w:t>
            </w:r>
          </w:p>
        </w:tc>
        <w:tc>
          <w:tcPr>
            <w:tcW w:w="1946" w:type="pct"/>
            <w:tcBorders>
              <w:top w:val="single" w:sz="4" w:space="0" w:color="auto"/>
              <w:left w:val="single" w:sz="4" w:space="0" w:color="auto"/>
              <w:bottom w:val="single" w:sz="4" w:space="0" w:color="auto"/>
              <w:right w:val="single" w:sz="4" w:space="0" w:color="auto"/>
            </w:tcBorders>
            <w:vAlign w:val="center"/>
          </w:tcPr>
          <w:p w14:paraId="24EC8E71" w14:textId="3D943402" w:rsidR="0064195A" w:rsidRDefault="0064195A" w:rsidP="0064195A">
            <w:pPr>
              <w:widowControl w:val="0"/>
              <w:jc w:val="center"/>
              <w:rPr>
                <w:rFonts w:ascii="Arial" w:hAnsi="Arial" w:cs="Arial"/>
                <w:bCs/>
                <w:sz w:val="16"/>
                <w:szCs w:val="16"/>
              </w:rPr>
            </w:pPr>
            <w:r>
              <w:rPr>
                <w:rFonts w:ascii="Arial" w:hAnsi="Arial" w:cs="Arial"/>
                <w:bCs/>
                <w:sz w:val="16"/>
                <w:szCs w:val="16"/>
              </w:rPr>
              <w:t>vertraulich</w:t>
            </w:r>
          </w:p>
        </w:tc>
        <w:tc>
          <w:tcPr>
            <w:tcW w:w="554" w:type="pct"/>
            <w:tcBorders>
              <w:top w:val="single" w:sz="4" w:space="0" w:color="auto"/>
              <w:left w:val="single" w:sz="4" w:space="0" w:color="auto"/>
              <w:bottom w:val="single" w:sz="4" w:space="0" w:color="auto"/>
              <w:right w:val="single" w:sz="4" w:space="0" w:color="auto"/>
            </w:tcBorders>
            <w:vAlign w:val="center"/>
          </w:tcPr>
          <w:p w14:paraId="222149FD" w14:textId="002D3C69" w:rsidR="0064195A" w:rsidRDefault="0064195A" w:rsidP="0064195A">
            <w:pPr>
              <w:widowControl w:val="0"/>
              <w:jc w:val="center"/>
              <w:rPr>
                <w:rFonts w:ascii="Arial" w:hAnsi="Arial" w:cs="Arial"/>
                <w:bCs/>
                <w:sz w:val="16"/>
                <w:szCs w:val="16"/>
              </w:rPr>
            </w:pPr>
            <w:r>
              <w:rPr>
                <w:rFonts w:ascii="Arial" w:hAnsi="Arial" w:cs="Arial"/>
                <w:bCs/>
                <w:sz w:val="16"/>
                <w:szCs w:val="16"/>
              </w:rPr>
              <w:t>18.000</w:t>
            </w:r>
          </w:p>
        </w:tc>
      </w:tr>
      <w:tr w:rsidR="0064195A" w14:paraId="22BF0BEA" w14:textId="77777777" w:rsidTr="003A0BD4">
        <w:trPr>
          <w:trHeight w:val="227"/>
        </w:trPr>
        <w:tc>
          <w:tcPr>
            <w:tcW w:w="477" w:type="pct"/>
            <w:tcBorders>
              <w:top w:val="single" w:sz="4" w:space="0" w:color="auto"/>
              <w:left w:val="single" w:sz="4" w:space="0" w:color="auto"/>
              <w:bottom w:val="single" w:sz="4" w:space="0" w:color="auto"/>
              <w:right w:val="single" w:sz="4" w:space="0" w:color="auto"/>
            </w:tcBorders>
            <w:vAlign w:val="center"/>
            <w:hideMark/>
          </w:tcPr>
          <w:p w14:paraId="087E2460" w14:textId="02F5F8B5" w:rsidR="0064195A" w:rsidRDefault="0064195A" w:rsidP="0064195A">
            <w:pPr>
              <w:widowControl w:val="0"/>
              <w:jc w:val="center"/>
              <w:rPr>
                <w:rFonts w:ascii="Arial" w:hAnsi="Arial" w:cs="Arial"/>
                <w:bCs/>
                <w:sz w:val="16"/>
                <w:szCs w:val="16"/>
              </w:rPr>
            </w:pPr>
            <w:r>
              <w:rPr>
                <w:rFonts w:ascii="Arial" w:hAnsi="Arial" w:cs="Arial"/>
                <w:bCs/>
                <w:sz w:val="16"/>
                <w:szCs w:val="16"/>
              </w:rPr>
              <w:t>FFM</w:t>
            </w:r>
          </w:p>
        </w:tc>
        <w:tc>
          <w:tcPr>
            <w:tcW w:w="2023" w:type="pct"/>
            <w:tcBorders>
              <w:top w:val="single" w:sz="4" w:space="0" w:color="auto"/>
              <w:left w:val="single" w:sz="4" w:space="0" w:color="auto"/>
              <w:bottom w:val="single" w:sz="4" w:space="0" w:color="auto"/>
              <w:right w:val="single" w:sz="4" w:space="0" w:color="auto"/>
            </w:tcBorders>
            <w:vAlign w:val="center"/>
            <w:hideMark/>
          </w:tcPr>
          <w:p w14:paraId="6A462913" w14:textId="2BA9149C" w:rsidR="0064195A" w:rsidRDefault="0064195A" w:rsidP="0064195A">
            <w:pPr>
              <w:widowControl w:val="0"/>
              <w:jc w:val="center"/>
              <w:rPr>
                <w:rFonts w:ascii="Arial" w:hAnsi="Arial" w:cs="Arial"/>
                <w:bCs/>
                <w:sz w:val="16"/>
                <w:szCs w:val="16"/>
              </w:rPr>
            </w:pPr>
            <w:r>
              <w:rPr>
                <w:rFonts w:ascii="Arial" w:hAnsi="Arial" w:cs="Arial"/>
                <w:bCs/>
                <w:sz w:val="16"/>
                <w:szCs w:val="16"/>
              </w:rPr>
              <w:t>„FOUR T1“, Große Gallusstraße 10-14</w:t>
            </w:r>
          </w:p>
        </w:tc>
        <w:tc>
          <w:tcPr>
            <w:tcW w:w="1946" w:type="pct"/>
            <w:tcBorders>
              <w:top w:val="single" w:sz="4" w:space="0" w:color="auto"/>
              <w:left w:val="single" w:sz="4" w:space="0" w:color="auto"/>
              <w:bottom w:val="single" w:sz="4" w:space="0" w:color="auto"/>
              <w:right w:val="single" w:sz="4" w:space="0" w:color="auto"/>
            </w:tcBorders>
            <w:vAlign w:val="center"/>
            <w:hideMark/>
          </w:tcPr>
          <w:p w14:paraId="20A2B291" w14:textId="5ABD2C9E" w:rsidR="0064195A" w:rsidRDefault="0064195A" w:rsidP="0064195A">
            <w:pPr>
              <w:widowControl w:val="0"/>
              <w:jc w:val="center"/>
              <w:rPr>
                <w:rFonts w:ascii="Arial" w:hAnsi="Arial" w:cs="Arial"/>
                <w:bCs/>
                <w:sz w:val="16"/>
                <w:szCs w:val="16"/>
              </w:rPr>
            </w:pPr>
            <w:r>
              <w:rPr>
                <w:rFonts w:ascii="Arial" w:hAnsi="Arial" w:cs="Arial"/>
                <w:bCs/>
                <w:sz w:val="16"/>
                <w:szCs w:val="16"/>
              </w:rPr>
              <w:t xml:space="preserve">Freshfields </w:t>
            </w:r>
            <w:proofErr w:type="spellStart"/>
            <w:r>
              <w:rPr>
                <w:rFonts w:ascii="Arial" w:hAnsi="Arial" w:cs="Arial"/>
                <w:bCs/>
                <w:sz w:val="16"/>
                <w:szCs w:val="16"/>
              </w:rPr>
              <w:t>Bruckhaus</w:t>
            </w:r>
            <w:proofErr w:type="spellEnd"/>
            <w:r>
              <w:rPr>
                <w:rFonts w:ascii="Arial" w:hAnsi="Arial" w:cs="Arial"/>
                <w:bCs/>
                <w:sz w:val="16"/>
                <w:szCs w:val="16"/>
              </w:rPr>
              <w:t xml:space="preserve"> </w:t>
            </w:r>
            <w:proofErr w:type="spellStart"/>
            <w:r>
              <w:rPr>
                <w:rFonts w:ascii="Arial" w:hAnsi="Arial" w:cs="Arial"/>
                <w:bCs/>
                <w:sz w:val="16"/>
                <w:szCs w:val="16"/>
              </w:rPr>
              <w:t>Deringer</w:t>
            </w:r>
            <w:proofErr w:type="spellEnd"/>
          </w:p>
        </w:tc>
        <w:tc>
          <w:tcPr>
            <w:tcW w:w="554" w:type="pct"/>
            <w:tcBorders>
              <w:top w:val="single" w:sz="4" w:space="0" w:color="auto"/>
              <w:left w:val="single" w:sz="4" w:space="0" w:color="auto"/>
              <w:bottom w:val="single" w:sz="4" w:space="0" w:color="auto"/>
              <w:right w:val="single" w:sz="4" w:space="0" w:color="auto"/>
            </w:tcBorders>
            <w:vAlign w:val="center"/>
            <w:hideMark/>
          </w:tcPr>
          <w:p w14:paraId="1CA93766" w14:textId="276FF18C" w:rsidR="0064195A" w:rsidRDefault="0064195A" w:rsidP="0064195A">
            <w:pPr>
              <w:widowControl w:val="0"/>
              <w:jc w:val="center"/>
              <w:rPr>
                <w:rFonts w:ascii="Arial" w:hAnsi="Arial" w:cs="Arial"/>
                <w:bCs/>
                <w:sz w:val="16"/>
                <w:szCs w:val="16"/>
              </w:rPr>
            </w:pPr>
            <w:r>
              <w:rPr>
                <w:rFonts w:ascii="Arial" w:hAnsi="Arial" w:cs="Arial"/>
                <w:bCs/>
                <w:sz w:val="16"/>
                <w:szCs w:val="16"/>
              </w:rPr>
              <w:t>14.595</w:t>
            </w:r>
          </w:p>
        </w:tc>
      </w:tr>
      <w:tr w:rsidR="0064195A" w14:paraId="21C50847" w14:textId="77777777" w:rsidTr="003A0BD4">
        <w:trPr>
          <w:trHeight w:val="227"/>
        </w:trPr>
        <w:tc>
          <w:tcPr>
            <w:tcW w:w="477" w:type="pct"/>
            <w:tcBorders>
              <w:top w:val="single" w:sz="4" w:space="0" w:color="auto"/>
              <w:left w:val="single" w:sz="4" w:space="0" w:color="auto"/>
              <w:bottom w:val="single" w:sz="4" w:space="0" w:color="auto"/>
              <w:right w:val="single" w:sz="4" w:space="0" w:color="auto"/>
            </w:tcBorders>
            <w:vAlign w:val="center"/>
          </w:tcPr>
          <w:p w14:paraId="26C31E7D" w14:textId="1E45B515" w:rsidR="0064195A" w:rsidRDefault="0064195A" w:rsidP="0064195A">
            <w:pPr>
              <w:widowControl w:val="0"/>
              <w:jc w:val="center"/>
              <w:rPr>
                <w:rFonts w:ascii="Arial" w:hAnsi="Arial" w:cs="Arial"/>
                <w:bCs/>
                <w:sz w:val="16"/>
                <w:szCs w:val="16"/>
              </w:rPr>
            </w:pPr>
            <w:r>
              <w:rPr>
                <w:rFonts w:ascii="Arial" w:hAnsi="Arial" w:cs="Arial"/>
                <w:bCs/>
                <w:sz w:val="16"/>
                <w:szCs w:val="16"/>
              </w:rPr>
              <w:t>STU</w:t>
            </w:r>
          </w:p>
        </w:tc>
        <w:tc>
          <w:tcPr>
            <w:tcW w:w="2023" w:type="pct"/>
            <w:tcBorders>
              <w:top w:val="single" w:sz="4" w:space="0" w:color="auto"/>
              <w:left w:val="single" w:sz="4" w:space="0" w:color="auto"/>
              <w:bottom w:val="single" w:sz="4" w:space="0" w:color="auto"/>
              <w:right w:val="single" w:sz="4" w:space="0" w:color="auto"/>
            </w:tcBorders>
            <w:vAlign w:val="center"/>
          </w:tcPr>
          <w:p w14:paraId="26755962" w14:textId="7FF76415" w:rsidR="0064195A" w:rsidRDefault="0064195A" w:rsidP="0064195A">
            <w:pPr>
              <w:widowControl w:val="0"/>
              <w:jc w:val="center"/>
              <w:rPr>
                <w:rFonts w:ascii="Arial" w:hAnsi="Arial" w:cs="Arial"/>
                <w:bCs/>
                <w:sz w:val="16"/>
                <w:szCs w:val="16"/>
              </w:rPr>
            </w:pPr>
            <w:r>
              <w:rPr>
                <w:rFonts w:ascii="Arial" w:hAnsi="Arial" w:cs="Arial"/>
                <w:bCs/>
                <w:sz w:val="16"/>
                <w:szCs w:val="16"/>
              </w:rPr>
              <w:t>Nauheimer Str. 98</w:t>
            </w:r>
          </w:p>
        </w:tc>
        <w:tc>
          <w:tcPr>
            <w:tcW w:w="1946" w:type="pct"/>
            <w:tcBorders>
              <w:top w:val="single" w:sz="4" w:space="0" w:color="auto"/>
              <w:left w:val="single" w:sz="4" w:space="0" w:color="auto"/>
              <w:bottom w:val="single" w:sz="4" w:space="0" w:color="auto"/>
              <w:right w:val="single" w:sz="4" w:space="0" w:color="auto"/>
            </w:tcBorders>
            <w:vAlign w:val="center"/>
          </w:tcPr>
          <w:p w14:paraId="7EF2D260" w14:textId="6632C86E" w:rsidR="0064195A" w:rsidRDefault="0064195A" w:rsidP="0064195A">
            <w:pPr>
              <w:widowControl w:val="0"/>
              <w:jc w:val="center"/>
              <w:rPr>
                <w:rFonts w:ascii="Arial" w:hAnsi="Arial" w:cs="Arial"/>
                <w:bCs/>
                <w:sz w:val="16"/>
                <w:szCs w:val="16"/>
              </w:rPr>
            </w:pPr>
            <w:r>
              <w:rPr>
                <w:rFonts w:ascii="Arial" w:hAnsi="Arial" w:cs="Arial"/>
                <w:bCs/>
                <w:sz w:val="16"/>
                <w:szCs w:val="16"/>
              </w:rPr>
              <w:t>Bundesanstalt für Post &amp; Telekommunikation</w:t>
            </w:r>
          </w:p>
        </w:tc>
        <w:tc>
          <w:tcPr>
            <w:tcW w:w="554" w:type="pct"/>
            <w:tcBorders>
              <w:top w:val="single" w:sz="4" w:space="0" w:color="auto"/>
              <w:left w:val="single" w:sz="4" w:space="0" w:color="auto"/>
              <w:bottom w:val="single" w:sz="4" w:space="0" w:color="auto"/>
              <w:right w:val="single" w:sz="4" w:space="0" w:color="auto"/>
            </w:tcBorders>
            <w:vAlign w:val="center"/>
          </w:tcPr>
          <w:p w14:paraId="447D9B8B" w14:textId="7ED9AAE5" w:rsidR="0064195A" w:rsidRDefault="0064195A" w:rsidP="0064195A">
            <w:pPr>
              <w:widowControl w:val="0"/>
              <w:jc w:val="center"/>
              <w:rPr>
                <w:rFonts w:ascii="Arial" w:hAnsi="Arial" w:cs="Arial"/>
                <w:bCs/>
                <w:sz w:val="16"/>
                <w:szCs w:val="16"/>
              </w:rPr>
            </w:pPr>
            <w:r>
              <w:rPr>
                <w:rFonts w:ascii="Arial" w:hAnsi="Arial" w:cs="Arial"/>
                <w:bCs/>
                <w:sz w:val="16"/>
                <w:szCs w:val="16"/>
              </w:rPr>
              <w:t>14.545</w:t>
            </w:r>
          </w:p>
        </w:tc>
      </w:tr>
      <w:tr w:rsidR="0064195A" w14:paraId="79061476" w14:textId="77777777" w:rsidTr="003A0BD4">
        <w:trPr>
          <w:trHeight w:val="227"/>
        </w:trPr>
        <w:tc>
          <w:tcPr>
            <w:tcW w:w="477" w:type="pct"/>
            <w:tcBorders>
              <w:top w:val="single" w:sz="4" w:space="0" w:color="auto"/>
              <w:left w:val="single" w:sz="4" w:space="0" w:color="auto"/>
              <w:bottom w:val="single" w:sz="4" w:space="0" w:color="auto"/>
              <w:right w:val="single" w:sz="4" w:space="0" w:color="auto"/>
            </w:tcBorders>
            <w:vAlign w:val="center"/>
            <w:hideMark/>
          </w:tcPr>
          <w:p w14:paraId="1638CAE8" w14:textId="47321C64" w:rsidR="0064195A" w:rsidRDefault="0064195A" w:rsidP="0064195A">
            <w:pPr>
              <w:widowControl w:val="0"/>
              <w:jc w:val="center"/>
              <w:rPr>
                <w:rFonts w:ascii="Arial" w:hAnsi="Arial" w:cs="Arial"/>
                <w:bCs/>
                <w:sz w:val="16"/>
                <w:szCs w:val="16"/>
              </w:rPr>
            </w:pPr>
            <w:r>
              <w:rPr>
                <w:rFonts w:ascii="Arial" w:hAnsi="Arial" w:cs="Arial"/>
                <w:bCs/>
                <w:sz w:val="16"/>
                <w:szCs w:val="16"/>
              </w:rPr>
              <w:t>BER</w:t>
            </w:r>
          </w:p>
        </w:tc>
        <w:tc>
          <w:tcPr>
            <w:tcW w:w="2023" w:type="pct"/>
            <w:tcBorders>
              <w:top w:val="single" w:sz="4" w:space="0" w:color="auto"/>
              <w:left w:val="single" w:sz="4" w:space="0" w:color="auto"/>
              <w:bottom w:val="single" w:sz="4" w:space="0" w:color="auto"/>
              <w:right w:val="single" w:sz="4" w:space="0" w:color="auto"/>
            </w:tcBorders>
            <w:vAlign w:val="center"/>
            <w:hideMark/>
          </w:tcPr>
          <w:p w14:paraId="1BCCD0EB" w14:textId="480E659E" w:rsidR="0064195A" w:rsidRDefault="0064195A" w:rsidP="0064195A">
            <w:pPr>
              <w:widowControl w:val="0"/>
              <w:jc w:val="center"/>
              <w:rPr>
                <w:rFonts w:ascii="Arial" w:hAnsi="Arial" w:cs="Arial"/>
                <w:bCs/>
                <w:sz w:val="16"/>
                <w:szCs w:val="16"/>
              </w:rPr>
            </w:pPr>
            <w:r>
              <w:rPr>
                <w:rFonts w:ascii="Arial" w:hAnsi="Arial" w:cs="Arial"/>
                <w:bCs/>
                <w:sz w:val="16"/>
                <w:szCs w:val="16"/>
              </w:rPr>
              <w:t>„BHQ Z“, Valeska-Gert-Straße 4</w:t>
            </w:r>
          </w:p>
        </w:tc>
        <w:tc>
          <w:tcPr>
            <w:tcW w:w="1946" w:type="pct"/>
            <w:tcBorders>
              <w:top w:val="single" w:sz="4" w:space="0" w:color="auto"/>
              <w:left w:val="single" w:sz="4" w:space="0" w:color="auto"/>
              <w:bottom w:val="single" w:sz="4" w:space="0" w:color="auto"/>
              <w:right w:val="single" w:sz="4" w:space="0" w:color="auto"/>
            </w:tcBorders>
            <w:vAlign w:val="center"/>
            <w:hideMark/>
          </w:tcPr>
          <w:p w14:paraId="1B778869" w14:textId="04469D0F" w:rsidR="0064195A" w:rsidRDefault="0064195A" w:rsidP="0064195A">
            <w:pPr>
              <w:widowControl w:val="0"/>
              <w:jc w:val="center"/>
              <w:rPr>
                <w:rFonts w:ascii="Arial" w:hAnsi="Arial" w:cs="Arial"/>
                <w:bCs/>
                <w:sz w:val="16"/>
                <w:szCs w:val="16"/>
              </w:rPr>
            </w:pPr>
            <w:r>
              <w:rPr>
                <w:rFonts w:ascii="Arial" w:hAnsi="Arial" w:cs="Arial"/>
                <w:bCs/>
                <w:sz w:val="16"/>
                <w:szCs w:val="16"/>
              </w:rPr>
              <w:t>Zalando</w:t>
            </w:r>
          </w:p>
        </w:tc>
        <w:tc>
          <w:tcPr>
            <w:tcW w:w="554" w:type="pct"/>
            <w:tcBorders>
              <w:top w:val="single" w:sz="4" w:space="0" w:color="auto"/>
              <w:left w:val="single" w:sz="4" w:space="0" w:color="auto"/>
              <w:bottom w:val="single" w:sz="4" w:space="0" w:color="auto"/>
              <w:right w:val="single" w:sz="4" w:space="0" w:color="auto"/>
            </w:tcBorders>
            <w:vAlign w:val="center"/>
            <w:hideMark/>
          </w:tcPr>
          <w:p w14:paraId="53B8F118" w14:textId="43D790A5" w:rsidR="0064195A" w:rsidRDefault="0064195A" w:rsidP="0064195A">
            <w:pPr>
              <w:widowControl w:val="0"/>
              <w:jc w:val="center"/>
              <w:rPr>
                <w:rFonts w:ascii="Arial" w:hAnsi="Arial" w:cs="Arial"/>
                <w:bCs/>
                <w:sz w:val="16"/>
                <w:szCs w:val="16"/>
              </w:rPr>
            </w:pPr>
            <w:r>
              <w:rPr>
                <w:rFonts w:ascii="Arial" w:hAnsi="Arial" w:cs="Arial"/>
                <w:bCs/>
                <w:sz w:val="16"/>
                <w:szCs w:val="16"/>
              </w:rPr>
              <w:t>12.900</w:t>
            </w:r>
          </w:p>
        </w:tc>
      </w:tr>
      <w:tr w:rsidR="0064195A" w14:paraId="2AD11541" w14:textId="77777777" w:rsidTr="007D7068">
        <w:trPr>
          <w:trHeight w:val="227"/>
        </w:trPr>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BDE89" w14:textId="57F572B8" w:rsidR="0064195A" w:rsidRDefault="0064195A" w:rsidP="0064195A">
            <w:pPr>
              <w:widowControl w:val="0"/>
              <w:jc w:val="center"/>
              <w:rPr>
                <w:rFonts w:ascii="Arial" w:hAnsi="Arial" w:cs="Arial"/>
                <w:bCs/>
                <w:sz w:val="16"/>
                <w:szCs w:val="16"/>
              </w:rPr>
            </w:pPr>
            <w:r>
              <w:rPr>
                <w:rFonts w:ascii="Arial" w:hAnsi="Arial" w:cs="Arial"/>
                <w:bCs/>
                <w:sz w:val="16"/>
                <w:szCs w:val="16"/>
              </w:rPr>
              <w:t>BER</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52EB8" w14:textId="13FD132B" w:rsidR="0064195A" w:rsidRDefault="0064195A" w:rsidP="0064195A">
            <w:pPr>
              <w:widowControl w:val="0"/>
              <w:jc w:val="center"/>
              <w:rPr>
                <w:rFonts w:ascii="Arial" w:hAnsi="Arial" w:cs="Arial"/>
                <w:bCs/>
                <w:sz w:val="16"/>
                <w:szCs w:val="16"/>
              </w:rPr>
            </w:pPr>
            <w:r>
              <w:rPr>
                <w:rFonts w:ascii="Arial" w:hAnsi="Arial" w:cs="Arial"/>
                <w:bCs/>
                <w:sz w:val="16"/>
                <w:szCs w:val="16"/>
              </w:rPr>
              <w:t>„Pulse“, Stresemannstraße 69-71</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E39E9" w14:textId="2F2C47AD" w:rsidR="0064195A" w:rsidRDefault="0064195A" w:rsidP="0064195A">
            <w:pPr>
              <w:widowControl w:val="0"/>
              <w:jc w:val="center"/>
              <w:rPr>
                <w:rFonts w:ascii="Arial" w:hAnsi="Arial" w:cs="Arial"/>
                <w:bCs/>
                <w:sz w:val="16"/>
                <w:szCs w:val="16"/>
              </w:rPr>
            </w:pPr>
            <w:r>
              <w:rPr>
                <w:rFonts w:ascii="Arial" w:hAnsi="Arial" w:cs="Arial"/>
                <w:bCs/>
                <w:sz w:val="16"/>
                <w:szCs w:val="16"/>
              </w:rPr>
              <w:t>Zukunft-Umwelt-Gesellschaft (ZUG)</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07D3B" w14:textId="459F4776" w:rsidR="0064195A" w:rsidRDefault="0064195A" w:rsidP="0064195A">
            <w:pPr>
              <w:widowControl w:val="0"/>
              <w:jc w:val="center"/>
              <w:rPr>
                <w:rFonts w:ascii="Arial" w:hAnsi="Arial" w:cs="Arial"/>
                <w:bCs/>
                <w:sz w:val="16"/>
                <w:szCs w:val="16"/>
              </w:rPr>
            </w:pPr>
            <w:r>
              <w:rPr>
                <w:rFonts w:ascii="Arial" w:hAnsi="Arial" w:cs="Arial"/>
                <w:bCs/>
                <w:sz w:val="16"/>
                <w:szCs w:val="16"/>
              </w:rPr>
              <w:t>12.000</w:t>
            </w:r>
          </w:p>
        </w:tc>
      </w:tr>
      <w:tr w:rsidR="0064195A" w14:paraId="72076D4C" w14:textId="77777777" w:rsidTr="007D7068">
        <w:trPr>
          <w:trHeight w:val="227"/>
        </w:trPr>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130CC" w14:textId="631BA854" w:rsidR="0064195A" w:rsidRDefault="0064195A" w:rsidP="0064195A">
            <w:pPr>
              <w:widowControl w:val="0"/>
              <w:jc w:val="center"/>
              <w:rPr>
                <w:rFonts w:ascii="Arial" w:hAnsi="Arial" w:cs="Arial"/>
                <w:bCs/>
                <w:sz w:val="16"/>
                <w:szCs w:val="16"/>
              </w:rPr>
            </w:pPr>
            <w:r>
              <w:rPr>
                <w:rFonts w:ascii="Arial" w:hAnsi="Arial" w:cs="Arial"/>
                <w:bCs/>
                <w:sz w:val="16"/>
                <w:szCs w:val="16"/>
              </w:rPr>
              <w:t>MUC</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9EE9C" w14:textId="58409DD1" w:rsidR="0064195A" w:rsidRDefault="0064195A" w:rsidP="0064195A">
            <w:pPr>
              <w:widowControl w:val="0"/>
              <w:jc w:val="center"/>
              <w:rPr>
                <w:rFonts w:ascii="Arial" w:hAnsi="Arial" w:cs="Arial"/>
                <w:bCs/>
                <w:sz w:val="16"/>
                <w:szCs w:val="16"/>
              </w:rPr>
            </w:pPr>
            <w:r>
              <w:rPr>
                <w:rFonts w:ascii="Arial" w:hAnsi="Arial" w:cs="Arial"/>
                <w:bCs/>
                <w:sz w:val="16"/>
                <w:szCs w:val="16"/>
              </w:rPr>
              <w:t xml:space="preserve">„Die </w:t>
            </w:r>
            <w:proofErr w:type="spellStart"/>
            <w:r>
              <w:rPr>
                <w:rFonts w:ascii="Arial" w:hAnsi="Arial" w:cs="Arial"/>
                <w:bCs/>
                <w:sz w:val="16"/>
                <w:szCs w:val="16"/>
              </w:rPr>
              <w:t>Macherei</w:t>
            </w:r>
            <w:proofErr w:type="spellEnd"/>
            <w:r>
              <w:rPr>
                <w:rFonts w:ascii="Arial" w:hAnsi="Arial" w:cs="Arial"/>
                <w:bCs/>
                <w:sz w:val="16"/>
                <w:szCs w:val="16"/>
              </w:rPr>
              <w:t>“, Weihenstephaner Straße 28-30</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38ABF" w14:textId="69DEAE9D" w:rsidR="0064195A" w:rsidRDefault="0064195A" w:rsidP="0064195A">
            <w:pPr>
              <w:widowControl w:val="0"/>
              <w:jc w:val="center"/>
              <w:rPr>
                <w:rFonts w:ascii="Arial" w:hAnsi="Arial" w:cs="Arial"/>
                <w:bCs/>
                <w:sz w:val="16"/>
                <w:szCs w:val="16"/>
              </w:rPr>
            </w:pPr>
            <w:proofErr w:type="spellStart"/>
            <w:r>
              <w:rPr>
                <w:rFonts w:ascii="Arial" w:hAnsi="Arial" w:cs="Arial"/>
                <w:bCs/>
                <w:sz w:val="16"/>
                <w:szCs w:val="16"/>
              </w:rPr>
              <w:t>Noventi</w:t>
            </w:r>
            <w:proofErr w:type="spellEnd"/>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EA471" w14:textId="37820AF8" w:rsidR="0064195A" w:rsidRDefault="0064195A" w:rsidP="0064195A">
            <w:pPr>
              <w:widowControl w:val="0"/>
              <w:jc w:val="center"/>
              <w:rPr>
                <w:rFonts w:ascii="Arial" w:hAnsi="Arial" w:cs="Arial"/>
                <w:bCs/>
                <w:sz w:val="16"/>
                <w:szCs w:val="16"/>
              </w:rPr>
            </w:pPr>
            <w:r>
              <w:rPr>
                <w:rFonts w:ascii="Arial" w:hAnsi="Arial" w:cs="Arial"/>
                <w:bCs/>
                <w:sz w:val="16"/>
                <w:szCs w:val="16"/>
              </w:rPr>
              <w:t>11.000</w:t>
            </w:r>
          </w:p>
        </w:tc>
      </w:tr>
    </w:tbl>
    <w:p w14:paraId="61C221CC" w14:textId="6B2E3480" w:rsidR="00DD4941" w:rsidRDefault="003A0BD4" w:rsidP="00DD4941">
      <w:pPr>
        <w:widowControl w:val="0"/>
        <w:spacing w:after="0"/>
        <w:rPr>
          <w:rFonts w:ascii="Arial" w:hAnsi="Arial" w:cs="Arial"/>
          <w:sz w:val="16"/>
          <w:szCs w:val="16"/>
        </w:rPr>
      </w:pPr>
      <w:r>
        <w:rPr>
          <w:rFonts w:ascii="Arial" w:hAnsi="Arial" w:cs="Arial"/>
          <w:sz w:val="16"/>
          <w:szCs w:val="16"/>
        </w:rPr>
        <w:lastRenderedPageBreak/>
        <w:t>Quelle: German Property Partners (GPP)</w:t>
      </w:r>
    </w:p>
    <w:p w14:paraId="66A10177" w14:textId="77777777" w:rsidR="00A4078F" w:rsidRDefault="00A4078F" w:rsidP="00DD4941">
      <w:pPr>
        <w:widowControl w:val="0"/>
        <w:spacing w:after="0"/>
        <w:rPr>
          <w:rFonts w:ascii="Arial" w:hAnsi="Arial" w:cs="Arial"/>
          <w:sz w:val="16"/>
          <w:szCs w:val="16"/>
        </w:rPr>
      </w:pPr>
    </w:p>
    <w:p w14:paraId="5E5A1042" w14:textId="726D2F72" w:rsidR="00C65127" w:rsidRPr="00DD4941" w:rsidRDefault="00C65127" w:rsidP="00DD4941">
      <w:pPr>
        <w:widowControl w:val="0"/>
        <w:spacing w:after="0"/>
        <w:rPr>
          <w:rFonts w:ascii="Arial" w:hAnsi="Arial" w:cs="Arial"/>
          <w:sz w:val="16"/>
          <w:szCs w:val="16"/>
        </w:rPr>
      </w:pPr>
      <w:r w:rsidRPr="004D02F0">
        <w:rPr>
          <w:rFonts w:ascii="Arial" w:hAnsi="Arial" w:cs="Arial"/>
          <w:b/>
          <w:sz w:val="20"/>
          <w:szCs w:val="20"/>
          <w:lang w:val="en-US"/>
        </w:rPr>
        <w:t>Top-7-Standorte | 1.</w:t>
      </w:r>
      <w:r w:rsidR="00DD4941">
        <w:rPr>
          <w:rFonts w:ascii="Arial" w:hAnsi="Arial" w:cs="Arial"/>
          <w:b/>
          <w:sz w:val="20"/>
          <w:szCs w:val="20"/>
          <w:lang w:val="en-US"/>
        </w:rPr>
        <w:t>-2.</w:t>
      </w:r>
      <w:r w:rsidRPr="004D02F0">
        <w:rPr>
          <w:rFonts w:ascii="Arial" w:hAnsi="Arial" w:cs="Arial"/>
          <w:b/>
          <w:sz w:val="20"/>
          <w:szCs w:val="20"/>
          <w:lang w:val="en-US"/>
        </w:rPr>
        <w:t xml:space="preserve"> Quartal 20</w:t>
      </w:r>
      <w:r w:rsidR="00CD0A90">
        <w:rPr>
          <w:rFonts w:ascii="Arial" w:hAnsi="Arial" w:cs="Arial"/>
          <w:b/>
          <w:sz w:val="20"/>
          <w:szCs w:val="20"/>
          <w:lang w:val="en-US"/>
        </w:rPr>
        <w:t>20</w:t>
      </w:r>
    </w:p>
    <w:tbl>
      <w:tblPr>
        <w:tblStyle w:val="Tabellenraster"/>
        <w:tblW w:w="5000" w:type="pct"/>
        <w:tblLook w:val="04A0" w:firstRow="1" w:lastRow="0" w:firstColumn="1" w:lastColumn="0" w:noHBand="0" w:noVBand="1"/>
      </w:tblPr>
      <w:tblGrid>
        <w:gridCol w:w="1870"/>
        <w:gridCol w:w="889"/>
        <w:gridCol w:w="928"/>
        <w:gridCol w:w="889"/>
        <w:gridCol w:w="889"/>
        <w:gridCol w:w="889"/>
        <w:gridCol w:w="890"/>
        <w:gridCol w:w="890"/>
        <w:gridCol w:w="928"/>
      </w:tblGrid>
      <w:tr w:rsidR="00C65127" w:rsidRPr="004D02F0" w14:paraId="0DF4DE6F" w14:textId="77777777" w:rsidTr="00422A01">
        <w:trPr>
          <w:trHeight w:val="283"/>
        </w:trPr>
        <w:tc>
          <w:tcPr>
            <w:tcW w:w="985" w:type="pct"/>
            <w:vAlign w:val="center"/>
          </w:tcPr>
          <w:p w14:paraId="402EA591" w14:textId="77777777" w:rsidR="00C65127" w:rsidRPr="004D02F0" w:rsidRDefault="00C65127" w:rsidP="00422A01">
            <w:pPr>
              <w:widowControl w:val="0"/>
              <w:rPr>
                <w:rFonts w:ascii="Arial" w:hAnsi="Arial" w:cs="Arial"/>
                <w:b/>
                <w:sz w:val="16"/>
                <w:szCs w:val="16"/>
                <w:lang w:val="en-US"/>
              </w:rPr>
            </w:pPr>
          </w:p>
        </w:tc>
        <w:tc>
          <w:tcPr>
            <w:tcW w:w="502" w:type="pct"/>
            <w:vAlign w:val="center"/>
          </w:tcPr>
          <w:p w14:paraId="5892939A"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HAM</w:t>
            </w:r>
          </w:p>
        </w:tc>
        <w:tc>
          <w:tcPr>
            <w:tcW w:w="502" w:type="pct"/>
            <w:vAlign w:val="center"/>
          </w:tcPr>
          <w:p w14:paraId="0A355251"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BER</w:t>
            </w:r>
          </w:p>
        </w:tc>
        <w:tc>
          <w:tcPr>
            <w:tcW w:w="502" w:type="pct"/>
            <w:vAlign w:val="center"/>
          </w:tcPr>
          <w:p w14:paraId="3AA398F6"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DUS</w:t>
            </w:r>
          </w:p>
        </w:tc>
        <w:tc>
          <w:tcPr>
            <w:tcW w:w="502" w:type="pct"/>
            <w:vAlign w:val="center"/>
          </w:tcPr>
          <w:p w14:paraId="312FDD4D"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CGN</w:t>
            </w:r>
          </w:p>
        </w:tc>
        <w:tc>
          <w:tcPr>
            <w:tcW w:w="502" w:type="pct"/>
            <w:vAlign w:val="center"/>
          </w:tcPr>
          <w:p w14:paraId="144994D6"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FFM</w:t>
            </w:r>
          </w:p>
        </w:tc>
        <w:tc>
          <w:tcPr>
            <w:tcW w:w="502" w:type="pct"/>
            <w:vAlign w:val="center"/>
          </w:tcPr>
          <w:p w14:paraId="65DFA29E"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STU</w:t>
            </w:r>
          </w:p>
        </w:tc>
        <w:tc>
          <w:tcPr>
            <w:tcW w:w="502" w:type="pct"/>
            <w:vAlign w:val="center"/>
          </w:tcPr>
          <w:p w14:paraId="4F6E6F2C"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MUC</w:t>
            </w:r>
          </w:p>
        </w:tc>
        <w:tc>
          <w:tcPr>
            <w:tcW w:w="502" w:type="pct"/>
            <w:vAlign w:val="center"/>
          </w:tcPr>
          <w:p w14:paraId="5AABDAC7"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TOP-7</w:t>
            </w:r>
          </w:p>
        </w:tc>
      </w:tr>
      <w:tr w:rsidR="00154A48" w:rsidRPr="004D02F0" w14:paraId="55939988" w14:textId="77777777" w:rsidTr="00422A01">
        <w:trPr>
          <w:trHeight w:val="283"/>
        </w:trPr>
        <w:tc>
          <w:tcPr>
            <w:tcW w:w="985" w:type="pct"/>
            <w:vAlign w:val="center"/>
          </w:tcPr>
          <w:p w14:paraId="06060F83" w14:textId="77777777" w:rsidR="00C65127" w:rsidRPr="004D02F0" w:rsidRDefault="00C65127" w:rsidP="00422A01">
            <w:pPr>
              <w:widowControl w:val="0"/>
              <w:rPr>
                <w:rFonts w:ascii="Arial" w:hAnsi="Arial" w:cs="Arial"/>
                <w:b/>
                <w:sz w:val="16"/>
                <w:szCs w:val="16"/>
              </w:rPr>
            </w:pPr>
            <w:proofErr w:type="spellStart"/>
            <w:r w:rsidRPr="004D02F0">
              <w:rPr>
                <w:rFonts w:ascii="Arial" w:hAnsi="Arial" w:cs="Arial"/>
                <w:b/>
                <w:sz w:val="16"/>
                <w:szCs w:val="16"/>
                <w:lang w:val="en-US"/>
              </w:rPr>
              <w:t>Flächenum</w:t>
            </w:r>
            <w:r w:rsidRPr="004D02F0">
              <w:rPr>
                <w:rFonts w:ascii="Arial" w:hAnsi="Arial" w:cs="Arial"/>
                <w:b/>
                <w:sz w:val="16"/>
                <w:szCs w:val="16"/>
              </w:rPr>
              <w:t>satz</w:t>
            </w:r>
            <w:proofErr w:type="spellEnd"/>
          </w:p>
          <w:p w14:paraId="318DB722"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w:t>
            </w:r>
          </w:p>
        </w:tc>
        <w:tc>
          <w:tcPr>
            <w:tcW w:w="502" w:type="pct"/>
            <w:vAlign w:val="center"/>
          </w:tcPr>
          <w:p w14:paraId="24B76314" w14:textId="5897B9C3" w:rsidR="00C65127" w:rsidRPr="004D02F0" w:rsidRDefault="00351CB2" w:rsidP="00422A01">
            <w:pPr>
              <w:jc w:val="center"/>
              <w:rPr>
                <w:rFonts w:ascii="Arial" w:hAnsi="Arial" w:cs="Arial"/>
                <w:sz w:val="16"/>
                <w:szCs w:val="16"/>
              </w:rPr>
            </w:pPr>
            <w:r>
              <w:rPr>
                <w:rFonts w:ascii="Arial" w:hAnsi="Arial" w:cs="Arial"/>
                <w:sz w:val="16"/>
                <w:szCs w:val="16"/>
              </w:rPr>
              <w:t>165.000</w:t>
            </w:r>
          </w:p>
        </w:tc>
        <w:tc>
          <w:tcPr>
            <w:tcW w:w="502" w:type="pct"/>
            <w:vAlign w:val="center"/>
          </w:tcPr>
          <w:p w14:paraId="2A60B3EF" w14:textId="519CA177" w:rsidR="00C65127" w:rsidRPr="004D02F0" w:rsidRDefault="00351CB2" w:rsidP="00422A01">
            <w:pPr>
              <w:jc w:val="center"/>
              <w:rPr>
                <w:rFonts w:ascii="Arial" w:hAnsi="Arial" w:cs="Arial"/>
                <w:sz w:val="16"/>
                <w:szCs w:val="16"/>
              </w:rPr>
            </w:pPr>
            <w:r>
              <w:rPr>
                <w:rFonts w:ascii="Arial" w:hAnsi="Arial" w:cs="Arial"/>
                <w:sz w:val="16"/>
                <w:szCs w:val="16"/>
              </w:rPr>
              <w:t>290</w:t>
            </w:r>
            <w:r w:rsidR="009918A6">
              <w:rPr>
                <w:rFonts w:ascii="Arial" w:hAnsi="Arial" w:cs="Arial"/>
                <w:sz w:val="16"/>
                <w:szCs w:val="16"/>
              </w:rPr>
              <w:t>.000</w:t>
            </w:r>
          </w:p>
        </w:tc>
        <w:tc>
          <w:tcPr>
            <w:tcW w:w="502" w:type="pct"/>
            <w:vAlign w:val="center"/>
          </w:tcPr>
          <w:p w14:paraId="5AE39E1B" w14:textId="736E3DBD" w:rsidR="00C65127" w:rsidRPr="004D02F0" w:rsidRDefault="00351CB2" w:rsidP="00422A01">
            <w:pPr>
              <w:jc w:val="center"/>
              <w:rPr>
                <w:rFonts w:ascii="Arial" w:hAnsi="Arial" w:cs="Arial"/>
                <w:sz w:val="16"/>
                <w:szCs w:val="16"/>
              </w:rPr>
            </w:pPr>
            <w:r>
              <w:rPr>
                <w:rFonts w:ascii="Arial" w:hAnsi="Arial" w:cs="Arial"/>
                <w:sz w:val="16"/>
                <w:szCs w:val="16"/>
              </w:rPr>
              <w:t>139.500</w:t>
            </w:r>
          </w:p>
        </w:tc>
        <w:tc>
          <w:tcPr>
            <w:tcW w:w="502" w:type="pct"/>
            <w:vAlign w:val="center"/>
          </w:tcPr>
          <w:p w14:paraId="69355A2E" w14:textId="41555709" w:rsidR="00C65127" w:rsidRPr="004D02F0" w:rsidRDefault="00351CB2" w:rsidP="00422A01">
            <w:pPr>
              <w:jc w:val="center"/>
              <w:rPr>
                <w:rFonts w:ascii="Arial" w:hAnsi="Arial" w:cs="Arial"/>
                <w:sz w:val="16"/>
                <w:szCs w:val="16"/>
              </w:rPr>
            </w:pPr>
            <w:r>
              <w:rPr>
                <w:rFonts w:ascii="Arial" w:hAnsi="Arial" w:cs="Arial"/>
                <w:sz w:val="16"/>
                <w:szCs w:val="16"/>
              </w:rPr>
              <w:t>95.000</w:t>
            </w:r>
          </w:p>
        </w:tc>
        <w:tc>
          <w:tcPr>
            <w:tcW w:w="502" w:type="pct"/>
            <w:vAlign w:val="center"/>
          </w:tcPr>
          <w:p w14:paraId="3ED197E3" w14:textId="0902B46F" w:rsidR="00C65127" w:rsidRPr="004D02F0" w:rsidRDefault="00351CB2" w:rsidP="00422A01">
            <w:pPr>
              <w:jc w:val="center"/>
              <w:rPr>
                <w:rFonts w:ascii="Arial" w:hAnsi="Arial" w:cs="Arial"/>
                <w:sz w:val="16"/>
                <w:szCs w:val="16"/>
              </w:rPr>
            </w:pPr>
            <w:r>
              <w:rPr>
                <w:rFonts w:ascii="Arial" w:hAnsi="Arial" w:cs="Arial"/>
                <w:sz w:val="16"/>
                <w:szCs w:val="16"/>
              </w:rPr>
              <w:t>12</w:t>
            </w:r>
            <w:r w:rsidR="00AA614B">
              <w:rPr>
                <w:rFonts w:ascii="Arial" w:hAnsi="Arial" w:cs="Arial"/>
                <w:sz w:val="16"/>
                <w:szCs w:val="16"/>
              </w:rPr>
              <w:t>5</w:t>
            </w:r>
            <w:r>
              <w:rPr>
                <w:rFonts w:ascii="Arial" w:hAnsi="Arial" w:cs="Arial"/>
                <w:sz w:val="16"/>
                <w:szCs w:val="16"/>
              </w:rPr>
              <w:t>.</w:t>
            </w:r>
            <w:r w:rsidR="00AA614B">
              <w:rPr>
                <w:rFonts w:ascii="Arial" w:hAnsi="Arial" w:cs="Arial"/>
                <w:sz w:val="16"/>
                <w:szCs w:val="16"/>
              </w:rPr>
              <w:t>8</w:t>
            </w:r>
            <w:r>
              <w:rPr>
                <w:rFonts w:ascii="Arial" w:hAnsi="Arial" w:cs="Arial"/>
                <w:sz w:val="16"/>
                <w:szCs w:val="16"/>
              </w:rPr>
              <w:t>00</w:t>
            </w:r>
          </w:p>
        </w:tc>
        <w:tc>
          <w:tcPr>
            <w:tcW w:w="502" w:type="pct"/>
            <w:vAlign w:val="center"/>
          </w:tcPr>
          <w:p w14:paraId="09BCBF01" w14:textId="058668EF" w:rsidR="00C65127" w:rsidRPr="004D02F0" w:rsidRDefault="00351CB2" w:rsidP="00422A01">
            <w:pPr>
              <w:jc w:val="center"/>
              <w:rPr>
                <w:rFonts w:ascii="Arial" w:hAnsi="Arial" w:cs="Arial"/>
                <w:sz w:val="16"/>
                <w:szCs w:val="16"/>
              </w:rPr>
            </w:pPr>
            <w:r>
              <w:rPr>
                <w:rFonts w:ascii="Arial" w:hAnsi="Arial" w:cs="Arial"/>
                <w:sz w:val="16"/>
                <w:szCs w:val="16"/>
              </w:rPr>
              <w:t>79.000</w:t>
            </w:r>
          </w:p>
        </w:tc>
        <w:tc>
          <w:tcPr>
            <w:tcW w:w="502" w:type="pct"/>
            <w:vAlign w:val="center"/>
          </w:tcPr>
          <w:p w14:paraId="28F82D2E" w14:textId="73A887FF" w:rsidR="00C65127" w:rsidRPr="004D02F0" w:rsidRDefault="00351CB2" w:rsidP="00422A01">
            <w:pPr>
              <w:jc w:val="center"/>
              <w:rPr>
                <w:rFonts w:ascii="Arial" w:hAnsi="Arial" w:cs="Arial"/>
                <w:sz w:val="16"/>
                <w:szCs w:val="16"/>
              </w:rPr>
            </w:pPr>
            <w:r>
              <w:rPr>
                <w:rFonts w:ascii="Arial" w:hAnsi="Arial" w:cs="Arial"/>
                <w:sz w:val="16"/>
                <w:szCs w:val="16"/>
              </w:rPr>
              <w:t>310</w:t>
            </w:r>
            <w:r w:rsidR="0065411A">
              <w:rPr>
                <w:rFonts w:ascii="Arial" w:hAnsi="Arial" w:cs="Arial"/>
                <w:sz w:val="16"/>
                <w:szCs w:val="16"/>
              </w:rPr>
              <w:t>.000</w:t>
            </w:r>
          </w:p>
        </w:tc>
        <w:tc>
          <w:tcPr>
            <w:tcW w:w="502" w:type="pct"/>
            <w:vAlign w:val="center"/>
          </w:tcPr>
          <w:p w14:paraId="53EA10CE" w14:textId="2CA5C875" w:rsidR="00C65127" w:rsidRPr="004D02F0" w:rsidRDefault="00351CB2" w:rsidP="00422A01">
            <w:pPr>
              <w:jc w:val="center"/>
              <w:rPr>
                <w:rFonts w:ascii="Arial" w:hAnsi="Arial" w:cs="Arial"/>
                <w:b/>
                <w:sz w:val="16"/>
                <w:szCs w:val="16"/>
              </w:rPr>
            </w:pPr>
            <w:r>
              <w:rPr>
                <w:rFonts w:ascii="Arial" w:hAnsi="Arial" w:cs="Arial"/>
                <w:b/>
                <w:bCs/>
                <w:sz w:val="16"/>
                <w:szCs w:val="16"/>
              </w:rPr>
              <w:t>1.</w:t>
            </w:r>
            <w:r w:rsidR="00E90575">
              <w:rPr>
                <w:rFonts w:ascii="Arial" w:hAnsi="Arial" w:cs="Arial"/>
                <w:b/>
                <w:bCs/>
                <w:sz w:val="16"/>
                <w:szCs w:val="16"/>
              </w:rPr>
              <w:t>204</w:t>
            </w:r>
            <w:r>
              <w:rPr>
                <w:rFonts w:ascii="Arial" w:hAnsi="Arial" w:cs="Arial"/>
                <w:b/>
                <w:bCs/>
                <w:sz w:val="16"/>
                <w:szCs w:val="16"/>
              </w:rPr>
              <w:t>.</w:t>
            </w:r>
            <w:r w:rsidR="00AA614B">
              <w:rPr>
                <w:rFonts w:ascii="Arial" w:hAnsi="Arial" w:cs="Arial"/>
                <w:b/>
                <w:bCs/>
                <w:sz w:val="16"/>
                <w:szCs w:val="16"/>
              </w:rPr>
              <w:t>3</w:t>
            </w:r>
            <w:r>
              <w:rPr>
                <w:rFonts w:ascii="Arial" w:hAnsi="Arial" w:cs="Arial"/>
                <w:b/>
                <w:bCs/>
                <w:sz w:val="16"/>
                <w:szCs w:val="16"/>
              </w:rPr>
              <w:t>00</w:t>
            </w:r>
          </w:p>
        </w:tc>
      </w:tr>
      <w:tr w:rsidR="00154A48" w:rsidRPr="004D02F0" w14:paraId="30BAA405" w14:textId="77777777" w:rsidTr="00422A01">
        <w:trPr>
          <w:trHeight w:val="283"/>
        </w:trPr>
        <w:tc>
          <w:tcPr>
            <w:tcW w:w="985" w:type="pct"/>
            <w:vAlign w:val="center"/>
          </w:tcPr>
          <w:p w14:paraId="1A75E96C"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Veränderung</w:t>
            </w:r>
          </w:p>
          <w:p w14:paraId="3888A71B" w14:textId="77777777" w:rsidR="00C65127" w:rsidRPr="004D02F0" w:rsidRDefault="00C65127" w:rsidP="00422A01">
            <w:pPr>
              <w:widowControl w:val="0"/>
              <w:rPr>
                <w:rFonts w:ascii="Arial" w:hAnsi="Arial" w:cs="Arial"/>
                <w:b/>
                <w:sz w:val="16"/>
                <w:szCs w:val="16"/>
              </w:rPr>
            </w:pPr>
            <w:proofErr w:type="spellStart"/>
            <w:r w:rsidRPr="004D02F0">
              <w:rPr>
                <w:rFonts w:ascii="Arial" w:hAnsi="Arial" w:cs="Arial"/>
                <w:b/>
                <w:sz w:val="16"/>
                <w:szCs w:val="16"/>
              </w:rPr>
              <w:t>ggü</w:t>
            </w:r>
            <w:proofErr w:type="spellEnd"/>
            <w:r w:rsidRPr="004D02F0">
              <w:rPr>
                <w:rFonts w:ascii="Arial" w:hAnsi="Arial" w:cs="Arial"/>
                <w:b/>
                <w:sz w:val="16"/>
                <w:szCs w:val="16"/>
              </w:rPr>
              <w:t xml:space="preserve">. Vorjahr </w:t>
            </w:r>
            <w:r w:rsidRPr="004D02F0">
              <w:rPr>
                <w:rFonts w:ascii="Arial" w:hAnsi="Arial" w:cs="Arial"/>
                <w:sz w:val="16"/>
                <w:szCs w:val="16"/>
              </w:rPr>
              <w:t>in %</w:t>
            </w:r>
          </w:p>
        </w:tc>
        <w:tc>
          <w:tcPr>
            <w:tcW w:w="502" w:type="pct"/>
            <w:vAlign w:val="center"/>
          </w:tcPr>
          <w:p w14:paraId="6D7F8C99" w14:textId="13F39442" w:rsidR="00C65127" w:rsidRPr="004D02F0" w:rsidRDefault="00530208" w:rsidP="00422A01">
            <w:pPr>
              <w:jc w:val="center"/>
              <w:rPr>
                <w:rFonts w:ascii="Arial" w:hAnsi="Arial" w:cs="Arial"/>
                <w:sz w:val="16"/>
                <w:szCs w:val="16"/>
              </w:rPr>
            </w:pPr>
            <w:r>
              <w:rPr>
                <w:rFonts w:ascii="Arial" w:hAnsi="Arial" w:cs="Arial"/>
                <w:sz w:val="16"/>
                <w:szCs w:val="16"/>
              </w:rPr>
              <w:t>-</w:t>
            </w:r>
            <w:r w:rsidR="00351CB2">
              <w:rPr>
                <w:rFonts w:ascii="Arial" w:hAnsi="Arial" w:cs="Arial"/>
                <w:sz w:val="16"/>
                <w:szCs w:val="16"/>
              </w:rPr>
              <w:t>47</w:t>
            </w:r>
          </w:p>
        </w:tc>
        <w:tc>
          <w:tcPr>
            <w:tcW w:w="502" w:type="pct"/>
            <w:vAlign w:val="center"/>
          </w:tcPr>
          <w:p w14:paraId="5141C8F6" w14:textId="17F67B22" w:rsidR="00C65127" w:rsidRPr="004D02F0" w:rsidRDefault="00264158" w:rsidP="00422A01">
            <w:pPr>
              <w:jc w:val="center"/>
              <w:rPr>
                <w:rFonts w:ascii="Arial" w:hAnsi="Arial" w:cs="Arial"/>
                <w:sz w:val="16"/>
                <w:szCs w:val="16"/>
              </w:rPr>
            </w:pPr>
            <w:r>
              <w:rPr>
                <w:rFonts w:ascii="Arial" w:hAnsi="Arial" w:cs="Arial"/>
                <w:sz w:val="16"/>
                <w:szCs w:val="16"/>
              </w:rPr>
              <w:t>-</w:t>
            </w:r>
            <w:r w:rsidR="00351CB2">
              <w:rPr>
                <w:rFonts w:ascii="Arial" w:hAnsi="Arial" w:cs="Arial"/>
                <w:sz w:val="16"/>
                <w:szCs w:val="16"/>
              </w:rPr>
              <w:t>24</w:t>
            </w:r>
          </w:p>
        </w:tc>
        <w:tc>
          <w:tcPr>
            <w:tcW w:w="502" w:type="pct"/>
            <w:vAlign w:val="center"/>
          </w:tcPr>
          <w:p w14:paraId="63C7571D" w14:textId="51368010" w:rsidR="00C65127" w:rsidRPr="004D02F0" w:rsidRDefault="00351CB2" w:rsidP="00422A01">
            <w:pPr>
              <w:jc w:val="center"/>
              <w:rPr>
                <w:rFonts w:ascii="Arial" w:hAnsi="Arial" w:cs="Arial"/>
                <w:sz w:val="16"/>
                <w:szCs w:val="16"/>
              </w:rPr>
            </w:pPr>
            <w:r>
              <w:rPr>
                <w:rFonts w:ascii="Arial" w:hAnsi="Arial" w:cs="Arial"/>
                <w:sz w:val="16"/>
                <w:szCs w:val="16"/>
              </w:rPr>
              <w:t>-35</w:t>
            </w:r>
          </w:p>
        </w:tc>
        <w:tc>
          <w:tcPr>
            <w:tcW w:w="502" w:type="pct"/>
            <w:vAlign w:val="center"/>
          </w:tcPr>
          <w:p w14:paraId="7165D3E4" w14:textId="575C9A60" w:rsidR="00C65127" w:rsidRPr="004D02F0" w:rsidRDefault="00264158" w:rsidP="00422A01">
            <w:pPr>
              <w:jc w:val="center"/>
              <w:rPr>
                <w:rFonts w:ascii="Arial" w:hAnsi="Arial" w:cs="Arial"/>
                <w:sz w:val="16"/>
                <w:szCs w:val="16"/>
              </w:rPr>
            </w:pPr>
            <w:r>
              <w:rPr>
                <w:rFonts w:ascii="Arial" w:hAnsi="Arial" w:cs="Arial"/>
                <w:sz w:val="16"/>
                <w:szCs w:val="16"/>
              </w:rPr>
              <w:t>-</w:t>
            </w:r>
            <w:r w:rsidR="00351CB2">
              <w:rPr>
                <w:rFonts w:ascii="Arial" w:hAnsi="Arial" w:cs="Arial"/>
                <w:sz w:val="16"/>
                <w:szCs w:val="16"/>
              </w:rPr>
              <w:t>34</w:t>
            </w:r>
          </w:p>
        </w:tc>
        <w:tc>
          <w:tcPr>
            <w:tcW w:w="502" w:type="pct"/>
            <w:vAlign w:val="center"/>
          </w:tcPr>
          <w:p w14:paraId="6A7EC24B" w14:textId="062AF60C" w:rsidR="00C65127" w:rsidRPr="004D02F0" w:rsidRDefault="009918A6" w:rsidP="00422A01">
            <w:pPr>
              <w:jc w:val="center"/>
              <w:rPr>
                <w:rFonts w:ascii="Arial" w:hAnsi="Arial" w:cs="Arial"/>
                <w:sz w:val="16"/>
                <w:szCs w:val="16"/>
              </w:rPr>
            </w:pPr>
            <w:r>
              <w:rPr>
                <w:rFonts w:ascii="Arial" w:hAnsi="Arial" w:cs="Arial"/>
                <w:sz w:val="16"/>
                <w:szCs w:val="16"/>
              </w:rPr>
              <w:t>-</w:t>
            </w:r>
            <w:r w:rsidR="00351CB2">
              <w:rPr>
                <w:rFonts w:ascii="Arial" w:hAnsi="Arial" w:cs="Arial"/>
                <w:sz w:val="16"/>
                <w:szCs w:val="16"/>
              </w:rPr>
              <w:t>55</w:t>
            </w:r>
          </w:p>
        </w:tc>
        <w:tc>
          <w:tcPr>
            <w:tcW w:w="502" w:type="pct"/>
            <w:vAlign w:val="center"/>
          </w:tcPr>
          <w:p w14:paraId="1BF0A9D0" w14:textId="07B29D31" w:rsidR="00C65127" w:rsidRPr="005A1563" w:rsidRDefault="00264158" w:rsidP="00422A01">
            <w:pPr>
              <w:jc w:val="center"/>
              <w:rPr>
                <w:rFonts w:ascii="Arial" w:hAnsi="Arial" w:cs="Arial"/>
                <w:sz w:val="16"/>
                <w:szCs w:val="16"/>
              </w:rPr>
            </w:pPr>
            <w:r>
              <w:rPr>
                <w:rFonts w:ascii="Arial" w:hAnsi="Arial" w:cs="Arial"/>
                <w:sz w:val="16"/>
                <w:szCs w:val="16"/>
              </w:rPr>
              <w:t>-</w:t>
            </w:r>
            <w:r w:rsidR="00351CB2">
              <w:rPr>
                <w:rFonts w:ascii="Arial" w:hAnsi="Arial" w:cs="Arial"/>
                <w:sz w:val="16"/>
                <w:szCs w:val="16"/>
              </w:rPr>
              <w:t>44</w:t>
            </w:r>
          </w:p>
        </w:tc>
        <w:tc>
          <w:tcPr>
            <w:tcW w:w="502" w:type="pct"/>
            <w:vAlign w:val="center"/>
          </w:tcPr>
          <w:p w14:paraId="7AAF5FFC" w14:textId="6575B151" w:rsidR="00C65127" w:rsidRPr="004D02F0" w:rsidRDefault="00351CB2" w:rsidP="00422A01">
            <w:pPr>
              <w:jc w:val="center"/>
              <w:rPr>
                <w:rFonts w:ascii="Arial" w:hAnsi="Arial" w:cs="Arial"/>
                <w:sz w:val="16"/>
                <w:szCs w:val="16"/>
              </w:rPr>
            </w:pPr>
            <w:r>
              <w:rPr>
                <w:rFonts w:ascii="Arial" w:hAnsi="Arial" w:cs="Arial"/>
                <w:sz w:val="16"/>
                <w:szCs w:val="16"/>
              </w:rPr>
              <w:t>-19</w:t>
            </w:r>
          </w:p>
        </w:tc>
        <w:tc>
          <w:tcPr>
            <w:tcW w:w="502" w:type="pct"/>
            <w:vAlign w:val="center"/>
          </w:tcPr>
          <w:p w14:paraId="35023511" w14:textId="49710EF7" w:rsidR="00C65127" w:rsidRPr="004D02F0" w:rsidRDefault="00264158" w:rsidP="00422A01">
            <w:pPr>
              <w:jc w:val="center"/>
              <w:rPr>
                <w:rFonts w:ascii="Arial" w:hAnsi="Arial" w:cs="Arial"/>
                <w:b/>
                <w:sz w:val="16"/>
                <w:szCs w:val="16"/>
              </w:rPr>
            </w:pPr>
            <w:r>
              <w:rPr>
                <w:rFonts w:ascii="Arial" w:hAnsi="Arial" w:cs="Arial"/>
                <w:b/>
                <w:sz w:val="16"/>
                <w:szCs w:val="16"/>
              </w:rPr>
              <w:t>-</w:t>
            </w:r>
            <w:r w:rsidR="00351CB2">
              <w:rPr>
                <w:rFonts w:ascii="Arial" w:hAnsi="Arial" w:cs="Arial"/>
                <w:b/>
                <w:sz w:val="16"/>
                <w:szCs w:val="16"/>
              </w:rPr>
              <w:t>3</w:t>
            </w:r>
            <w:r>
              <w:rPr>
                <w:rFonts w:ascii="Arial" w:hAnsi="Arial" w:cs="Arial"/>
                <w:b/>
                <w:sz w:val="16"/>
                <w:szCs w:val="16"/>
              </w:rPr>
              <w:t>5</w:t>
            </w:r>
          </w:p>
        </w:tc>
      </w:tr>
      <w:tr w:rsidR="00154A48" w:rsidRPr="004D02F0" w14:paraId="6A892DF0" w14:textId="77777777" w:rsidTr="00422A01">
        <w:trPr>
          <w:trHeight w:val="283"/>
        </w:trPr>
        <w:tc>
          <w:tcPr>
            <w:tcW w:w="985" w:type="pct"/>
            <w:vAlign w:val="center"/>
          </w:tcPr>
          <w:p w14:paraId="03331B4D"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Spitzenmiete</w:t>
            </w:r>
          </w:p>
          <w:p w14:paraId="5AAB1763"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€/m²/Monat</w:t>
            </w:r>
          </w:p>
        </w:tc>
        <w:tc>
          <w:tcPr>
            <w:tcW w:w="502" w:type="pct"/>
            <w:vAlign w:val="center"/>
          </w:tcPr>
          <w:p w14:paraId="70AD1691" w14:textId="7400128A" w:rsidR="00C65127" w:rsidRPr="004D02F0" w:rsidRDefault="00264158" w:rsidP="00422A01">
            <w:pPr>
              <w:jc w:val="center"/>
              <w:rPr>
                <w:rFonts w:ascii="Arial" w:hAnsi="Arial" w:cs="Arial"/>
                <w:sz w:val="16"/>
                <w:szCs w:val="16"/>
              </w:rPr>
            </w:pPr>
            <w:r>
              <w:rPr>
                <w:rFonts w:ascii="Arial" w:hAnsi="Arial" w:cs="Arial"/>
                <w:sz w:val="16"/>
                <w:szCs w:val="16"/>
              </w:rPr>
              <w:t>30,</w:t>
            </w:r>
            <w:r w:rsidR="00351CB2">
              <w:rPr>
                <w:rFonts w:ascii="Arial" w:hAnsi="Arial" w:cs="Arial"/>
                <w:sz w:val="16"/>
                <w:szCs w:val="16"/>
              </w:rPr>
              <w:t>5</w:t>
            </w:r>
            <w:r>
              <w:rPr>
                <w:rFonts w:ascii="Arial" w:hAnsi="Arial" w:cs="Arial"/>
                <w:sz w:val="16"/>
                <w:szCs w:val="16"/>
              </w:rPr>
              <w:t>0</w:t>
            </w:r>
          </w:p>
        </w:tc>
        <w:tc>
          <w:tcPr>
            <w:tcW w:w="502" w:type="pct"/>
            <w:vAlign w:val="center"/>
          </w:tcPr>
          <w:p w14:paraId="3B47B535" w14:textId="159A8FB0" w:rsidR="00C65127" w:rsidRPr="004D02F0" w:rsidRDefault="00264158" w:rsidP="00422A01">
            <w:pPr>
              <w:jc w:val="center"/>
              <w:rPr>
                <w:rFonts w:ascii="Arial" w:hAnsi="Arial" w:cs="Arial"/>
                <w:sz w:val="16"/>
                <w:szCs w:val="16"/>
              </w:rPr>
            </w:pPr>
            <w:r>
              <w:rPr>
                <w:rFonts w:ascii="Arial" w:hAnsi="Arial" w:cs="Arial"/>
                <w:sz w:val="16"/>
                <w:szCs w:val="16"/>
              </w:rPr>
              <w:t>3</w:t>
            </w:r>
            <w:r w:rsidR="00FA6A95">
              <w:rPr>
                <w:rFonts w:ascii="Arial" w:hAnsi="Arial" w:cs="Arial"/>
                <w:sz w:val="16"/>
                <w:szCs w:val="16"/>
              </w:rPr>
              <w:t>9</w:t>
            </w:r>
            <w:r w:rsidR="0051013F" w:rsidRPr="004D02F0">
              <w:rPr>
                <w:rFonts w:ascii="Arial" w:hAnsi="Arial" w:cs="Arial"/>
                <w:sz w:val="16"/>
                <w:szCs w:val="16"/>
              </w:rPr>
              <w:t>,</w:t>
            </w:r>
            <w:r w:rsidR="00351CB2">
              <w:rPr>
                <w:rFonts w:ascii="Arial" w:hAnsi="Arial" w:cs="Arial"/>
                <w:sz w:val="16"/>
                <w:szCs w:val="16"/>
              </w:rPr>
              <w:t>0</w:t>
            </w:r>
            <w:r w:rsidR="0051013F" w:rsidRPr="004D02F0">
              <w:rPr>
                <w:rFonts w:ascii="Arial" w:hAnsi="Arial" w:cs="Arial"/>
                <w:sz w:val="16"/>
                <w:szCs w:val="16"/>
              </w:rPr>
              <w:t>0</w:t>
            </w:r>
          </w:p>
        </w:tc>
        <w:tc>
          <w:tcPr>
            <w:tcW w:w="502" w:type="pct"/>
            <w:vAlign w:val="center"/>
          </w:tcPr>
          <w:p w14:paraId="48FF87E6" w14:textId="624B391E" w:rsidR="00C65127" w:rsidRPr="004D02F0" w:rsidRDefault="00264158" w:rsidP="00422A01">
            <w:pPr>
              <w:jc w:val="center"/>
              <w:rPr>
                <w:rFonts w:ascii="Arial" w:hAnsi="Arial" w:cs="Arial"/>
                <w:sz w:val="16"/>
                <w:szCs w:val="16"/>
              </w:rPr>
            </w:pPr>
            <w:r>
              <w:rPr>
                <w:rFonts w:ascii="Arial" w:hAnsi="Arial" w:cs="Arial"/>
                <w:sz w:val="16"/>
                <w:szCs w:val="16"/>
              </w:rPr>
              <w:t>28,50</w:t>
            </w:r>
          </w:p>
        </w:tc>
        <w:tc>
          <w:tcPr>
            <w:tcW w:w="502" w:type="pct"/>
            <w:vAlign w:val="center"/>
          </w:tcPr>
          <w:p w14:paraId="0E0D4DA3" w14:textId="560D0C79"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530208">
              <w:rPr>
                <w:rFonts w:ascii="Arial" w:hAnsi="Arial" w:cs="Arial"/>
                <w:sz w:val="16"/>
                <w:szCs w:val="16"/>
              </w:rPr>
              <w:t>6</w:t>
            </w:r>
            <w:r w:rsidRPr="004D02F0">
              <w:rPr>
                <w:rFonts w:ascii="Arial" w:hAnsi="Arial" w:cs="Arial"/>
                <w:sz w:val="16"/>
                <w:szCs w:val="16"/>
              </w:rPr>
              <w:t>,</w:t>
            </w:r>
            <w:r w:rsidR="000B762F">
              <w:rPr>
                <w:rFonts w:ascii="Arial" w:hAnsi="Arial" w:cs="Arial"/>
                <w:sz w:val="16"/>
                <w:szCs w:val="16"/>
              </w:rPr>
              <w:t>0</w:t>
            </w:r>
            <w:r w:rsidR="00D15E4C" w:rsidRPr="004D02F0">
              <w:rPr>
                <w:rFonts w:ascii="Arial" w:hAnsi="Arial" w:cs="Arial"/>
                <w:sz w:val="16"/>
                <w:szCs w:val="16"/>
              </w:rPr>
              <w:t>0</w:t>
            </w:r>
          </w:p>
        </w:tc>
        <w:tc>
          <w:tcPr>
            <w:tcW w:w="502" w:type="pct"/>
            <w:vAlign w:val="center"/>
          </w:tcPr>
          <w:p w14:paraId="2F6819D7" w14:textId="37F95A0E" w:rsidR="00C65127" w:rsidRPr="004D02F0" w:rsidRDefault="009918A6" w:rsidP="00422A01">
            <w:pPr>
              <w:jc w:val="center"/>
              <w:rPr>
                <w:rFonts w:ascii="Arial" w:hAnsi="Arial" w:cs="Arial"/>
                <w:sz w:val="16"/>
                <w:szCs w:val="16"/>
              </w:rPr>
            </w:pPr>
            <w:r>
              <w:rPr>
                <w:rFonts w:ascii="Arial" w:hAnsi="Arial" w:cs="Arial"/>
                <w:sz w:val="16"/>
                <w:szCs w:val="16"/>
              </w:rPr>
              <w:t>4</w:t>
            </w:r>
            <w:r w:rsidR="00530208">
              <w:rPr>
                <w:rFonts w:ascii="Arial" w:hAnsi="Arial" w:cs="Arial"/>
                <w:sz w:val="16"/>
                <w:szCs w:val="16"/>
              </w:rPr>
              <w:t>5</w:t>
            </w:r>
            <w:r>
              <w:rPr>
                <w:rFonts w:ascii="Arial" w:hAnsi="Arial" w:cs="Arial"/>
                <w:sz w:val="16"/>
                <w:szCs w:val="16"/>
              </w:rPr>
              <w:t>,00</w:t>
            </w:r>
          </w:p>
        </w:tc>
        <w:tc>
          <w:tcPr>
            <w:tcW w:w="502" w:type="pct"/>
            <w:vAlign w:val="center"/>
          </w:tcPr>
          <w:p w14:paraId="47B42CB7" w14:textId="4377E706"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264158">
              <w:rPr>
                <w:rFonts w:ascii="Arial" w:hAnsi="Arial" w:cs="Arial"/>
                <w:sz w:val="16"/>
                <w:szCs w:val="16"/>
              </w:rPr>
              <w:t>5</w:t>
            </w:r>
            <w:r w:rsidRPr="004D02F0">
              <w:rPr>
                <w:rFonts w:ascii="Arial" w:hAnsi="Arial" w:cs="Arial"/>
                <w:sz w:val="16"/>
                <w:szCs w:val="16"/>
              </w:rPr>
              <w:t>,</w:t>
            </w:r>
            <w:r w:rsidR="00351CB2">
              <w:rPr>
                <w:rFonts w:ascii="Arial" w:hAnsi="Arial" w:cs="Arial"/>
                <w:sz w:val="16"/>
                <w:szCs w:val="16"/>
              </w:rPr>
              <w:t>5</w:t>
            </w:r>
            <w:r w:rsidR="00A622CD" w:rsidRPr="004D02F0">
              <w:rPr>
                <w:rFonts w:ascii="Arial" w:hAnsi="Arial" w:cs="Arial"/>
                <w:sz w:val="16"/>
                <w:szCs w:val="16"/>
              </w:rPr>
              <w:t>0</w:t>
            </w:r>
          </w:p>
        </w:tc>
        <w:tc>
          <w:tcPr>
            <w:tcW w:w="502" w:type="pct"/>
            <w:vAlign w:val="center"/>
          </w:tcPr>
          <w:p w14:paraId="662439A0" w14:textId="642F2CAD" w:rsidR="00C65127" w:rsidRPr="004D02F0" w:rsidRDefault="009918A6" w:rsidP="00422A01">
            <w:pPr>
              <w:jc w:val="center"/>
              <w:rPr>
                <w:rFonts w:ascii="Arial" w:hAnsi="Arial" w:cs="Arial"/>
                <w:sz w:val="16"/>
                <w:szCs w:val="16"/>
              </w:rPr>
            </w:pPr>
            <w:r>
              <w:rPr>
                <w:rFonts w:ascii="Arial" w:hAnsi="Arial" w:cs="Arial"/>
                <w:sz w:val="16"/>
                <w:szCs w:val="16"/>
              </w:rPr>
              <w:t>3</w:t>
            </w:r>
            <w:r w:rsidR="00530208">
              <w:rPr>
                <w:rFonts w:ascii="Arial" w:hAnsi="Arial" w:cs="Arial"/>
                <w:sz w:val="16"/>
                <w:szCs w:val="16"/>
              </w:rPr>
              <w:t>8</w:t>
            </w:r>
            <w:r>
              <w:rPr>
                <w:rFonts w:ascii="Arial" w:hAnsi="Arial" w:cs="Arial"/>
                <w:sz w:val="16"/>
                <w:szCs w:val="16"/>
              </w:rPr>
              <w:t>,</w:t>
            </w:r>
            <w:r w:rsidR="00264158">
              <w:rPr>
                <w:rFonts w:ascii="Arial" w:hAnsi="Arial" w:cs="Arial"/>
                <w:sz w:val="16"/>
                <w:szCs w:val="16"/>
              </w:rPr>
              <w:t>5</w:t>
            </w:r>
            <w:r>
              <w:rPr>
                <w:rFonts w:ascii="Arial" w:hAnsi="Arial" w:cs="Arial"/>
                <w:sz w:val="16"/>
                <w:szCs w:val="16"/>
              </w:rPr>
              <w:t>0</w:t>
            </w:r>
          </w:p>
        </w:tc>
        <w:tc>
          <w:tcPr>
            <w:tcW w:w="502" w:type="pct"/>
            <w:vAlign w:val="center"/>
          </w:tcPr>
          <w:p w14:paraId="16C3A477" w14:textId="145F4DE1"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5BB9D77C" w14:textId="77777777" w:rsidTr="00422A01">
        <w:trPr>
          <w:trHeight w:val="283"/>
        </w:trPr>
        <w:tc>
          <w:tcPr>
            <w:tcW w:w="985" w:type="pct"/>
            <w:vAlign w:val="center"/>
          </w:tcPr>
          <w:p w14:paraId="2BB43FAF"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 xml:space="preserve">Durchschnittsmiete </w:t>
            </w:r>
            <w:r w:rsidRPr="004D02F0">
              <w:rPr>
                <w:rFonts w:ascii="Arial" w:hAnsi="Arial" w:cs="Arial"/>
                <w:sz w:val="16"/>
                <w:szCs w:val="16"/>
              </w:rPr>
              <w:t>in €/m²/Monat</w:t>
            </w:r>
          </w:p>
        </w:tc>
        <w:tc>
          <w:tcPr>
            <w:tcW w:w="502" w:type="pct"/>
            <w:vAlign w:val="center"/>
          </w:tcPr>
          <w:p w14:paraId="3CFBDAD7" w14:textId="53A2D4D0" w:rsidR="00C65127" w:rsidRPr="004D02F0" w:rsidRDefault="00163785" w:rsidP="00422A01">
            <w:pPr>
              <w:jc w:val="center"/>
              <w:rPr>
                <w:rFonts w:ascii="Arial" w:hAnsi="Arial" w:cs="Arial"/>
                <w:sz w:val="16"/>
                <w:szCs w:val="16"/>
              </w:rPr>
            </w:pPr>
            <w:r w:rsidRPr="004D02F0">
              <w:rPr>
                <w:rFonts w:ascii="Arial" w:hAnsi="Arial" w:cs="Arial"/>
                <w:sz w:val="16"/>
                <w:szCs w:val="16"/>
              </w:rPr>
              <w:t>1</w:t>
            </w:r>
            <w:r w:rsidR="000B762F">
              <w:rPr>
                <w:rFonts w:ascii="Arial" w:hAnsi="Arial" w:cs="Arial"/>
                <w:sz w:val="16"/>
                <w:szCs w:val="16"/>
              </w:rPr>
              <w:t>7</w:t>
            </w:r>
            <w:r w:rsidRPr="004D02F0">
              <w:rPr>
                <w:rFonts w:ascii="Arial" w:hAnsi="Arial" w:cs="Arial"/>
                <w:sz w:val="16"/>
                <w:szCs w:val="16"/>
              </w:rPr>
              <w:t>,</w:t>
            </w:r>
            <w:r w:rsidR="00351CB2">
              <w:rPr>
                <w:rFonts w:ascii="Arial" w:hAnsi="Arial" w:cs="Arial"/>
                <w:sz w:val="16"/>
                <w:szCs w:val="16"/>
              </w:rPr>
              <w:t>6</w:t>
            </w:r>
            <w:r w:rsidR="00530208">
              <w:rPr>
                <w:rFonts w:ascii="Arial" w:hAnsi="Arial" w:cs="Arial"/>
                <w:sz w:val="16"/>
                <w:szCs w:val="16"/>
              </w:rPr>
              <w:t>0</w:t>
            </w:r>
          </w:p>
        </w:tc>
        <w:tc>
          <w:tcPr>
            <w:tcW w:w="502" w:type="pct"/>
            <w:vAlign w:val="center"/>
          </w:tcPr>
          <w:p w14:paraId="250741C6" w14:textId="1DCEB484" w:rsidR="00C65127" w:rsidRPr="004D02F0" w:rsidRDefault="00264158" w:rsidP="00422A01">
            <w:pPr>
              <w:jc w:val="center"/>
              <w:rPr>
                <w:rFonts w:ascii="Arial" w:hAnsi="Arial" w:cs="Arial"/>
                <w:sz w:val="16"/>
                <w:szCs w:val="16"/>
              </w:rPr>
            </w:pPr>
            <w:r>
              <w:rPr>
                <w:rFonts w:ascii="Arial" w:hAnsi="Arial" w:cs="Arial"/>
                <w:sz w:val="16"/>
                <w:szCs w:val="16"/>
              </w:rPr>
              <w:t>28,</w:t>
            </w:r>
            <w:r w:rsidR="00F34C5A">
              <w:rPr>
                <w:rFonts w:ascii="Arial" w:hAnsi="Arial" w:cs="Arial"/>
                <w:sz w:val="16"/>
                <w:szCs w:val="16"/>
              </w:rPr>
              <w:t>95</w:t>
            </w:r>
          </w:p>
        </w:tc>
        <w:tc>
          <w:tcPr>
            <w:tcW w:w="502" w:type="pct"/>
            <w:vAlign w:val="center"/>
          </w:tcPr>
          <w:p w14:paraId="22731057" w14:textId="1B20F9AC" w:rsidR="00C65127" w:rsidRPr="004D02F0" w:rsidRDefault="4A6EE254" w:rsidP="00422A01">
            <w:pPr>
              <w:jc w:val="center"/>
              <w:rPr>
                <w:rFonts w:ascii="Arial" w:hAnsi="Arial" w:cs="Arial"/>
                <w:sz w:val="16"/>
                <w:szCs w:val="16"/>
              </w:rPr>
            </w:pPr>
            <w:r w:rsidRPr="004D02F0">
              <w:rPr>
                <w:rFonts w:ascii="Arial" w:hAnsi="Arial" w:cs="Arial"/>
                <w:sz w:val="16"/>
                <w:szCs w:val="16"/>
              </w:rPr>
              <w:t>16,</w:t>
            </w:r>
            <w:r w:rsidR="00F34C5A">
              <w:rPr>
                <w:rFonts w:ascii="Arial" w:hAnsi="Arial" w:cs="Arial"/>
                <w:sz w:val="16"/>
                <w:szCs w:val="16"/>
              </w:rPr>
              <w:t>6</w:t>
            </w:r>
            <w:r w:rsidR="00264158">
              <w:rPr>
                <w:rFonts w:ascii="Arial" w:hAnsi="Arial" w:cs="Arial"/>
                <w:sz w:val="16"/>
                <w:szCs w:val="16"/>
              </w:rPr>
              <w:t>0</w:t>
            </w:r>
          </w:p>
        </w:tc>
        <w:tc>
          <w:tcPr>
            <w:tcW w:w="502" w:type="pct"/>
            <w:vAlign w:val="center"/>
          </w:tcPr>
          <w:p w14:paraId="3346910E" w14:textId="20365F1D" w:rsidR="00C65127" w:rsidRPr="004D02F0" w:rsidRDefault="00264158" w:rsidP="00422A01">
            <w:pPr>
              <w:jc w:val="center"/>
              <w:rPr>
                <w:rFonts w:ascii="Arial" w:hAnsi="Arial" w:cs="Arial"/>
                <w:sz w:val="16"/>
                <w:szCs w:val="16"/>
              </w:rPr>
            </w:pPr>
            <w:r>
              <w:rPr>
                <w:rFonts w:ascii="Arial" w:hAnsi="Arial" w:cs="Arial"/>
                <w:sz w:val="16"/>
                <w:szCs w:val="16"/>
              </w:rPr>
              <w:t>15,00</w:t>
            </w:r>
          </w:p>
        </w:tc>
        <w:tc>
          <w:tcPr>
            <w:tcW w:w="502" w:type="pct"/>
            <w:vAlign w:val="center"/>
          </w:tcPr>
          <w:p w14:paraId="35378973" w14:textId="1BC5AEED" w:rsidR="00C65127" w:rsidRPr="004D02F0" w:rsidRDefault="00264158" w:rsidP="00422A01">
            <w:pPr>
              <w:jc w:val="center"/>
              <w:rPr>
                <w:rFonts w:ascii="Arial" w:hAnsi="Arial" w:cs="Arial"/>
                <w:sz w:val="16"/>
                <w:szCs w:val="16"/>
              </w:rPr>
            </w:pPr>
            <w:r>
              <w:rPr>
                <w:rFonts w:ascii="Arial" w:hAnsi="Arial" w:cs="Arial"/>
                <w:sz w:val="16"/>
                <w:szCs w:val="16"/>
              </w:rPr>
              <w:t>21,</w:t>
            </w:r>
            <w:r w:rsidR="00F34C5A">
              <w:rPr>
                <w:rFonts w:ascii="Arial" w:hAnsi="Arial" w:cs="Arial"/>
                <w:sz w:val="16"/>
                <w:szCs w:val="16"/>
              </w:rPr>
              <w:t>4</w:t>
            </w:r>
            <w:r>
              <w:rPr>
                <w:rFonts w:ascii="Arial" w:hAnsi="Arial" w:cs="Arial"/>
                <w:sz w:val="16"/>
                <w:szCs w:val="16"/>
              </w:rPr>
              <w:t>0</w:t>
            </w:r>
          </w:p>
        </w:tc>
        <w:tc>
          <w:tcPr>
            <w:tcW w:w="502" w:type="pct"/>
            <w:vAlign w:val="center"/>
          </w:tcPr>
          <w:p w14:paraId="2EA0BF92" w14:textId="390BA914" w:rsidR="00C65127" w:rsidRPr="004D02F0" w:rsidRDefault="006958D9" w:rsidP="00422A01">
            <w:pPr>
              <w:jc w:val="center"/>
              <w:rPr>
                <w:rFonts w:ascii="Arial" w:hAnsi="Arial" w:cs="Arial"/>
                <w:sz w:val="16"/>
                <w:szCs w:val="16"/>
              </w:rPr>
            </w:pPr>
            <w:r w:rsidRPr="004D02F0">
              <w:rPr>
                <w:rFonts w:ascii="Arial" w:hAnsi="Arial" w:cs="Arial"/>
                <w:sz w:val="16"/>
                <w:szCs w:val="16"/>
              </w:rPr>
              <w:t>1</w:t>
            </w:r>
            <w:r w:rsidR="009918A6">
              <w:rPr>
                <w:rFonts w:ascii="Arial" w:hAnsi="Arial" w:cs="Arial"/>
                <w:sz w:val="16"/>
                <w:szCs w:val="16"/>
              </w:rPr>
              <w:t>6,</w:t>
            </w:r>
            <w:r w:rsidR="00F34C5A">
              <w:rPr>
                <w:rFonts w:ascii="Arial" w:hAnsi="Arial" w:cs="Arial"/>
                <w:sz w:val="16"/>
                <w:szCs w:val="16"/>
              </w:rPr>
              <w:t>7</w:t>
            </w:r>
            <w:r w:rsidR="00264158">
              <w:rPr>
                <w:rFonts w:ascii="Arial" w:hAnsi="Arial" w:cs="Arial"/>
                <w:sz w:val="16"/>
                <w:szCs w:val="16"/>
              </w:rPr>
              <w:t>0</w:t>
            </w:r>
          </w:p>
        </w:tc>
        <w:tc>
          <w:tcPr>
            <w:tcW w:w="502" w:type="pct"/>
            <w:vAlign w:val="center"/>
          </w:tcPr>
          <w:p w14:paraId="67E1FFC1" w14:textId="469687C0" w:rsidR="00C65127" w:rsidRPr="004D02F0" w:rsidRDefault="00530208" w:rsidP="00422A01">
            <w:pPr>
              <w:jc w:val="center"/>
              <w:rPr>
                <w:rFonts w:ascii="Arial" w:hAnsi="Arial" w:cs="Arial"/>
                <w:sz w:val="16"/>
                <w:szCs w:val="16"/>
              </w:rPr>
            </w:pPr>
            <w:r>
              <w:rPr>
                <w:rFonts w:ascii="Arial" w:hAnsi="Arial" w:cs="Arial"/>
                <w:sz w:val="16"/>
                <w:szCs w:val="16"/>
              </w:rPr>
              <w:t>2</w:t>
            </w:r>
            <w:r w:rsidR="00F34C5A">
              <w:rPr>
                <w:rFonts w:ascii="Arial" w:hAnsi="Arial" w:cs="Arial"/>
                <w:sz w:val="16"/>
                <w:szCs w:val="16"/>
              </w:rPr>
              <w:t>2</w:t>
            </w:r>
            <w:r w:rsidR="4A6EE254" w:rsidRPr="004D02F0">
              <w:rPr>
                <w:rFonts w:ascii="Arial" w:hAnsi="Arial" w:cs="Arial"/>
                <w:sz w:val="16"/>
                <w:szCs w:val="16"/>
              </w:rPr>
              <w:t>,</w:t>
            </w:r>
            <w:r>
              <w:rPr>
                <w:rFonts w:ascii="Arial" w:hAnsi="Arial" w:cs="Arial"/>
                <w:sz w:val="16"/>
                <w:szCs w:val="16"/>
              </w:rPr>
              <w:t>50</w:t>
            </w:r>
          </w:p>
        </w:tc>
        <w:tc>
          <w:tcPr>
            <w:tcW w:w="502" w:type="pct"/>
            <w:vAlign w:val="center"/>
          </w:tcPr>
          <w:p w14:paraId="641D8666" w14:textId="25A47855"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11C1F04E" w14:textId="77777777" w:rsidTr="00422A01">
        <w:trPr>
          <w:trHeight w:val="283"/>
        </w:trPr>
        <w:tc>
          <w:tcPr>
            <w:tcW w:w="985" w:type="pct"/>
            <w:vAlign w:val="center"/>
          </w:tcPr>
          <w:p w14:paraId="038CA77D" w14:textId="77777777" w:rsidR="00C65127" w:rsidRPr="004D02F0" w:rsidRDefault="00C65127" w:rsidP="00422A01">
            <w:pPr>
              <w:widowControl w:val="0"/>
              <w:rPr>
                <w:rFonts w:ascii="Arial" w:hAnsi="Arial" w:cs="Arial"/>
                <w:sz w:val="16"/>
                <w:szCs w:val="16"/>
              </w:rPr>
            </w:pPr>
            <w:r w:rsidRPr="004D02F0">
              <w:rPr>
                <w:rFonts w:ascii="Arial" w:hAnsi="Arial" w:cs="Arial"/>
                <w:b/>
                <w:sz w:val="16"/>
                <w:szCs w:val="16"/>
              </w:rPr>
              <w:t xml:space="preserve">Büroflächenbestand </w:t>
            </w:r>
            <w:r w:rsidRPr="004D02F0">
              <w:rPr>
                <w:rFonts w:ascii="Arial" w:hAnsi="Arial" w:cs="Arial"/>
                <w:sz w:val="16"/>
                <w:szCs w:val="16"/>
              </w:rPr>
              <w:t>in Mio. m²</w:t>
            </w:r>
          </w:p>
        </w:tc>
        <w:tc>
          <w:tcPr>
            <w:tcW w:w="502" w:type="pct"/>
            <w:vAlign w:val="center"/>
          </w:tcPr>
          <w:p w14:paraId="4602080E" w14:textId="6B08336F" w:rsidR="00C65127" w:rsidRPr="004D02F0" w:rsidRDefault="4A6EE254" w:rsidP="00422A01">
            <w:pPr>
              <w:jc w:val="center"/>
              <w:rPr>
                <w:rFonts w:ascii="Arial" w:hAnsi="Arial" w:cs="Arial"/>
                <w:sz w:val="16"/>
                <w:szCs w:val="16"/>
              </w:rPr>
            </w:pPr>
            <w:r w:rsidRPr="004D02F0">
              <w:rPr>
                <w:rFonts w:ascii="Arial" w:hAnsi="Arial" w:cs="Arial"/>
                <w:sz w:val="16"/>
                <w:szCs w:val="16"/>
              </w:rPr>
              <w:t>13,</w:t>
            </w:r>
            <w:r w:rsidR="009C5FCC">
              <w:rPr>
                <w:rFonts w:ascii="Arial" w:hAnsi="Arial" w:cs="Arial"/>
                <w:sz w:val="16"/>
                <w:szCs w:val="16"/>
              </w:rPr>
              <w:t>8</w:t>
            </w:r>
            <w:r w:rsidR="00F34C5A">
              <w:rPr>
                <w:rFonts w:ascii="Arial" w:hAnsi="Arial" w:cs="Arial"/>
                <w:sz w:val="16"/>
                <w:szCs w:val="16"/>
              </w:rPr>
              <w:t>7</w:t>
            </w:r>
          </w:p>
        </w:tc>
        <w:tc>
          <w:tcPr>
            <w:tcW w:w="502" w:type="pct"/>
            <w:vAlign w:val="center"/>
          </w:tcPr>
          <w:p w14:paraId="56FBC9EA" w14:textId="4EBEC724" w:rsidR="00C65127" w:rsidRPr="004D02F0" w:rsidRDefault="4A6EE254" w:rsidP="0050541B">
            <w:pPr>
              <w:jc w:val="center"/>
              <w:rPr>
                <w:rFonts w:ascii="Arial" w:hAnsi="Arial" w:cs="Arial"/>
                <w:sz w:val="16"/>
                <w:szCs w:val="16"/>
              </w:rPr>
            </w:pPr>
            <w:r w:rsidRPr="004D02F0">
              <w:rPr>
                <w:rFonts w:ascii="Arial" w:hAnsi="Arial" w:cs="Arial"/>
                <w:sz w:val="16"/>
                <w:szCs w:val="16"/>
              </w:rPr>
              <w:t>19</w:t>
            </w:r>
            <w:r w:rsidR="00673857" w:rsidRPr="004D02F0">
              <w:rPr>
                <w:rFonts w:ascii="Arial" w:hAnsi="Arial" w:cs="Arial"/>
                <w:sz w:val="16"/>
                <w:szCs w:val="16"/>
              </w:rPr>
              <w:t>,</w:t>
            </w:r>
            <w:r w:rsidR="009C5FCC">
              <w:rPr>
                <w:rFonts w:ascii="Arial" w:hAnsi="Arial" w:cs="Arial"/>
                <w:sz w:val="16"/>
                <w:szCs w:val="16"/>
              </w:rPr>
              <w:t>82</w:t>
            </w:r>
          </w:p>
        </w:tc>
        <w:tc>
          <w:tcPr>
            <w:tcW w:w="502" w:type="pct"/>
            <w:vAlign w:val="center"/>
          </w:tcPr>
          <w:p w14:paraId="147E0521" w14:textId="7D16A83C" w:rsidR="00C65127" w:rsidRPr="004D02F0" w:rsidRDefault="4A6EE254" w:rsidP="0050541B">
            <w:pPr>
              <w:jc w:val="center"/>
              <w:rPr>
                <w:rFonts w:ascii="Arial" w:hAnsi="Arial" w:cs="Arial"/>
                <w:sz w:val="16"/>
                <w:szCs w:val="16"/>
              </w:rPr>
            </w:pPr>
            <w:r w:rsidRPr="004D02F0">
              <w:rPr>
                <w:rFonts w:ascii="Arial" w:hAnsi="Arial" w:cs="Arial"/>
                <w:sz w:val="16"/>
                <w:szCs w:val="16"/>
              </w:rPr>
              <w:t>7,</w:t>
            </w:r>
            <w:r w:rsidR="009C5FCC">
              <w:rPr>
                <w:rFonts w:ascii="Arial" w:hAnsi="Arial" w:cs="Arial"/>
                <w:sz w:val="16"/>
                <w:szCs w:val="16"/>
              </w:rPr>
              <w:t>1</w:t>
            </w:r>
            <w:r w:rsidR="00F34C5A">
              <w:rPr>
                <w:rFonts w:ascii="Arial" w:hAnsi="Arial" w:cs="Arial"/>
                <w:sz w:val="16"/>
                <w:szCs w:val="16"/>
              </w:rPr>
              <w:t>7</w:t>
            </w:r>
          </w:p>
        </w:tc>
        <w:tc>
          <w:tcPr>
            <w:tcW w:w="502" w:type="pct"/>
            <w:vAlign w:val="center"/>
          </w:tcPr>
          <w:p w14:paraId="419784C7" w14:textId="7E312416" w:rsidR="00C65127" w:rsidRPr="004D02F0" w:rsidRDefault="4A6EE254" w:rsidP="0050541B">
            <w:pPr>
              <w:jc w:val="center"/>
              <w:rPr>
                <w:rFonts w:ascii="Arial" w:hAnsi="Arial" w:cs="Arial"/>
                <w:sz w:val="16"/>
                <w:szCs w:val="16"/>
              </w:rPr>
            </w:pPr>
            <w:r w:rsidRPr="004D02F0">
              <w:rPr>
                <w:rFonts w:ascii="Arial" w:hAnsi="Arial" w:cs="Arial"/>
                <w:sz w:val="16"/>
                <w:szCs w:val="16"/>
              </w:rPr>
              <w:t>7,</w:t>
            </w:r>
            <w:r w:rsidR="009C5FCC">
              <w:rPr>
                <w:rFonts w:ascii="Arial" w:hAnsi="Arial" w:cs="Arial"/>
                <w:sz w:val="16"/>
                <w:szCs w:val="16"/>
              </w:rPr>
              <w:t>9</w:t>
            </w:r>
            <w:r w:rsidR="00F34C5A">
              <w:rPr>
                <w:rFonts w:ascii="Arial" w:hAnsi="Arial" w:cs="Arial"/>
                <w:sz w:val="16"/>
                <w:szCs w:val="16"/>
              </w:rPr>
              <w:t>1</w:t>
            </w:r>
          </w:p>
        </w:tc>
        <w:tc>
          <w:tcPr>
            <w:tcW w:w="502" w:type="pct"/>
            <w:vAlign w:val="center"/>
          </w:tcPr>
          <w:p w14:paraId="6CCD8C33" w14:textId="12D8D6D8" w:rsidR="00C65127" w:rsidRPr="004D02F0" w:rsidRDefault="4A6EE254" w:rsidP="0050541B">
            <w:pPr>
              <w:jc w:val="center"/>
              <w:rPr>
                <w:rFonts w:ascii="Arial" w:hAnsi="Arial" w:cs="Arial"/>
                <w:sz w:val="16"/>
                <w:szCs w:val="16"/>
              </w:rPr>
            </w:pPr>
            <w:r w:rsidRPr="004D02F0">
              <w:rPr>
                <w:rFonts w:ascii="Arial" w:hAnsi="Arial" w:cs="Arial"/>
                <w:sz w:val="16"/>
                <w:szCs w:val="16"/>
              </w:rPr>
              <w:t>11,</w:t>
            </w:r>
            <w:r w:rsidR="009C5FCC">
              <w:rPr>
                <w:rFonts w:ascii="Arial" w:hAnsi="Arial" w:cs="Arial"/>
                <w:sz w:val="16"/>
                <w:szCs w:val="16"/>
              </w:rPr>
              <w:t>5</w:t>
            </w:r>
            <w:r w:rsidR="00F34C5A">
              <w:rPr>
                <w:rFonts w:ascii="Arial" w:hAnsi="Arial" w:cs="Arial"/>
                <w:sz w:val="16"/>
                <w:szCs w:val="16"/>
              </w:rPr>
              <w:t>0</w:t>
            </w:r>
          </w:p>
        </w:tc>
        <w:tc>
          <w:tcPr>
            <w:tcW w:w="502" w:type="pct"/>
            <w:vAlign w:val="center"/>
          </w:tcPr>
          <w:p w14:paraId="24886C6D" w14:textId="3796659D" w:rsidR="00C65127" w:rsidRPr="004D02F0" w:rsidRDefault="00AD3312" w:rsidP="0050541B">
            <w:pPr>
              <w:jc w:val="center"/>
              <w:rPr>
                <w:rFonts w:ascii="Arial" w:hAnsi="Arial" w:cs="Arial"/>
                <w:sz w:val="16"/>
                <w:szCs w:val="16"/>
              </w:rPr>
            </w:pPr>
            <w:r>
              <w:rPr>
                <w:rFonts w:ascii="Arial" w:hAnsi="Arial" w:cs="Arial"/>
                <w:sz w:val="16"/>
                <w:szCs w:val="16"/>
              </w:rPr>
              <w:t>8</w:t>
            </w:r>
            <w:r w:rsidR="4A6EE254" w:rsidRPr="004D02F0">
              <w:rPr>
                <w:rFonts w:ascii="Arial" w:hAnsi="Arial" w:cs="Arial"/>
                <w:sz w:val="16"/>
                <w:szCs w:val="16"/>
              </w:rPr>
              <w:t>,</w:t>
            </w:r>
            <w:r w:rsidR="009918A6">
              <w:rPr>
                <w:rFonts w:ascii="Arial" w:hAnsi="Arial" w:cs="Arial"/>
                <w:sz w:val="16"/>
                <w:szCs w:val="16"/>
              </w:rPr>
              <w:t>0</w:t>
            </w:r>
            <w:r w:rsidR="00F34C5A">
              <w:rPr>
                <w:rFonts w:ascii="Arial" w:hAnsi="Arial" w:cs="Arial"/>
                <w:sz w:val="16"/>
                <w:szCs w:val="16"/>
              </w:rPr>
              <w:t>7</w:t>
            </w:r>
          </w:p>
        </w:tc>
        <w:tc>
          <w:tcPr>
            <w:tcW w:w="502" w:type="pct"/>
            <w:vAlign w:val="center"/>
          </w:tcPr>
          <w:p w14:paraId="20B45AA8" w14:textId="4E9C9291" w:rsidR="00C65127" w:rsidRPr="004D02F0" w:rsidRDefault="4A6EE254" w:rsidP="0050541B">
            <w:pPr>
              <w:jc w:val="center"/>
              <w:rPr>
                <w:rFonts w:ascii="Arial" w:hAnsi="Arial" w:cs="Arial"/>
                <w:sz w:val="16"/>
                <w:szCs w:val="16"/>
              </w:rPr>
            </w:pPr>
            <w:r w:rsidRPr="004D02F0">
              <w:rPr>
                <w:rFonts w:ascii="Arial" w:hAnsi="Arial" w:cs="Arial"/>
                <w:sz w:val="16"/>
                <w:szCs w:val="16"/>
              </w:rPr>
              <w:t>23,</w:t>
            </w:r>
            <w:r w:rsidR="00264158">
              <w:rPr>
                <w:rFonts w:ascii="Arial" w:hAnsi="Arial" w:cs="Arial"/>
                <w:sz w:val="16"/>
                <w:szCs w:val="16"/>
              </w:rPr>
              <w:t>30</w:t>
            </w:r>
          </w:p>
        </w:tc>
        <w:tc>
          <w:tcPr>
            <w:tcW w:w="502" w:type="pct"/>
            <w:vAlign w:val="center"/>
          </w:tcPr>
          <w:p w14:paraId="42069654" w14:textId="77FC32E4" w:rsidR="00C65127" w:rsidRPr="004D02F0" w:rsidRDefault="00565EF2" w:rsidP="0050541B">
            <w:pPr>
              <w:jc w:val="center"/>
              <w:rPr>
                <w:rFonts w:ascii="Arial" w:hAnsi="Arial" w:cs="Arial"/>
                <w:b/>
                <w:sz w:val="16"/>
                <w:szCs w:val="16"/>
              </w:rPr>
            </w:pPr>
            <w:r w:rsidRPr="004D02F0">
              <w:rPr>
                <w:rFonts w:ascii="Arial" w:hAnsi="Arial" w:cs="Arial"/>
                <w:b/>
                <w:sz w:val="16"/>
                <w:szCs w:val="16"/>
              </w:rPr>
              <w:t>91,</w:t>
            </w:r>
            <w:r w:rsidR="00F34C5A">
              <w:rPr>
                <w:rFonts w:ascii="Arial" w:hAnsi="Arial" w:cs="Arial"/>
                <w:b/>
                <w:sz w:val="16"/>
                <w:szCs w:val="16"/>
              </w:rPr>
              <w:t>64</w:t>
            </w:r>
          </w:p>
        </w:tc>
      </w:tr>
      <w:tr w:rsidR="00154A48" w:rsidRPr="004D02F0" w14:paraId="421419C1" w14:textId="77777777" w:rsidTr="00422A01">
        <w:trPr>
          <w:trHeight w:val="283"/>
        </w:trPr>
        <w:tc>
          <w:tcPr>
            <w:tcW w:w="985" w:type="pct"/>
            <w:vAlign w:val="center"/>
          </w:tcPr>
          <w:p w14:paraId="582CA75E"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Leerstand</w:t>
            </w:r>
          </w:p>
          <w:p w14:paraId="441DA27B"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w:t>
            </w:r>
          </w:p>
        </w:tc>
        <w:tc>
          <w:tcPr>
            <w:tcW w:w="502" w:type="pct"/>
            <w:vAlign w:val="center"/>
          </w:tcPr>
          <w:p w14:paraId="3FEF20A6" w14:textId="786E2B98" w:rsidR="00C65127" w:rsidRPr="004D02F0" w:rsidRDefault="009C5FCC" w:rsidP="00422A01">
            <w:pPr>
              <w:jc w:val="center"/>
              <w:rPr>
                <w:rFonts w:ascii="Arial" w:hAnsi="Arial" w:cs="Arial"/>
                <w:sz w:val="16"/>
                <w:szCs w:val="16"/>
              </w:rPr>
            </w:pPr>
            <w:r>
              <w:rPr>
                <w:rFonts w:ascii="Arial" w:hAnsi="Arial" w:cs="Arial"/>
                <w:sz w:val="16"/>
                <w:szCs w:val="16"/>
              </w:rPr>
              <w:t>4</w:t>
            </w:r>
            <w:r w:rsidR="00F34C5A">
              <w:rPr>
                <w:rFonts w:ascii="Arial" w:hAnsi="Arial" w:cs="Arial"/>
                <w:sz w:val="16"/>
                <w:szCs w:val="16"/>
              </w:rPr>
              <w:t>54.000</w:t>
            </w:r>
          </w:p>
        </w:tc>
        <w:tc>
          <w:tcPr>
            <w:tcW w:w="502" w:type="pct"/>
            <w:vAlign w:val="center"/>
          </w:tcPr>
          <w:p w14:paraId="53C46395" w14:textId="4F2E685D" w:rsidR="00C65127" w:rsidRPr="004D02F0" w:rsidRDefault="009918A6" w:rsidP="00422A01">
            <w:pPr>
              <w:jc w:val="center"/>
              <w:rPr>
                <w:rFonts w:ascii="Arial" w:hAnsi="Arial" w:cs="Arial"/>
                <w:sz w:val="16"/>
                <w:szCs w:val="16"/>
              </w:rPr>
            </w:pPr>
            <w:r>
              <w:rPr>
                <w:rFonts w:ascii="Arial" w:hAnsi="Arial" w:cs="Arial"/>
                <w:sz w:val="16"/>
                <w:szCs w:val="16"/>
              </w:rPr>
              <w:t>2</w:t>
            </w:r>
            <w:r w:rsidR="00F34C5A">
              <w:rPr>
                <w:rFonts w:ascii="Arial" w:hAnsi="Arial" w:cs="Arial"/>
                <w:sz w:val="16"/>
                <w:szCs w:val="16"/>
              </w:rPr>
              <w:t>65</w:t>
            </w:r>
            <w:r>
              <w:rPr>
                <w:rFonts w:ascii="Arial" w:hAnsi="Arial" w:cs="Arial"/>
                <w:sz w:val="16"/>
                <w:szCs w:val="16"/>
              </w:rPr>
              <w:t>.000</w:t>
            </w:r>
          </w:p>
        </w:tc>
        <w:tc>
          <w:tcPr>
            <w:tcW w:w="502" w:type="pct"/>
            <w:vAlign w:val="center"/>
          </w:tcPr>
          <w:p w14:paraId="302D3ED2" w14:textId="7607009C" w:rsidR="00C65127" w:rsidRPr="004D02F0" w:rsidRDefault="00264158" w:rsidP="00422A01">
            <w:pPr>
              <w:jc w:val="center"/>
              <w:rPr>
                <w:rFonts w:ascii="Arial" w:hAnsi="Arial" w:cs="Arial"/>
                <w:sz w:val="16"/>
                <w:szCs w:val="16"/>
              </w:rPr>
            </w:pPr>
            <w:r>
              <w:rPr>
                <w:rFonts w:ascii="Arial" w:hAnsi="Arial" w:cs="Arial"/>
                <w:sz w:val="16"/>
                <w:szCs w:val="16"/>
              </w:rPr>
              <w:t>49</w:t>
            </w:r>
            <w:r w:rsidR="00F34C5A">
              <w:rPr>
                <w:rFonts w:ascii="Arial" w:hAnsi="Arial" w:cs="Arial"/>
                <w:sz w:val="16"/>
                <w:szCs w:val="16"/>
              </w:rPr>
              <w:t>0</w:t>
            </w:r>
            <w:r w:rsidR="4A6EE254" w:rsidRPr="004D02F0">
              <w:rPr>
                <w:rFonts w:ascii="Arial" w:hAnsi="Arial" w:cs="Arial"/>
                <w:sz w:val="16"/>
                <w:szCs w:val="16"/>
              </w:rPr>
              <w:t>.000</w:t>
            </w:r>
          </w:p>
        </w:tc>
        <w:tc>
          <w:tcPr>
            <w:tcW w:w="502" w:type="pct"/>
            <w:vAlign w:val="center"/>
          </w:tcPr>
          <w:p w14:paraId="52CFC326" w14:textId="7625E452" w:rsidR="00C65127" w:rsidRPr="004D02F0" w:rsidRDefault="00F34C5A" w:rsidP="00422A01">
            <w:pPr>
              <w:jc w:val="center"/>
              <w:rPr>
                <w:rFonts w:ascii="Arial" w:hAnsi="Arial" w:cs="Arial"/>
                <w:sz w:val="16"/>
                <w:szCs w:val="16"/>
              </w:rPr>
            </w:pPr>
            <w:r>
              <w:rPr>
                <w:rFonts w:ascii="Arial" w:hAnsi="Arial" w:cs="Arial"/>
                <w:sz w:val="16"/>
                <w:szCs w:val="16"/>
              </w:rPr>
              <w:t>20</w:t>
            </w:r>
            <w:r w:rsidR="009C5FCC">
              <w:rPr>
                <w:rFonts w:ascii="Arial" w:hAnsi="Arial" w:cs="Arial"/>
                <w:sz w:val="16"/>
                <w:szCs w:val="16"/>
              </w:rPr>
              <w:t>5</w:t>
            </w:r>
            <w:r w:rsidR="4A6EE254" w:rsidRPr="004D02F0">
              <w:rPr>
                <w:rFonts w:ascii="Arial" w:hAnsi="Arial" w:cs="Arial"/>
                <w:sz w:val="16"/>
                <w:szCs w:val="16"/>
              </w:rPr>
              <w:t>.000</w:t>
            </w:r>
          </w:p>
        </w:tc>
        <w:tc>
          <w:tcPr>
            <w:tcW w:w="502" w:type="pct"/>
            <w:vAlign w:val="center"/>
          </w:tcPr>
          <w:p w14:paraId="077E5FE0" w14:textId="57ED7F7C" w:rsidR="00C65127" w:rsidRPr="004D02F0" w:rsidRDefault="00F34C5A" w:rsidP="00422A01">
            <w:pPr>
              <w:jc w:val="center"/>
              <w:rPr>
                <w:rFonts w:ascii="Arial" w:hAnsi="Arial" w:cs="Arial"/>
                <w:sz w:val="16"/>
                <w:szCs w:val="16"/>
              </w:rPr>
            </w:pPr>
            <w:r>
              <w:rPr>
                <w:rFonts w:ascii="Arial" w:hAnsi="Arial" w:cs="Arial"/>
                <w:sz w:val="16"/>
                <w:szCs w:val="16"/>
              </w:rPr>
              <w:t>824.800</w:t>
            </w:r>
          </w:p>
        </w:tc>
        <w:tc>
          <w:tcPr>
            <w:tcW w:w="502" w:type="pct"/>
            <w:vAlign w:val="center"/>
          </w:tcPr>
          <w:p w14:paraId="1630CA67" w14:textId="73D0E1AD" w:rsidR="00C65127" w:rsidRPr="004D02F0" w:rsidRDefault="4A6EE254" w:rsidP="00422A01">
            <w:pPr>
              <w:jc w:val="center"/>
              <w:rPr>
                <w:rFonts w:ascii="Arial" w:hAnsi="Arial" w:cs="Arial"/>
                <w:sz w:val="16"/>
                <w:szCs w:val="16"/>
              </w:rPr>
            </w:pPr>
            <w:r w:rsidRPr="004D02F0">
              <w:rPr>
                <w:rFonts w:ascii="Arial" w:hAnsi="Arial" w:cs="Arial"/>
                <w:sz w:val="16"/>
                <w:szCs w:val="16"/>
              </w:rPr>
              <w:t>1</w:t>
            </w:r>
            <w:r w:rsidR="00F34C5A">
              <w:rPr>
                <w:rFonts w:ascii="Arial" w:hAnsi="Arial" w:cs="Arial"/>
                <w:sz w:val="16"/>
                <w:szCs w:val="16"/>
              </w:rPr>
              <w:t>74</w:t>
            </w:r>
            <w:r w:rsidRPr="004D02F0">
              <w:rPr>
                <w:rFonts w:ascii="Arial" w:hAnsi="Arial" w:cs="Arial"/>
                <w:sz w:val="16"/>
                <w:szCs w:val="16"/>
              </w:rPr>
              <w:t>.000</w:t>
            </w:r>
          </w:p>
        </w:tc>
        <w:tc>
          <w:tcPr>
            <w:tcW w:w="502" w:type="pct"/>
            <w:vAlign w:val="center"/>
          </w:tcPr>
          <w:p w14:paraId="68D18378" w14:textId="6C99C839" w:rsidR="00C65127" w:rsidRPr="004D02F0" w:rsidRDefault="00F34C5A" w:rsidP="00422A01">
            <w:pPr>
              <w:jc w:val="center"/>
              <w:rPr>
                <w:rFonts w:ascii="Arial" w:hAnsi="Arial" w:cs="Arial"/>
                <w:sz w:val="16"/>
                <w:szCs w:val="16"/>
              </w:rPr>
            </w:pPr>
            <w:r>
              <w:rPr>
                <w:rFonts w:ascii="Arial" w:hAnsi="Arial" w:cs="Arial"/>
                <w:sz w:val="16"/>
                <w:szCs w:val="16"/>
              </w:rPr>
              <w:t>400</w:t>
            </w:r>
            <w:r w:rsidR="4A6EE254" w:rsidRPr="004D02F0">
              <w:rPr>
                <w:rFonts w:ascii="Arial" w:hAnsi="Arial" w:cs="Arial"/>
                <w:sz w:val="16"/>
                <w:szCs w:val="16"/>
              </w:rPr>
              <w:t>.000</w:t>
            </w:r>
          </w:p>
        </w:tc>
        <w:tc>
          <w:tcPr>
            <w:tcW w:w="502" w:type="pct"/>
            <w:vAlign w:val="center"/>
          </w:tcPr>
          <w:p w14:paraId="48AD7952" w14:textId="61594A25" w:rsidR="00C65127" w:rsidRPr="004D02F0" w:rsidRDefault="00F34C5A" w:rsidP="00422A01">
            <w:pPr>
              <w:jc w:val="center"/>
              <w:rPr>
                <w:rFonts w:ascii="Arial" w:hAnsi="Arial" w:cs="Arial"/>
                <w:b/>
                <w:sz w:val="16"/>
                <w:szCs w:val="16"/>
              </w:rPr>
            </w:pPr>
            <w:r>
              <w:rPr>
                <w:rFonts w:ascii="Arial" w:hAnsi="Arial" w:cs="Arial"/>
                <w:b/>
                <w:bCs/>
                <w:sz w:val="16"/>
                <w:szCs w:val="16"/>
              </w:rPr>
              <w:t>2.812.800</w:t>
            </w:r>
          </w:p>
        </w:tc>
      </w:tr>
      <w:tr w:rsidR="00154A48" w:rsidRPr="004D02F0" w14:paraId="5C297D08" w14:textId="77777777" w:rsidTr="00422A01">
        <w:trPr>
          <w:trHeight w:val="283"/>
        </w:trPr>
        <w:tc>
          <w:tcPr>
            <w:tcW w:w="985" w:type="pct"/>
            <w:vAlign w:val="center"/>
          </w:tcPr>
          <w:p w14:paraId="182CC839" w14:textId="77777777" w:rsidR="00C65127" w:rsidRPr="004D02F0" w:rsidRDefault="00C65127" w:rsidP="00422A01">
            <w:pPr>
              <w:widowControl w:val="0"/>
              <w:rPr>
                <w:rFonts w:ascii="Arial" w:hAnsi="Arial" w:cs="Arial"/>
                <w:b/>
                <w:sz w:val="16"/>
                <w:szCs w:val="16"/>
              </w:rPr>
            </w:pPr>
            <w:proofErr w:type="spellStart"/>
            <w:r w:rsidRPr="004D02F0">
              <w:rPr>
                <w:rFonts w:ascii="Arial" w:hAnsi="Arial" w:cs="Arial"/>
                <w:b/>
                <w:sz w:val="16"/>
                <w:szCs w:val="16"/>
              </w:rPr>
              <w:t>Leerstandsrate</w:t>
            </w:r>
            <w:proofErr w:type="spellEnd"/>
          </w:p>
          <w:p w14:paraId="0909F4A6"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w:t>
            </w:r>
          </w:p>
        </w:tc>
        <w:tc>
          <w:tcPr>
            <w:tcW w:w="502" w:type="pct"/>
            <w:vAlign w:val="center"/>
          </w:tcPr>
          <w:p w14:paraId="5DFB31C9" w14:textId="3C92A60D" w:rsidR="00C65127" w:rsidRPr="004D02F0" w:rsidRDefault="00264158" w:rsidP="00422A01">
            <w:pPr>
              <w:jc w:val="center"/>
              <w:rPr>
                <w:rFonts w:ascii="Arial" w:hAnsi="Arial" w:cs="Arial"/>
                <w:sz w:val="16"/>
                <w:szCs w:val="16"/>
              </w:rPr>
            </w:pPr>
            <w:r>
              <w:rPr>
                <w:rFonts w:ascii="Arial" w:hAnsi="Arial" w:cs="Arial"/>
                <w:sz w:val="16"/>
                <w:szCs w:val="16"/>
              </w:rPr>
              <w:t>3,</w:t>
            </w:r>
            <w:r w:rsidR="00F34C5A">
              <w:rPr>
                <w:rFonts w:ascii="Arial" w:hAnsi="Arial" w:cs="Arial"/>
                <w:sz w:val="16"/>
                <w:szCs w:val="16"/>
              </w:rPr>
              <w:t>3</w:t>
            </w:r>
          </w:p>
        </w:tc>
        <w:tc>
          <w:tcPr>
            <w:tcW w:w="502" w:type="pct"/>
            <w:vAlign w:val="center"/>
          </w:tcPr>
          <w:p w14:paraId="08B1CFAE" w14:textId="4D2019C3" w:rsidR="00C65127" w:rsidRPr="004D02F0" w:rsidRDefault="4A6EE254" w:rsidP="00422A01">
            <w:pPr>
              <w:jc w:val="center"/>
              <w:rPr>
                <w:rFonts w:ascii="Arial" w:hAnsi="Arial" w:cs="Arial"/>
                <w:sz w:val="16"/>
                <w:szCs w:val="16"/>
              </w:rPr>
            </w:pPr>
            <w:r w:rsidRPr="004D02F0">
              <w:rPr>
                <w:rFonts w:ascii="Arial" w:hAnsi="Arial" w:cs="Arial"/>
                <w:sz w:val="16"/>
                <w:szCs w:val="16"/>
              </w:rPr>
              <w:t>1,</w:t>
            </w:r>
            <w:r w:rsidR="00264158">
              <w:rPr>
                <w:rFonts w:ascii="Arial" w:hAnsi="Arial" w:cs="Arial"/>
                <w:sz w:val="16"/>
                <w:szCs w:val="16"/>
              </w:rPr>
              <w:t>3</w:t>
            </w:r>
          </w:p>
        </w:tc>
        <w:tc>
          <w:tcPr>
            <w:tcW w:w="502" w:type="pct"/>
            <w:vAlign w:val="center"/>
          </w:tcPr>
          <w:p w14:paraId="2878E9A7" w14:textId="5176C139" w:rsidR="00C65127" w:rsidRPr="004D02F0" w:rsidRDefault="00264158" w:rsidP="00422A01">
            <w:pPr>
              <w:jc w:val="center"/>
              <w:rPr>
                <w:rFonts w:ascii="Arial" w:hAnsi="Arial" w:cs="Arial"/>
                <w:sz w:val="16"/>
                <w:szCs w:val="16"/>
              </w:rPr>
            </w:pPr>
            <w:r>
              <w:rPr>
                <w:rFonts w:ascii="Arial" w:hAnsi="Arial" w:cs="Arial"/>
                <w:sz w:val="16"/>
                <w:szCs w:val="16"/>
              </w:rPr>
              <w:t>6,</w:t>
            </w:r>
            <w:r w:rsidR="00F34C5A">
              <w:rPr>
                <w:rFonts w:ascii="Arial" w:hAnsi="Arial" w:cs="Arial"/>
                <w:sz w:val="16"/>
                <w:szCs w:val="16"/>
              </w:rPr>
              <w:t>8</w:t>
            </w:r>
          </w:p>
        </w:tc>
        <w:tc>
          <w:tcPr>
            <w:tcW w:w="502" w:type="pct"/>
            <w:vAlign w:val="center"/>
          </w:tcPr>
          <w:p w14:paraId="41A88249" w14:textId="40F2641A"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F34C5A">
              <w:rPr>
                <w:rFonts w:ascii="Arial" w:hAnsi="Arial" w:cs="Arial"/>
                <w:sz w:val="16"/>
                <w:szCs w:val="16"/>
              </w:rPr>
              <w:t>6</w:t>
            </w:r>
          </w:p>
        </w:tc>
        <w:tc>
          <w:tcPr>
            <w:tcW w:w="502" w:type="pct"/>
            <w:vAlign w:val="center"/>
          </w:tcPr>
          <w:p w14:paraId="789B0375" w14:textId="2058ADC3" w:rsidR="00C65127" w:rsidRPr="004D02F0" w:rsidRDefault="00F34C5A" w:rsidP="00422A01">
            <w:pPr>
              <w:jc w:val="center"/>
              <w:rPr>
                <w:rFonts w:ascii="Arial" w:hAnsi="Arial" w:cs="Arial"/>
                <w:sz w:val="16"/>
                <w:szCs w:val="16"/>
              </w:rPr>
            </w:pPr>
            <w:r>
              <w:rPr>
                <w:rFonts w:ascii="Arial" w:hAnsi="Arial" w:cs="Arial"/>
                <w:sz w:val="16"/>
                <w:szCs w:val="16"/>
              </w:rPr>
              <w:t>7,2</w:t>
            </w:r>
          </w:p>
        </w:tc>
        <w:tc>
          <w:tcPr>
            <w:tcW w:w="502" w:type="pct"/>
            <w:vAlign w:val="center"/>
          </w:tcPr>
          <w:p w14:paraId="6DE090A5" w14:textId="2518CA8E" w:rsidR="00C65127" w:rsidRPr="004D02F0" w:rsidRDefault="00264158" w:rsidP="00422A01">
            <w:pPr>
              <w:jc w:val="center"/>
              <w:rPr>
                <w:rFonts w:ascii="Arial" w:hAnsi="Arial" w:cs="Arial"/>
                <w:sz w:val="16"/>
                <w:szCs w:val="16"/>
              </w:rPr>
            </w:pPr>
            <w:r>
              <w:rPr>
                <w:rFonts w:ascii="Arial" w:hAnsi="Arial" w:cs="Arial"/>
                <w:sz w:val="16"/>
                <w:szCs w:val="16"/>
              </w:rPr>
              <w:t>2,</w:t>
            </w:r>
            <w:r w:rsidR="00F34C5A">
              <w:rPr>
                <w:rFonts w:ascii="Arial" w:hAnsi="Arial" w:cs="Arial"/>
                <w:sz w:val="16"/>
                <w:szCs w:val="16"/>
              </w:rPr>
              <w:t>2</w:t>
            </w:r>
          </w:p>
        </w:tc>
        <w:tc>
          <w:tcPr>
            <w:tcW w:w="502" w:type="pct"/>
            <w:vAlign w:val="center"/>
          </w:tcPr>
          <w:p w14:paraId="5B19EE92" w14:textId="2FA9F6DE" w:rsidR="00C65127" w:rsidRPr="004D02F0" w:rsidRDefault="00264158" w:rsidP="003210E3">
            <w:pPr>
              <w:jc w:val="center"/>
              <w:rPr>
                <w:rFonts w:ascii="Arial" w:hAnsi="Arial" w:cs="Arial"/>
                <w:sz w:val="16"/>
                <w:szCs w:val="16"/>
              </w:rPr>
            </w:pPr>
            <w:r>
              <w:rPr>
                <w:rFonts w:ascii="Arial" w:hAnsi="Arial" w:cs="Arial"/>
                <w:sz w:val="16"/>
                <w:szCs w:val="16"/>
              </w:rPr>
              <w:t>1,7</w:t>
            </w:r>
          </w:p>
        </w:tc>
        <w:tc>
          <w:tcPr>
            <w:tcW w:w="502" w:type="pct"/>
            <w:vAlign w:val="center"/>
          </w:tcPr>
          <w:p w14:paraId="0CE22EC9" w14:textId="68953CAB" w:rsidR="00C65127" w:rsidRPr="004D02F0" w:rsidRDefault="00F34C5A" w:rsidP="00422A01">
            <w:pPr>
              <w:jc w:val="center"/>
              <w:rPr>
                <w:rFonts w:ascii="Arial" w:hAnsi="Arial" w:cs="Arial"/>
                <w:b/>
                <w:sz w:val="16"/>
                <w:szCs w:val="16"/>
              </w:rPr>
            </w:pPr>
            <w:r>
              <w:rPr>
                <w:rFonts w:ascii="Arial" w:hAnsi="Arial" w:cs="Arial"/>
                <w:b/>
                <w:sz w:val="16"/>
                <w:szCs w:val="16"/>
              </w:rPr>
              <w:t>3,1</w:t>
            </w:r>
          </w:p>
        </w:tc>
      </w:tr>
      <w:tr w:rsidR="00154A48" w:rsidRPr="004D02F0" w14:paraId="6B3DEBBF" w14:textId="77777777" w:rsidTr="00422A01">
        <w:trPr>
          <w:trHeight w:val="283"/>
        </w:trPr>
        <w:tc>
          <w:tcPr>
            <w:tcW w:w="985" w:type="pct"/>
            <w:vAlign w:val="center"/>
          </w:tcPr>
          <w:p w14:paraId="3EAE7599" w14:textId="61D84CDF" w:rsidR="00C65127" w:rsidRPr="004D02F0" w:rsidRDefault="00C65127" w:rsidP="00422A01">
            <w:pPr>
              <w:widowControl w:val="0"/>
              <w:rPr>
                <w:rFonts w:ascii="Arial" w:hAnsi="Arial" w:cs="Arial"/>
                <w:b/>
                <w:sz w:val="16"/>
                <w:szCs w:val="16"/>
              </w:rPr>
            </w:pPr>
            <w:r w:rsidRPr="004D02F0">
              <w:rPr>
                <w:rFonts w:ascii="Arial" w:hAnsi="Arial" w:cs="Arial"/>
                <w:b/>
                <w:sz w:val="16"/>
                <w:szCs w:val="16"/>
              </w:rPr>
              <w:t>Fertigstellungen 20</w:t>
            </w:r>
            <w:r w:rsidR="009C5FCC">
              <w:rPr>
                <w:rFonts w:ascii="Arial" w:hAnsi="Arial" w:cs="Arial"/>
                <w:b/>
                <w:sz w:val="16"/>
                <w:szCs w:val="16"/>
              </w:rPr>
              <w:t>20</w:t>
            </w:r>
            <w:r w:rsidRPr="004D02F0">
              <w:rPr>
                <w:rFonts w:ascii="Arial" w:hAnsi="Arial" w:cs="Arial"/>
                <w:b/>
                <w:sz w:val="16"/>
                <w:szCs w:val="16"/>
              </w:rPr>
              <w:t xml:space="preserve"> </w:t>
            </w:r>
            <w:r w:rsidR="4A6EE254" w:rsidRPr="004D02F0">
              <w:rPr>
                <w:rFonts w:ascii="Arial" w:hAnsi="Arial" w:cs="Arial"/>
                <w:b/>
                <w:bCs/>
                <w:sz w:val="16"/>
                <w:szCs w:val="16"/>
              </w:rPr>
              <w:t>+ 202</w:t>
            </w:r>
            <w:r w:rsidR="009C5FCC">
              <w:rPr>
                <w:rFonts w:ascii="Arial" w:hAnsi="Arial" w:cs="Arial"/>
                <w:b/>
                <w:bCs/>
                <w:sz w:val="16"/>
                <w:szCs w:val="16"/>
              </w:rPr>
              <w:t>1</w:t>
            </w:r>
            <w:r w:rsidR="4A6EE254" w:rsidRPr="004D02F0">
              <w:rPr>
                <w:rFonts w:ascii="Arial" w:hAnsi="Arial" w:cs="Arial"/>
                <w:b/>
                <w:bCs/>
                <w:sz w:val="16"/>
                <w:szCs w:val="16"/>
              </w:rPr>
              <w:t xml:space="preserve"> </w:t>
            </w:r>
            <w:r w:rsidRPr="004D02F0">
              <w:rPr>
                <w:rFonts w:ascii="Arial" w:hAnsi="Arial" w:cs="Arial"/>
                <w:sz w:val="16"/>
                <w:szCs w:val="16"/>
              </w:rPr>
              <w:t>in m²</w:t>
            </w:r>
          </w:p>
        </w:tc>
        <w:tc>
          <w:tcPr>
            <w:tcW w:w="502" w:type="pct"/>
            <w:vAlign w:val="center"/>
          </w:tcPr>
          <w:p w14:paraId="45E23251" w14:textId="239933A3" w:rsidR="00C65127" w:rsidRPr="004D02F0" w:rsidRDefault="009C5FCC" w:rsidP="00422A01">
            <w:pPr>
              <w:jc w:val="center"/>
              <w:rPr>
                <w:rFonts w:ascii="Arial" w:hAnsi="Arial" w:cs="Arial"/>
                <w:sz w:val="16"/>
                <w:szCs w:val="16"/>
              </w:rPr>
            </w:pPr>
            <w:r>
              <w:rPr>
                <w:rFonts w:ascii="Arial" w:hAnsi="Arial" w:cs="Arial"/>
                <w:sz w:val="16"/>
                <w:szCs w:val="16"/>
              </w:rPr>
              <w:t>3</w:t>
            </w:r>
            <w:r w:rsidR="00F34C5A">
              <w:rPr>
                <w:rFonts w:ascii="Arial" w:hAnsi="Arial" w:cs="Arial"/>
                <w:sz w:val="16"/>
                <w:szCs w:val="16"/>
              </w:rPr>
              <w:t>10</w:t>
            </w:r>
            <w:r w:rsidR="4A6EE254" w:rsidRPr="004D02F0">
              <w:rPr>
                <w:rFonts w:ascii="Arial" w:hAnsi="Arial" w:cs="Arial"/>
                <w:sz w:val="16"/>
                <w:szCs w:val="16"/>
              </w:rPr>
              <w:t>.000</w:t>
            </w:r>
          </w:p>
        </w:tc>
        <w:tc>
          <w:tcPr>
            <w:tcW w:w="502" w:type="pct"/>
            <w:vAlign w:val="center"/>
          </w:tcPr>
          <w:p w14:paraId="11B12F0F" w14:textId="469FFD5A" w:rsidR="00C65127" w:rsidRPr="004D02F0" w:rsidRDefault="009C5FCC" w:rsidP="00422A01">
            <w:pPr>
              <w:jc w:val="center"/>
              <w:rPr>
                <w:rFonts w:ascii="Arial" w:hAnsi="Arial" w:cs="Arial"/>
                <w:sz w:val="16"/>
                <w:szCs w:val="16"/>
              </w:rPr>
            </w:pPr>
            <w:r>
              <w:rPr>
                <w:rFonts w:ascii="Arial" w:hAnsi="Arial" w:cs="Arial"/>
                <w:sz w:val="16"/>
                <w:szCs w:val="16"/>
              </w:rPr>
              <w:t>1.0</w:t>
            </w:r>
            <w:r w:rsidR="00F34C5A">
              <w:rPr>
                <w:rFonts w:ascii="Arial" w:hAnsi="Arial" w:cs="Arial"/>
                <w:sz w:val="16"/>
                <w:szCs w:val="16"/>
              </w:rPr>
              <w:t>85</w:t>
            </w:r>
            <w:r w:rsidR="4A6EE254" w:rsidRPr="004D02F0">
              <w:rPr>
                <w:rFonts w:ascii="Arial" w:hAnsi="Arial" w:cs="Arial"/>
                <w:sz w:val="16"/>
                <w:szCs w:val="16"/>
              </w:rPr>
              <w:t>.</w:t>
            </w:r>
            <w:r w:rsidR="00F34C5A">
              <w:rPr>
                <w:rFonts w:ascii="Arial" w:hAnsi="Arial" w:cs="Arial"/>
                <w:sz w:val="16"/>
                <w:szCs w:val="16"/>
              </w:rPr>
              <w:t>8</w:t>
            </w:r>
            <w:r w:rsidR="4A6EE254" w:rsidRPr="004D02F0">
              <w:rPr>
                <w:rFonts w:ascii="Arial" w:hAnsi="Arial" w:cs="Arial"/>
                <w:sz w:val="16"/>
                <w:szCs w:val="16"/>
              </w:rPr>
              <w:t>00</w:t>
            </w:r>
          </w:p>
        </w:tc>
        <w:tc>
          <w:tcPr>
            <w:tcW w:w="502" w:type="pct"/>
            <w:vAlign w:val="center"/>
          </w:tcPr>
          <w:p w14:paraId="55671FED" w14:textId="488DAFBE" w:rsidR="00C65127" w:rsidRPr="004D02F0" w:rsidRDefault="00264158" w:rsidP="00422A01">
            <w:pPr>
              <w:jc w:val="center"/>
              <w:rPr>
                <w:rFonts w:ascii="Arial" w:hAnsi="Arial" w:cs="Arial"/>
                <w:sz w:val="16"/>
                <w:szCs w:val="16"/>
              </w:rPr>
            </w:pPr>
            <w:r>
              <w:rPr>
                <w:rFonts w:ascii="Arial" w:hAnsi="Arial" w:cs="Arial"/>
                <w:sz w:val="16"/>
                <w:szCs w:val="16"/>
              </w:rPr>
              <w:t>2</w:t>
            </w:r>
            <w:r w:rsidR="00F34C5A">
              <w:rPr>
                <w:rFonts w:ascii="Arial" w:hAnsi="Arial" w:cs="Arial"/>
                <w:sz w:val="16"/>
                <w:szCs w:val="16"/>
              </w:rPr>
              <w:t>87</w:t>
            </w:r>
            <w:r>
              <w:rPr>
                <w:rFonts w:ascii="Arial" w:hAnsi="Arial" w:cs="Arial"/>
                <w:sz w:val="16"/>
                <w:szCs w:val="16"/>
              </w:rPr>
              <w:t>.000</w:t>
            </w:r>
          </w:p>
        </w:tc>
        <w:tc>
          <w:tcPr>
            <w:tcW w:w="502" w:type="pct"/>
            <w:vAlign w:val="center"/>
          </w:tcPr>
          <w:p w14:paraId="704099E4" w14:textId="40B3BF97" w:rsidR="00C65127" w:rsidRPr="004D02F0" w:rsidRDefault="00264158" w:rsidP="00422A01">
            <w:pPr>
              <w:jc w:val="center"/>
              <w:rPr>
                <w:rFonts w:ascii="Arial" w:hAnsi="Arial" w:cs="Arial"/>
                <w:sz w:val="16"/>
                <w:szCs w:val="16"/>
              </w:rPr>
            </w:pPr>
            <w:r>
              <w:rPr>
                <w:rFonts w:ascii="Arial" w:hAnsi="Arial" w:cs="Arial"/>
                <w:sz w:val="16"/>
                <w:szCs w:val="16"/>
              </w:rPr>
              <w:t>1</w:t>
            </w:r>
            <w:r w:rsidR="00F34C5A">
              <w:rPr>
                <w:rFonts w:ascii="Arial" w:hAnsi="Arial" w:cs="Arial"/>
                <w:sz w:val="16"/>
                <w:szCs w:val="16"/>
              </w:rPr>
              <w:t>6</w:t>
            </w:r>
            <w:r>
              <w:rPr>
                <w:rFonts w:ascii="Arial" w:hAnsi="Arial" w:cs="Arial"/>
                <w:sz w:val="16"/>
                <w:szCs w:val="16"/>
              </w:rPr>
              <w:t>0.000</w:t>
            </w:r>
          </w:p>
        </w:tc>
        <w:tc>
          <w:tcPr>
            <w:tcW w:w="502" w:type="pct"/>
            <w:vAlign w:val="center"/>
          </w:tcPr>
          <w:p w14:paraId="795CB503" w14:textId="51F581B2" w:rsidR="00C65127" w:rsidRPr="004D02F0" w:rsidRDefault="009C5FCC" w:rsidP="00422A01">
            <w:pPr>
              <w:jc w:val="center"/>
              <w:rPr>
                <w:rFonts w:ascii="Arial" w:hAnsi="Arial" w:cs="Arial"/>
                <w:sz w:val="16"/>
                <w:szCs w:val="16"/>
              </w:rPr>
            </w:pPr>
            <w:r>
              <w:rPr>
                <w:rFonts w:ascii="Arial" w:hAnsi="Arial" w:cs="Arial"/>
                <w:sz w:val="16"/>
                <w:szCs w:val="16"/>
              </w:rPr>
              <w:t>5</w:t>
            </w:r>
            <w:r w:rsidR="00F34C5A">
              <w:rPr>
                <w:rFonts w:ascii="Arial" w:hAnsi="Arial" w:cs="Arial"/>
                <w:sz w:val="16"/>
                <w:szCs w:val="16"/>
              </w:rPr>
              <w:t>16</w:t>
            </w:r>
            <w:r w:rsidR="004C4DB4" w:rsidRPr="004D02F0">
              <w:rPr>
                <w:rFonts w:ascii="Arial" w:hAnsi="Arial" w:cs="Arial"/>
                <w:sz w:val="16"/>
                <w:szCs w:val="16"/>
              </w:rPr>
              <w:t>.</w:t>
            </w:r>
            <w:r w:rsidR="00F34C5A">
              <w:rPr>
                <w:rFonts w:ascii="Arial" w:hAnsi="Arial" w:cs="Arial"/>
                <w:sz w:val="16"/>
                <w:szCs w:val="16"/>
              </w:rPr>
              <w:t>3</w:t>
            </w:r>
            <w:r w:rsidR="004C4DB4" w:rsidRPr="004D02F0">
              <w:rPr>
                <w:rFonts w:ascii="Arial" w:hAnsi="Arial" w:cs="Arial"/>
                <w:sz w:val="16"/>
                <w:szCs w:val="16"/>
              </w:rPr>
              <w:t>00</w:t>
            </w:r>
          </w:p>
        </w:tc>
        <w:tc>
          <w:tcPr>
            <w:tcW w:w="502" w:type="pct"/>
            <w:vAlign w:val="center"/>
          </w:tcPr>
          <w:p w14:paraId="74993796" w14:textId="07306C80" w:rsidR="00C65127" w:rsidRPr="004D02F0" w:rsidRDefault="009C5FCC" w:rsidP="00422A01">
            <w:pPr>
              <w:jc w:val="center"/>
              <w:rPr>
                <w:rFonts w:ascii="Arial" w:hAnsi="Arial" w:cs="Arial"/>
                <w:sz w:val="16"/>
                <w:szCs w:val="16"/>
              </w:rPr>
            </w:pPr>
            <w:r>
              <w:rPr>
                <w:rFonts w:ascii="Arial" w:hAnsi="Arial" w:cs="Arial"/>
                <w:sz w:val="16"/>
                <w:szCs w:val="16"/>
              </w:rPr>
              <w:t>3</w:t>
            </w:r>
            <w:r w:rsidR="00F34C5A">
              <w:rPr>
                <w:rFonts w:ascii="Arial" w:hAnsi="Arial" w:cs="Arial"/>
                <w:sz w:val="16"/>
                <w:szCs w:val="16"/>
              </w:rPr>
              <w:t>1</w:t>
            </w:r>
            <w:r w:rsidR="00264158">
              <w:rPr>
                <w:rFonts w:ascii="Arial" w:hAnsi="Arial" w:cs="Arial"/>
                <w:sz w:val="16"/>
                <w:szCs w:val="16"/>
              </w:rPr>
              <w:t>1</w:t>
            </w:r>
            <w:r w:rsidR="005968D2" w:rsidRPr="004D02F0">
              <w:rPr>
                <w:rFonts w:ascii="Arial" w:hAnsi="Arial" w:cs="Arial"/>
                <w:sz w:val="16"/>
                <w:szCs w:val="16"/>
              </w:rPr>
              <w:t>.</w:t>
            </w:r>
            <w:r w:rsidR="00F34C5A">
              <w:rPr>
                <w:rFonts w:ascii="Arial" w:hAnsi="Arial" w:cs="Arial"/>
                <w:sz w:val="16"/>
                <w:szCs w:val="16"/>
              </w:rPr>
              <w:t>22</w:t>
            </w:r>
            <w:r w:rsidR="005968D2" w:rsidRPr="004D02F0">
              <w:rPr>
                <w:rFonts w:ascii="Arial" w:hAnsi="Arial" w:cs="Arial"/>
                <w:sz w:val="16"/>
                <w:szCs w:val="16"/>
              </w:rPr>
              <w:t>0</w:t>
            </w:r>
          </w:p>
        </w:tc>
        <w:tc>
          <w:tcPr>
            <w:tcW w:w="502" w:type="pct"/>
            <w:vAlign w:val="center"/>
          </w:tcPr>
          <w:p w14:paraId="34F66D4E" w14:textId="2B7F010A" w:rsidR="00C65127" w:rsidRPr="004D02F0" w:rsidRDefault="00264158" w:rsidP="00422A01">
            <w:pPr>
              <w:jc w:val="center"/>
              <w:rPr>
                <w:rFonts w:ascii="Arial" w:hAnsi="Arial" w:cs="Arial"/>
                <w:sz w:val="16"/>
                <w:szCs w:val="16"/>
              </w:rPr>
            </w:pPr>
            <w:r>
              <w:rPr>
                <w:rFonts w:ascii="Arial" w:hAnsi="Arial" w:cs="Arial"/>
                <w:sz w:val="16"/>
                <w:szCs w:val="16"/>
              </w:rPr>
              <w:t>70</w:t>
            </w:r>
            <w:r w:rsidR="005968D2" w:rsidRPr="004D02F0">
              <w:rPr>
                <w:rFonts w:ascii="Arial" w:hAnsi="Arial" w:cs="Arial"/>
                <w:sz w:val="16"/>
                <w:szCs w:val="16"/>
              </w:rPr>
              <w:t>0</w:t>
            </w:r>
            <w:r w:rsidR="4A6EE254" w:rsidRPr="004D02F0">
              <w:rPr>
                <w:rFonts w:ascii="Arial" w:hAnsi="Arial" w:cs="Arial"/>
                <w:sz w:val="16"/>
                <w:szCs w:val="16"/>
              </w:rPr>
              <w:t>.000</w:t>
            </w:r>
          </w:p>
        </w:tc>
        <w:tc>
          <w:tcPr>
            <w:tcW w:w="502" w:type="pct"/>
            <w:vAlign w:val="center"/>
          </w:tcPr>
          <w:p w14:paraId="6CCC0DE5" w14:textId="09DAB7BA" w:rsidR="00C65127" w:rsidRPr="004D02F0" w:rsidRDefault="00264158" w:rsidP="00422A01">
            <w:pPr>
              <w:jc w:val="center"/>
              <w:rPr>
                <w:rFonts w:ascii="Arial" w:hAnsi="Arial" w:cs="Arial"/>
                <w:b/>
                <w:sz w:val="16"/>
                <w:szCs w:val="16"/>
              </w:rPr>
            </w:pPr>
            <w:r>
              <w:rPr>
                <w:rFonts w:ascii="Arial" w:hAnsi="Arial" w:cs="Arial"/>
                <w:b/>
                <w:bCs/>
                <w:sz w:val="16"/>
                <w:szCs w:val="16"/>
              </w:rPr>
              <w:t>3.</w:t>
            </w:r>
            <w:r w:rsidR="00F34C5A">
              <w:rPr>
                <w:rFonts w:ascii="Arial" w:hAnsi="Arial" w:cs="Arial"/>
                <w:b/>
                <w:bCs/>
                <w:sz w:val="16"/>
                <w:szCs w:val="16"/>
              </w:rPr>
              <w:t>370.000</w:t>
            </w:r>
          </w:p>
        </w:tc>
      </w:tr>
      <w:tr w:rsidR="00154A48" w:rsidRPr="004D02F0" w14:paraId="083C2563" w14:textId="77777777" w:rsidTr="00422A01">
        <w:trPr>
          <w:trHeight w:val="283"/>
        </w:trPr>
        <w:tc>
          <w:tcPr>
            <w:tcW w:w="985" w:type="pct"/>
            <w:vAlign w:val="center"/>
          </w:tcPr>
          <w:p w14:paraId="0D0D8A5A" w14:textId="4CBADB45" w:rsidR="001C65C1" w:rsidRPr="004D02F0" w:rsidRDefault="001C65C1" w:rsidP="00422A01">
            <w:pPr>
              <w:widowControl w:val="0"/>
              <w:rPr>
                <w:rFonts w:ascii="Arial" w:hAnsi="Arial" w:cs="Arial"/>
                <w:b/>
                <w:sz w:val="16"/>
                <w:szCs w:val="16"/>
              </w:rPr>
            </w:pPr>
            <w:r w:rsidRPr="004D02F0">
              <w:rPr>
                <w:rFonts w:ascii="Arial" w:hAnsi="Arial" w:cs="Arial"/>
                <w:b/>
                <w:sz w:val="16"/>
                <w:szCs w:val="16"/>
              </w:rPr>
              <w:t>Vor</w:t>
            </w:r>
            <w:r w:rsidR="00126503" w:rsidRPr="004D02F0">
              <w:rPr>
                <w:rFonts w:ascii="Arial" w:hAnsi="Arial" w:cs="Arial"/>
                <w:b/>
                <w:sz w:val="16"/>
                <w:szCs w:val="16"/>
              </w:rPr>
              <w:t>ver</w:t>
            </w:r>
            <w:r w:rsidRPr="004D02F0">
              <w:rPr>
                <w:rFonts w:ascii="Arial" w:hAnsi="Arial" w:cs="Arial"/>
                <w:b/>
                <w:sz w:val="16"/>
                <w:szCs w:val="16"/>
              </w:rPr>
              <w:t>mietungsquote 20</w:t>
            </w:r>
            <w:r w:rsidR="009C5FCC">
              <w:rPr>
                <w:rFonts w:ascii="Arial" w:hAnsi="Arial" w:cs="Arial"/>
                <w:b/>
                <w:sz w:val="16"/>
                <w:szCs w:val="16"/>
              </w:rPr>
              <w:t>20</w:t>
            </w:r>
            <w:r w:rsidRPr="004D02F0">
              <w:rPr>
                <w:rFonts w:ascii="Arial" w:hAnsi="Arial" w:cs="Arial"/>
                <w:b/>
                <w:sz w:val="16"/>
                <w:szCs w:val="16"/>
              </w:rPr>
              <w:t xml:space="preserve"> </w:t>
            </w:r>
            <w:r w:rsidR="4A6EE254" w:rsidRPr="004D02F0">
              <w:rPr>
                <w:rFonts w:ascii="Arial" w:hAnsi="Arial" w:cs="Arial"/>
                <w:b/>
                <w:bCs/>
                <w:sz w:val="16"/>
                <w:szCs w:val="16"/>
              </w:rPr>
              <w:t>+ 202</w:t>
            </w:r>
            <w:r w:rsidR="009C5FCC">
              <w:rPr>
                <w:rFonts w:ascii="Arial" w:hAnsi="Arial" w:cs="Arial"/>
                <w:b/>
                <w:bCs/>
                <w:sz w:val="16"/>
                <w:szCs w:val="16"/>
              </w:rPr>
              <w:t>1</w:t>
            </w:r>
            <w:r w:rsidR="4A6EE254" w:rsidRPr="004D02F0">
              <w:rPr>
                <w:rFonts w:ascii="Arial" w:hAnsi="Arial" w:cs="Arial"/>
                <w:b/>
                <w:bCs/>
                <w:sz w:val="16"/>
                <w:szCs w:val="16"/>
              </w:rPr>
              <w:t xml:space="preserve"> </w:t>
            </w:r>
            <w:r w:rsidRPr="004D02F0">
              <w:rPr>
                <w:rFonts w:ascii="Arial" w:hAnsi="Arial" w:cs="Arial"/>
                <w:sz w:val="16"/>
                <w:szCs w:val="16"/>
              </w:rPr>
              <w:t>in %</w:t>
            </w:r>
          </w:p>
        </w:tc>
        <w:tc>
          <w:tcPr>
            <w:tcW w:w="502" w:type="pct"/>
            <w:vAlign w:val="center"/>
          </w:tcPr>
          <w:p w14:paraId="5B815624" w14:textId="3DDD0F3F" w:rsidR="001C65C1" w:rsidRPr="004D02F0" w:rsidRDefault="009C5FCC" w:rsidP="00422A01">
            <w:pPr>
              <w:jc w:val="center"/>
              <w:rPr>
                <w:rFonts w:ascii="Arial" w:hAnsi="Arial" w:cs="Arial"/>
                <w:sz w:val="16"/>
                <w:szCs w:val="16"/>
              </w:rPr>
            </w:pPr>
            <w:r>
              <w:rPr>
                <w:rFonts w:ascii="Arial" w:hAnsi="Arial" w:cs="Arial"/>
                <w:sz w:val="16"/>
                <w:szCs w:val="16"/>
              </w:rPr>
              <w:t>7</w:t>
            </w:r>
            <w:r w:rsidR="00F34C5A">
              <w:rPr>
                <w:rFonts w:ascii="Arial" w:hAnsi="Arial" w:cs="Arial"/>
                <w:sz w:val="16"/>
                <w:szCs w:val="16"/>
              </w:rPr>
              <w:t>5</w:t>
            </w:r>
          </w:p>
        </w:tc>
        <w:tc>
          <w:tcPr>
            <w:tcW w:w="502" w:type="pct"/>
            <w:vAlign w:val="center"/>
          </w:tcPr>
          <w:p w14:paraId="0BD28CCE" w14:textId="38F57956" w:rsidR="001C65C1" w:rsidRPr="004D02F0" w:rsidRDefault="00264158" w:rsidP="00422A01">
            <w:pPr>
              <w:jc w:val="center"/>
              <w:rPr>
                <w:rFonts w:ascii="Arial" w:hAnsi="Arial" w:cs="Arial"/>
                <w:sz w:val="16"/>
                <w:szCs w:val="16"/>
              </w:rPr>
            </w:pPr>
            <w:r>
              <w:rPr>
                <w:rFonts w:ascii="Arial" w:hAnsi="Arial" w:cs="Arial"/>
                <w:sz w:val="16"/>
                <w:szCs w:val="16"/>
              </w:rPr>
              <w:t>6</w:t>
            </w:r>
            <w:r w:rsidR="00F34C5A">
              <w:rPr>
                <w:rFonts w:ascii="Arial" w:hAnsi="Arial" w:cs="Arial"/>
                <w:sz w:val="16"/>
                <w:szCs w:val="16"/>
              </w:rPr>
              <w:t>3</w:t>
            </w:r>
          </w:p>
        </w:tc>
        <w:tc>
          <w:tcPr>
            <w:tcW w:w="502" w:type="pct"/>
            <w:vAlign w:val="center"/>
          </w:tcPr>
          <w:p w14:paraId="277079A1" w14:textId="00E471A8" w:rsidR="001C65C1" w:rsidRPr="004D02F0" w:rsidRDefault="00264158" w:rsidP="00422A01">
            <w:pPr>
              <w:jc w:val="center"/>
              <w:rPr>
                <w:rFonts w:ascii="Arial" w:hAnsi="Arial" w:cs="Arial"/>
                <w:sz w:val="16"/>
                <w:szCs w:val="16"/>
              </w:rPr>
            </w:pPr>
            <w:r>
              <w:rPr>
                <w:rFonts w:ascii="Arial" w:hAnsi="Arial" w:cs="Arial"/>
                <w:sz w:val="16"/>
                <w:szCs w:val="16"/>
              </w:rPr>
              <w:t>7</w:t>
            </w:r>
            <w:r w:rsidR="00F34C5A">
              <w:rPr>
                <w:rFonts w:ascii="Arial" w:hAnsi="Arial" w:cs="Arial"/>
                <w:sz w:val="16"/>
                <w:szCs w:val="16"/>
              </w:rPr>
              <w:t>7</w:t>
            </w:r>
          </w:p>
        </w:tc>
        <w:tc>
          <w:tcPr>
            <w:tcW w:w="502" w:type="pct"/>
            <w:vAlign w:val="center"/>
          </w:tcPr>
          <w:p w14:paraId="20F6D135" w14:textId="40DE068C" w:rsidR="001C65C1" w:rsidRPr="004D02F0" w:rsidRDefault="00264158" w:rsidP="00422A01">
            <w:pPr>
              <w:jc w:val="center"/>
              <w:rPr>
                <w:rFonts w:ascii="Arial" w:hAnsi="Arial" w:cs="Arial"/>
                <w:sz w:val="16"/>
                <w:szCs w:val="16"/>
              </w:rPr>
            </w:pPr>
            <w:r>
              <w:rPr>
                <w:rFonts w:ascii="Arial" w:hAnsi="Arial" w:cs="Arial"/>
                <w:sz w:val="16"/>
                <w:szCs w:val="16"/>
              </w:rPr>
              <w:t>5</w:t>
            </w:r>
            <w:r w:rsidR="00F34C5A">
              <w:rPr>
                <w:rFonts w:ascii="Arial" w:hAnsi="Arial" w:cs="Arial"/>
                <w:sz w:val="16"/>
                <w:szCs w:val="16"/>
              </w:rPr>
              <w:t>0</w:t>
            </w:r>
          </w:p>
        </w:tc>
        <w:tc>
          <w:tcPr>
            <w:tcW w:w="502" w:type="pct"/>
            <w:vAlign w:val="center"/>
          </w:tcPr>
          <w:p w14:paraId="37C4AF2D" w14:textId="4DA7AA57" w:rsidR="001C65C1" w:rsidRPr="004D02F0" w:rsidRDefault="00264158" w:rsidP="00422A01">
            <w:pPr>
              <w:jc w:val="center"/>
              <w:rPr>
                <w:rFonts w:ascii="Arial" w:hAnsi="Arial" w:cs="Arial"/>
                <w:sz w:val="16"/>
                <w:szCs w:val="16"/>
              </w:rPr>
            </w:pPr>
            <w:r>
              <w:rPr>
                <w:rFonts w:ascii="Arial" w:hAnsi="Arial" w:cs="Arial"/>
                <w:sz w:val="16"/>
                <w:szCs w:val="16"/>
              </w:rPr>
              <w:t>6</w:t>
            </w:r>
            <w:r w:rsidR="00F34C5A">
              <w:rPr>
                <w:rFonts w:ascii="Arial" w:hAnsi="Arial" w:cs="Arial"/>
                <w:sz w:val="16"/>
                <w:szCs w:val="16"/>
              </w:rPr>
              <w:t>6</w:t>
            </w:r>
          </w:p>
        </w:tc>
        <w:tc>
          <w:tcPr>
            <w:tcW w:w="502" w:type="pct"/>
            <w:vAlign w:val="center"/>
          </w:tcPr>
          <w:p w14:paraId="0F8131C9" w14:textId="6063EED8" w:rsidR="001C65C1" w:rsidRPr="004D02F0" w:rsidRDefault="00D65EAE" w:rsidP="00422A01">
            <w:pPr>
              <w:jc w:val="center"/>
              <w:rPr>
                <w:rFonts w:ascii="Arial" w:hAnsi="Arial" w:cs="Arial"/>
                <w:sz w:val="16"/>
                <w:szCs w:val="16"/>
              </w:rPr>
            </w:pPr>
            <w:r>
              <w:rPr>
                <w:rFonts w:ascii="Arial" w:hAnsi="Arial" w:cs="Arial"/>
                <w:sz w:val="16"/>
                <w:szCs w:val="16"/>
              </w:rPr>
              <w:t>7</w:t>
            </w:r>
            <w:r w:rsidR="00F34C5A">
              <w:rPr>
                <w:rFonts w:ascii="Arial" w:hAnsi="Arial" w:cs="Arial"/>
                <w:sz w:val="16"/>
                <w:szCs w:val="16"/>
              </w:rPr>
              <w:t>8</w:t>
            </w:r>
          </w:p>
        </w:tc>
        <w:tc>
          <w:tcPr>
            <w:tcW w:w="502" w:type="pct"/>
            <w:vAlign w:val="center"/>
          </w:tcPr>
          <w:p w14:paraId="6A5F96BA" w14:textId="3D266324" w:rsidR="001C65C1" w:rsidRPr="004D02F0" w:rsidRDefault="00264158" w:rsidP="00422A01">
            <w:pPr>
              <w:jc w:val="center"/>
              <w:rPr>
                <w:rFonts w:ascii="Arial" w:hAnsi="Arial" w:cs="Arial"/>
                <w:sz w:val="16"/>
                <w:szCs w:val="16"/>
              </w:rPr>
            </w:pPr>
            <w:r>
              <w:rPr>
                <w:rFonts w:ascii="Arial" w:hAnsi="Arial" w:cs="Arial"/>
                <w:sz w:val="16"/>
                <w:szCs w:val="16"/>
              </w:rPr>
              <w:t>6</w:t>
            </w:r>
            <w:r w:rsidR="00F34C5A">
              <w:rPr>
                <w:rFonts w:ascii="Arial" w:hAnsi="Arial" w:cs="Arial"/>
                <w:sz w:val="16"/>
                <w:szCs w:val="16"/>
              </w:rPr>
              <w:t>6</w:t>
            </w:r>
          </w:p>
        </w:tc>
        <w:tc>
          <w:tcPr>
            <w:tcW w:w="502" w:type="pct"/>
            <w:vAlign w:val="center"/>
          </w:tcPr>
          <w:p w14:paraId="70264BF0" w14:textId="5C08D802" w:rsidR="001C65C1" w:rsidRPr="004D02F0" w:rsidRDefault="00264158" w:rsidP="00422A01">
            <w:pPr>
              <w:jc w:val="center"/>
              <w:rPr>
                <w:rFonts w:ascii="Arial" w:hAnsi="Arial" w:cs="Arial"/>
                <w:b/>
                <w:sz w:val="16"/>
                <w:szCs w:val="16"/>
              </w:rPr>
            </w:pPr>
            <w:r>
              <w:rPr>
                <w:rFonts w:ascii="Arial" w:hAnsi="Arial" w:cs="Arial"/>
                <w:b/>
                <w:sz w:val="16"/>
                <w:szCs w:val="16"/>
              </w:rPr>
              <w:t>6</w:t>
            </w:r>
            <w:r w:rsidR="00F34C5A">
              <w:rPr>
                <w:rFonts w:ascii="Arial" w:hAnsi="Arial" w:cs="Arial"/>
                <w:b/>
                <w:sz w:val="16"/>
                <w:szCs w:val="16"/>
              </w:rPr>
              <w:t>7</w:t>
            </w:r>
          </w:p>
        </w:tc>
      </w:tr>
    </w:tbl>
    <w:p w14:paraId="4189EB68" w14:textId="440ECFB4" w:rsidR="00C65127" w:rsidRPr="004D02F0" w:rsidRDefault="00B47474" w:rsidP="004C416A">
      <w:pPr>
        <w:widowControl w:val="0"/>
        <w:spacing w:after="0"/>
        <w:rPr>
          <w:rFonts w:ascii="Arial" w:hAnsi="Arial" w:cs="Arial"/>
          <w:sz w:val="16"/>
          <w:szCs w:val="16"/>
        </w:rPr>
      </w:pPr>
      <w:r w:rsidRPr="004D02F0">
        <w:rPr>
          <w:rFonts w:ascii="Arial" w:hAnsi="Arial" w:cs="Arial"/>
          <w:sz w:val="16"/>
          <w:szCs w:val="16"/>
        </w:rPr>
        <w:t xml:space="preserve"> </w:t>
      </w:r>
      <w:r w:rsidR="00C65127" w:rsidRPr="004D02F0">
        <w:rPr>
          <w:rFonts w:ascii="Arial" w:hAnsi="Arial" w:cs="Arial"/>
          <w:sz w:val="16"/>
          <w:szCs w:val="16"/>
        </w:rPr>
        <w:t>Quelle: German Property Partners (GPP)</w:t>
      </w:r>
    </w:p>
    <w:p w14:paraId="6E71A7B1" w14:textId="77777777" w:rsidR="008B57EF" w:rsidRDefault="008B57EF" w:rsidP="001823AA">
      <w:pPr>
        <w:spacing w:after="0" w:line="240" w:lineRule="auto"/>
        <w:jc w:val="center"/>
        <w:rPr>
          <w:rFonts w:ascii="Arial" w:hAnsi="Arial" w:cs="Arial"/>
          <w:b/>
          <w:caps/>
          <w:sz w:val="36"/>
          <w:szCs w:val="36"/>
        </w:rPr>
      </w:pPr>
    </w:p>
    <w:bookmarkEnd w:id="2"/>
    <w:p w14:paraId="4AAB2CD2" w14:textId="7D9BC991" w:rsidR="32E3C701" w:rsidRPr="00934090" w:rsidRDefault="32E3C701" w:rsidP="32E3C701">
      <w:pPr>
        <w:jc w:val="both"/>
        <w:rPr>
          <w:i/>
          <w:iCs/>
        </w:rPr>
      </w:pPr>
      <w:r w:rsidRPr="00934090">
        <w:rPr>
          <w:rFonts w:ascii="Arial" w:eastAsia="Arial" w:hAnsi="Arial" w:cs="Arial"/>
          <w:i/>
          <w:iCs/>
          <w:caps/>
          <w:sz w:val="20"/>
          <w:szCs w:val="20"/>
          <w:lang w:val="de"/>
        </w:rPr>
        <w:t>ÜBER GERMAN PROPERTY PARTNERS</w:t>
      </w:r>
    </w:p>
    <w:p w14:paraId="24D83185" w14:textId="0AA54B30" w:rsidR="32E3C701" w:rsidRPr="00934090" w:rsidRDefault="32E3C701" w:rsidP="00934090">
      <w:pPr>
        <w:jc w:val="both"/>
        <w:rPr>
          <w:rFonts w:ascii="Arial" w:hAnsi="Arial" w:cs="Arial"/>
          <w:i/>
          <w:iCs/>
          <w:sz w:val="20"/>
          <w:szCs w:val="20"/>
        </w:rPr>
      </w:pPr>
      <w:r w:rsidRPr="00934090">
        <w:rPr>
          <w:rFonts w:ascii="Arial" w:eastAsia="Arial" w:hAnsi="Arial" w:cs="Arial"/>
          <w:i/>
          <w:iCs/>
          <w:sz w:val="20"/>
          <w:szCs w:val="20"/>
          <w:lang w:val="de"/>
        </w:rPr>
        <w:t xml:space="preserve">German Property Partners (GPP) ist ein deutschlandweites Netzwerk lokal führender Gewerbe-Immobiliendienstleister. Hierzu gehören Grossmann &amp; Berger, </w:t>
      </w:r>
      <w:proofErr w:type="spellStart"/>
      <w:r w:rsidRPr="00934090">
        <w:rPr>
          <w:rFonts w:ascii="Arial" w:eastAsia="Arial" w:hAnsi="Arial" w:cs="Arial"/>
          <w:i/>
          <w:iCs/>
          <w:sz w:val="20"/>
          <w:szCs w:val="20"/>
          <w:lang w:val="de"/>
        </w:rPr>
        <w:t>Anteon</w:t>
      </w:r>
      <w:proofErr w:type="spellEnd"/>
      <w:r w:rsidRPr="00934090">
        <w:rPr>
          <w:rFonts w:ascii="Arial" w:eastAsia="Arial" w:hAnsi="Arial" w:cs="Arial"/>
          <w:i/>
          <w:iCs/>
          <w:sz w:val="20"/>
          <w:szCs w:val="20"/>
          <w:lang w:val="de"/>
        </w:rPr>
        <w:t xml:space="preserve"> Immobilien, GREIF &amp; CONTZEN Immobilien, </w:t>
      </w:r>
      <w:proofErr w:type="spellStart"/>
      <w:r w:rsidRPr="00934090">
        <w:rPr>
          <w:rFonts w:ascii="Arial" w:eastAsia="Arial" w:hAnsi="Arial" w:cs="Arial"/>
          <w:i/>
          <w:iCs/>
          <w:sz w:val="20"/>
          <w:szCs w:val="20"/>
          <w:lang w:val="de"/>
        </w:rPr>
        <w:t>blackolive</w:t>
      </w:r>
      <w:proofErr w:type="spellEnd"/>
      <w:r w:rsidRPr="00934090">
        <w:rPr>
          <w:rFonts w:ascii="Arial" w:eastAsia="Arial" w:hAnsi="Arial" w:cs="Arial"/>
          <w:i/>
          <w:iCs/>
          <w:sz w:val="20"/>
          <w:szCs w:val="20"/>
          <w:lang w:val="de"/>
        </w:rPr>
        <w:t xml:space="preser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Köln | Bonn,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Pr>
          <w:rFonts w:ascii="Arial" w:eastAsia="Arial" w:hAnsi="Arial" w:cs="Arial"/>
          <w:i/>
          <w:iCs/>
          <w:sz w:val="20"/>
          <w:szCs w:val="20"/>
          <w:lang w:val="de"/>
        </w:rPr>
        <w:t>mehr als</w:t>
      </w:r>
      <w:r w:rsidRPr="00934090">
        <w:rPr>
          <w:rFonts w:ascii="Arial" w:eastAsia="Arial" w:hAnsi="Arial" w:cs="Arial"/>
          <w:i/>
          <w:iCs/>
          <w:sz w:val="20"/>
          <w:szCs w:val="20"/>
          <w:lang w:val="de"/>
        </w:rPr>
        <w:t xml:space="preserve"> 4</w:t>
      </w:r>
      <w:r w:rsidR="00B52286">
        <w:rPr>
          <w:rFonts w:ascii="Arial" w:eastAsia="Arial" w:hAnsi="Arial" w:cs="Arial"/>
          <w:i/>
          <w:iCs/>
          <w:sz w:val="20"/>
          <w:szCs w:val="20"/>
          <w:lang w:val="de"/>
        </w:rPr>
        <w:t>3</w:t>
      </w:r>
      <w:r w:rsidRPr="00934090">
        <w:rPr>
          <w:rFonts w:ascii="Arial" w:eastAsia="Arial" w:hAnsi="Arial" w:cs="Arial"/>
          <w:i/>
          <w:iCs/>
          <w:sz w:val="20"/>
          <w:szCs w:val="20"/>
          <w:lang w:val="de"/>
        </w:rPr>
        <w:t xml:space="preserve">0 Immobilienspezialisten für das Netzwerk tätig. </w:t>
      </w:r>
      <w:r w:rsidRPr="00934090">
        <w:rPr>
          <w:rFonts w:ascii="Arial" w:eastAsia="Arial" w:hAnsi="Arial" w:cs="Arial"/>
          <w:b/>
          <w:bCs/>
          <w:i/>
          <w:iCs/>
          <w:sz w:val="20"/>
          <w:szCs w:val="20"/>
          <w:lang w:val="de"/>
        </w:rPr>
        <w:t>201</w:t>
      </w:r>
      <w:r w:rsidR="00B52286">
        <w:rPr>
          <w:rFonts w:ascii="Arial" w:eastAsia="Arial" w:hAnsi="Arial" w:cs="Arial"/>
          <w:b/>
          <w:bCs/>
          <w:i/>
          <w:iCs/>
          <w:sz w:val="20"/>
          <w:szCs w:val="20"/>
          <w:lang w:val="de"/>
        </w:rPr>
        <w:t>9</w:t>
      </w:r>
      <w:r w:rsidRPr="00934090">
        <w:rPr>
          <w:rFonts w:ascii="Arial" w:eastAsia="Arial" w:hAnsi="Arial" w:cs="Arial"/>
          <w:i/>
          <w:iCs/>
          <w:sz w:val="20"/>
          <w:szCs w:val="20"/>
          <w:lang w:val="de"/>
        </w:rPr>
        <w:t xml:space="preserve"> vermittelte German Property Partners deutschlandweit rund </w:t>
      </w:r>
      <w:r w:rsidR="00C31217">
        <w:rPr>
          <w:rFonts w:ascii="Arial" w:eastAsia="Arial" w:hAnsi="Arial" w:cs="Arial"/>
          <w:i/>
          <w:iCs/>
          <w:sz w:val="20"/>
          <w:szCs w:val="20"/>
          <w:lang w:val="de"/>
        </w:rPr>
        <w:t>452</w:t>
      </w:r>
      <w:r w:rsidRPr="00934090">
        <w:rPr>
          <w:rFonts w:ascii="Arial" w:eastAsia="Arial" w:hAnsi="Arial" w:cs="Arial"/>
          <w:i/>
          <w:iCs/>
          <w:sz w:val="20"/>
          <w:szCs w:val="20"/>
          <w:lang w:val="de"/>
        </w:rPr>
        <w:t>.</w:t>
      </w:r>
      <w:r w:rsidR="00C31217">
        <w:rPr>
          <w:rFonts w:ascii="Arial" w:eastAsia="Arial" w:hAnsi="Arial" w:cs="Arial"/>
          <w:i/>
          <w:iCs/>
          <w:sz w:val="20"/>
          <w:szCs w:val="20"/>
          <w:lang w:val="de"/>
        </w:rPr>
        <w:t>8</w:t>
      </w:r>
      <w:r w:rsidRPr="00934090">
        <w:rPr>
          <w:rFonts w:ascii="Arial" w:eastAsia="Arial" w:hAnsi="Arial" w:cs="Arial"/>
          <w:i/>
          <w:iCs/>
          <w:sz w:val="20"/>
          <w:szCs w:val="20"/>
          <w:lang w:val="de"/>
        </w:rPr>
        <w:t>00 m² Gewerbefläche und betreute ein Transaktionsvolumen in Höhe von rund 2,</w:t>
      </w:r>
      <w:r w:rsidR="00C31217">
        <w:rPr>
          <w:rFonts w:ascii="Arial" w:eastAsia="Arial" w:hAnsi="Arial" w:cs="Arial"/>
          <w:i/>
          <w:iCs/>
          <w:sz w:val="20"/>
          <w:szCs w:val="20"/>
          <w:lang w:val="de"/>
        </w:rPr>
        <w:t>14</w:t>
      </w:r>
      <w:r w:rsidRPr="00934090">
        <w:rPr>
          <w:rFonts w:ascii="Arial" w:eastAsia="Arial" w:hAnsi="Arial" w:cs="Arial"/>
          <w:i/>
          <w:iCs/>
          <w:sz w:val="20"/>
          <w:szCs w:val="20"/>
          <w:lang w:val="de"/>
        </w:rPr>
        <w:t xml:space="preserve"> Mrd. €. </w:t>
      </w:r>
      <w:r w:rsidRPr="00934090">
        <w:rPr>
          <w:rFonts w:ascii="Arial" w:eastAsia="Arial" w:hAnsi="Arial" w:cs="Arial"/>
          <w:i/>
          <w:iCs/>
          <w:sz w:val="20"/>
          <w:szCs w:val="20"/>
        </w:rPr>
        <w:t>[</w:t>
      </w:r>
      <w:hyperlink>
        <w:r w:rsidRPr="00934090">
          <w:rPr>
            <w:rStyle w:val="Hyperlink"/>
            <w:rFonts w:ascii="Arial" w:eastAsia="Arial" w:hAnsi="Arial" w:cs="Arial"/>
            <w:i/>
            <w:iCs/>
            <w:sz w:val="20"/>
            <w:szCs w:val="20"/>
          </w:rPr>
          <w:t>www.germanpropertypartners.de</w:t>
        </w:r>
      </w:hyperlink>
      <w:r w:rsidRPr="00934090">
        <w:rPr>
          <w:rFonts w:ascii="Arial" w:eastAsia="Arial" w:hAnsi="Arial" w:cs="Arial"/>
          <w:i/>
          <w:iCs/>
          <w:sz w:val="20"/>
          <w:szCs w:val="20"/>
        </w:rPr>
        <w:t>]</w:t>
      </w:r>
    </w:p>
    <w:sectPr w:rsidR="32E3C701" w:rsidRPr="00934090" w:rsidSect="00DC19BC">
      <w:headerReference w:type="default" r:id="rId12"/>
      <w:footerReference w:type="default" r:id="rId13"/>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1444D" w14:textId="77777777" w:rsidR="00BF0236" w:rsidRDefault="00BF0236" w:rsidP="0055466B">
      <w:pPr>
        <w:spacing w:after="0" w:line="240" w:lineRule="auto"/>
      </w:pPr>
      <w:r>
        <w:separator/>
      </w:r>
    </w:p>
  </w:endnote>
  <w:endnote w:type="continuationSeparator" w:id="0">
    <w:p w14:paraId="525EF7CA" w14:textId="77777777" w:rsidR="00BF0236" w:rsidRDefault="00BF0236" w:rsidP="0055466B">
      <w:pPr>
        <w:spacing w:after="0" w:line="240" w:lineRule="auto"/>
      </w:pPr>
      <w:r>
        <w:continuationSeparator/>
      </w:r>
    </w:p>
  </w:endnote>
  <w:endnote w:type="continuationNotice" w:id="1">
    <w:p w14:paraId="736F80ED" w14:textId="77777777" w:rsidR="00BF0236" w:rsidRDefault="00BF0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C1D2" w14:textId="718F5586" w:rsidR="00422A01" w:rsidRPr="00DC19BC" w:rsidRDefault="00422A01">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A32AE9">
      <w:rPr>
        <w:rFonts w:ascii="Arial" w:hAnsi="Arial" w:cs="Arial"/>
        <w:b/>
        <w:noProof/>
        <w:sz w:val="18"/>
        <w:szCs w:val="18"/>
      </w:rPr>
      <w:t>5</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A32AE9">
      <w:rPr>
        <w:rFonts w:ascii="Arial" w:hAnsi="Arial" w:cs="Arial"/>
        <w:b/>
        <w:noProof/>
        <w:sz w:val="18"/>
        <w:szCs w:val="18"/>
      </w:rPr>
      <w:t>5</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F5CA4" w14:textId="77777777" w:rsidR="00BF0236" w:rsidRDefault="00BF0236" w:rsidP="0055466B">
      <w:pPr>
        <w:spacing w:after="0" w:line="240" w:lineRule="auto"/>
      </w:pPr>
      <w:r>
        <w:separator/>
      </w:r>
    </w:p>
  </w:footnote>
  <w:footnote w:type="continuationSeparator" w:id="0">
    <w:p w14:paraId="614D4D28" w14:textId="77777777" w:rsidR="00BF0236" w:rsidRDefault="00BF0236" w:rsidP="0055466B">
      <w:pPr>
        <w:spacing w:after="0" w:line="240" w:lineRule="auto"/>
      </w:pPr>
      <w:r>
        <w:continuationSeparator/>
      </w:r>
    </w:p>
  </w:footnote>
  <w:footnote w:type="continuationNotice" w:id="1">
    <w:p w14:paraId="29E1006A" w14:textId="77777777" w:rsidR="00BF0236" w:rsidRDefault="00BF0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B0F9" w14:textId="77777777" w:rsidR="00422A01" w:rsidRDefault="00422A01">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602BE"/>
    <w:rsid w:val="00060931"/>
    <w:rsid w:val="00060D5B"/>
    <w:rsid w:val="00061B3E"/>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FF4"/>
    <w:rsid w:val="00094160"/>
    <w:rsid w:val="0009416D"/>
    <w:rsid w:val="000949B5"/>
    <w:rsid w:val="00094CFA"/>
    <w:rsid w:val="00094E05"/>
    <w:rsid w:val="00095515"/>
    <w:rsid w:val="00095E3C"/>
    <w:rsid w:val="0009638B"/>
    <w:rsid w:val="000965BE"/>
    <w:rsid w:val="00096A83"/>
    <w:rsid w:val="00097288"/>
    <w:rsid w:val="0009788B"/>
    <w:rsid w:val="000A0433"/>
    <w:rsid w:val="000A08B8"/>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B39"/>
    <w:rsid w:val="000C4BA4"/>
    <w:rsid w:val="000C5F5E"/>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E5"/>
    <w:rsid w:val="000D6E0A"/>
    <w:rsid w:val="000D779D"/>
    <w:rsid w:val="000E078E"/>
    <w:rsid w:val="000E1162"/>
    <w:rsid w:val="000E1522"/>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F2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9B0"/>
    <w:rsid w:val="00166AFD"/>
    <w:rsid w:val="00166CE4"/>
    <w:rsid w:val="00166FD7"/>
    <w:rsid w:val="00167E41"/>
    <w:rsid w:val="00167FC6"/>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547"/>
    <w:rsid w:val="00274970"/>
    <w:rsid w:val="00275553"/>
    <w:rsid w:val="00275ABD"/>
    <w:rsid w:val="00275ADD"/>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F2F"/>
    <w:rsid w:val="00290774"/>
    <w:rsid w:val="00291240"/>
    <w:rsid w:val="00291307"/>
    <w:rsid w:val="002915A0"/>
    <w:rsid w:val="0029260B"/>
    <w:rsid w:val="002935BF"/>
    <w:rsid w:val="00293AF2"/>
    <w:rsid w:val="00293C63"/>
    <w:rsid w:val="00294082"/>
    <w:rsid w:val="00294342"/>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C08"/>
    <w:rsid w:val="002D00A8"/>
    <w:rsid w:val="002D097C"/>
    <w:rsid w:val="002D11DC"/>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5548"/>
    <w:rsid w:val="00305580"/>
    <w:rsid w:val="00305D1F"/>
    <w:rsid w:val="0030610F"/>
    <w:rsid w:val="00306A5A"/>
    <w:rsid w:val="00306BDC"/>
    <w:rsid w:val="003071D0"/>
    <w:rsid w:val="003079CD"/>
    <w:rsid w:val="003107A8"/>
    <w:rsid w:val="00310AFF"/>
    <w:rsid w:val="00310C48"/>
    <w:rsid w:val="00310F19"/>
    <w:rsid w:val="003133B1"/>
    <w:rsid w:val="003140B8"/>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70"/>
    <w:rsid w:val="00370D38"/>
    <w:rsid w:val="0037149C"/>
    <w:rsid w:val="00371885"/>
    <w:rsid w:val="0037201B"/>
    <w:rsid w:val="003721BF"/>
    <w:rsid w:val="00372C33"/>
    <w:rsid w:val="00372D74"/>
    <w:rsid w:val="00372DE4"/>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B67"/>
    <w:rsid w:val="003A7B8C"/>
    <w:rsid w:val="003A7C68"/>
    <w:rsid w:val="003A7CD2"/>
    <w:rsid w:val="003A7EC8"/>
    <w:rsid w:val="003B053E"/>
    <w:rsid w:val="003B11D6"/>
    <w:rsid w:val="003B4084"/>
    <w:rsid w:val="003B466C"/>
    <w:rsid w:val="003B54F6"/>
    <w:rsid w:val="003B6093"/>
    <w:rsid w:val="003B6C44"/>
    <w:rsid w:val="003B7638"/>
    <w:rsid w:val="003B7773"/>
    <w:rsid w:val="003C0AD2"/>
    <w:rsid w:val="003C1648"/>
    <w:rsid w:val="003C1D7D"/>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439"/>
    <w:rsid w:val="003D4577"/>
    <w:rsid w:val="003D4593"/>
    <w:rsid w:val="003D49B7"/>
    <w:rsid w:val="003D4FD3"/>
    <w:rsid w:val="003D5AD6"/>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602D"/>
    <w:rsid w:val="0042611E"/>
    <w:rsid w:val="00426B1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AD2"/>
    <w:rsid w:val="00455B90"/>
    <w:rsid w:val="0045630E"/>
    <w:rsid w:val="00456A44"/>
    <w:rsid w:val="004575C8"/>
    <w:rsid w:val="0045796E"/>
    <w:rsid w:val="00457DEF"/>
    <w:rsid w:val="0046045E"/>
    <w:rsid w:val="00460A7B"/>
    <w:rsid w:val="00460C86"/>
    <w:rsid w:val="00460E0E"/>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D77"/>
    <w:rsid w:val="00520184"/>
    <w:rsid w:val="00520539"/>
    <w:rsid w:val="00520E2E"/>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BFF"/>
    <w:rsid w:val="005E0E5C"/>
    <w:rsid w:val="005E1285"/>
    <w:rsid w:val="005E12E3"/>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CA6"/>
    <w:rsid w:val="005F3D95"/>
    <w:rsid w:val="005F441F"/>
    <w:rsid w:val="005F4F3D"/>
    <w:rsid w:val="005F616B"/>
    <w:rsid w:val="005F6685"/>
    <w:rsid w:val="005F676A"/>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104BC"/>
    <w:rsid w:val="00610C35"/>
    <w:rsid w:val="006117E3"/>
    <w:rsid w:val="00611C25"/>
    <w:rsid w:val="006120FA"/>
    <w:rsid w:val="00612936"/>
    <w:rsid w:val="006132E7"/>
    <w:rsid w:val="00613E05"/>
    <w:rsid w:val="00614AF4"/>
    <w:rsid w:val="00614C1B"/>
    <w:rsid w:val="00615264"/>
    <w:rsid w:val="00615D10"/>
    <w:rsid w:val="006163B6"/>
    <w:rsid w:val="006177B3"/>
    <w:rsid w:val="00617B39"/>
    <w:rsid w:val="00620531"/>
    <w:rsid w:val="00620AA6"/>
    <w:rsid w:val="0062114C"/>
    <w:rsid w:val="006217CD"/>
    <w:rsid w:val="00622AFF"/>
    <w:rsid w:val="006231CA"/>
    <w:rsid w:val="00623851"/>
    <w:rsid w:val="00624745"/>
    <w:rsid w:val="00624C81"/>
    <w:rsid w:val="00624F42"/>
    <w:rsid w:val="00624FA7"/>
    <w:rsid w:val="006253DB"/>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7E0"/>
    <w:rsid w:val="00662D74"/>
    <w:rsid w:val="006634E1"/>
    <w:rsid w:val="0066399E"/>
    <w:rsid w:val="0066402A"/>
    <w:rsid w:val="0066545F"/>
    <w:rsid w:val="006655F6"/>
    <w:rsid w:val="00665E86"/>
    <w:rsid w:val="00665FBF"/>
    <w:rsid w:val="006661A8"/>
    <w:rsid w:val="00667C87"/>
    <w:rsid w:val="00670716"/>
    <w:rsid w:val="0067154D"/>
    <w:rsid w:val="00671DBA"/>
    <w:rsid w:val="0067309C"/>
    <w:rsid w:val="00673293"/>
    <w:rsid w:val="00673857"/>
    <w:rsid w:val="0067436B"/>
    <w:rsid w:val="006747F8"/>
    <w:rsid w:val="00675947"/>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D9"/>
    <w:rsid w:val="00696DF7"/>
    <w:rsid w:val="006A02FE"/>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EA8"/>
    <w:rsid w:val="00711177"/>
    <w:rsid w:val="0071177B"/>
    <w:rsid w:val="00712133"/>
    <w:rsid w:val="0071300F"/>
    <w:rsid w:val="00713D5A"/>
    <w:rsid w:val="007154C0"/>
    <w:rsid w:val="0071573F"/>
    <w:rsid w:val="007157D7"/>
    <w:rsid w:val="007158D9"/>
    <w:rsid w:val="00716552"/>
    <w:rsid w:val="007172E7"/>
    <w:rsid w:val="00717864"/>
    <w:rsid w:val="00717E96"/>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7533"/>
    <w:rsid w:val="00727CD8"/>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65F6"/>
    <w:rsid w:val="007366DD"/>
    <w:rsid w:val="00736F38"/>
    <w:rsid w:val="007372AB"/>
    <w:rsid w:val="0073751E"/>
    <w:rsid w:val="007375D8"/>
    <w:rsid w:val="00740251"/>
    <w:rsid w:val="007406FF"/>
    <w:rsid w:val="007408C0"/>
    <w:rsid w:val="00740C56"/>
    <w:rsid w:val="00741580"/>
    <w:rsid w:val="00741719"/>
    <w:rsid w:val="00742BB1"/>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CC"/>
    <w:rsid w:val="007F0FCF"/>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709"/>
    <w:rsid w:val="008506D2"/>
    <w:rsid w:val="008506D7"/>
    <w:rsid w:val="0085117B"/>
    <w:rsid w:val="00851F4A"/>
    <w:rsid w:val="00851F7E"/>
    <w:rsid w:val="00851FAE"/>
    <w:rsid w:val="008522F8"/>
    <w:rsid w:val="0085247F"/>
    <w:rsid w:val="008528F1"/>
    <w:rsid w:val="008537B0"/>
    <w:rsid w:val="00853A4E"/>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1C96"/>
    <w:rsid w:val="00871F02"/>
    <w:rsid w:val="008722C8"/>
    <w:rsid w:val="00872F8E"/>
    <w:rsid w:val="00873115"/>
    <w:rsid w:val="00873285"/>
    <w:rsid w:val="00873E55"/>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52CA"/>
    <w:rsid w:val="008965DF"/>
    <w:rsid w:val="0089712D"/>
    <w:rsid w:val="00897348"/>
    <w:rsid w:val="008A0C1E"/>
    <w:rsid w:val="008A0DBD"/>
    <w:rsid w:val="008A114A"/>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1141"/>
    <w:rsid w:val="008E12D2"/>
    <w:rsid w:val="008E144B"/>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EDB"/>
    <w:rsid w:val="0094664E"/>
    <w:rsid w:val="00946B04"/>
    <w:rsid w:val="00946F89"/>
    <w:rsid w:val="0094700F"/>
    <w:rsid w:val="009479A2"/>
    <w:rsid w:val="00947A77"/>
    <w:rsid w:val="00950B7B"/>
    <w:rsid w:val="00951AC4"/>
    <w:rsid w:val="00951FDC"/>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6628"/>
    <w:rsid w:val="00996936"/>
    <w:rsid w:val="00996C34"/>
    <w:rsid w:val="00996C87"/>
    <w:rsid w:val="00997A8C"/>
    <w:rsid w:val="009A007D"/>
    <w:rsid w:val="009A0101"/>
    <w:rsid w:val="009A0841"/>
    <w:rsid w:val="009A185F"/>
    <w:rsid w:val="009A2906"/>
    <w:rsid w:val="009A37E2"/>
    <w:rsid w:val="009A3E58"/>
    <w:rsid w:val="009A49D3"/>
    <w:rsid w:val="009A4C25"/>
    <w:rsid w:val="009A539C"/>
    <w:rsid w:val="009A5861"/>
    <w:rsid w:val="009A5B89"/>
    <w:rsid w:val="009A5D73"/>
    <w:rsid w:val="009A5EFD"/>
    <w:rsid w:val="009A6E5F"/>
    <w:rsid w:val="009A745E"/>
    <w:rsid w:val="009A7FBF"/>
    <w:rsid w:val="009B0182"/>
    <w:rsid w:val="009B02A3"/>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9F0"/>
    <w:rsid w:val="009C20F4"/>
    <w:rsid w:val="009C2338"/>
    <w:rsid w:val="009C2C14"/>
    <w:rsid w:val="009C2F90"/>
    <w:rsid w:val="009C31AA"/>
    <w:rsid w:val="009C398B"/>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459"/>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56EE"/>
    <w:rsid w:val="00A26932"/>
    <w:rsid w:val="00A27674"/>
    <w:rsid w:val="00A2798D"/>
    <w:rsid w:val="00A279C4"/>
    <w:rsid w:val="00A27A20"/>
    <w:rsid w:val="00A27FB8"/>
    <w:rsid w:val="00A30874"/>
    <w:rsid w:val="00A3216E"/>
    <w:rsid w:val="00A32202"/>
    <w:rsid w:val="00A32AE9"/>
    <w:rsid w:val="00A32E36"/>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106D"/>
    <w:rsid w:val="00A51605"/>
    <w:rsid w:val="00A51C14"/>
    <w:rsid w:val="00A522FD"/>
    <w:rsid w:val="00A52638"/>
    <w:rsid w:val="00A5265D"/>
    <w:rsid w:val="00A527A5"/>
    <w:rsid w:val="00A52BFD"/>
    <w:rsid w:val="00A52C58"/>
    <w:rsid w:val="00A53023"/>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EC2"/>
    <w:rsid w:val="00A622CD"/>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449"/>
    <w:rsid w:val="00A775F2"/>
    <w:rsid w:val="00A776AE"/>
    <w:rsid w:val="00A777D3"/>
    <w:rsid w:val="00A809C1"/>
    <w:rsid w:val="00A80F9A"/>
    <w:rsid w:val="00A81572"/>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577D"/>
    <w:rsid w:val="00A95B69"/>
    <w:rsid w:val="00A96702"/>
    <w:rsid w:val="00A9695F"/>
    <w:rsid w:val="00A969A5"/>
    <w:rsid w:val="00A97291"/>
    <w:rsid w:val="00A976F6"/>
    <w:rsid w:val="00A97860"/>
    <w:rsid w:val="00A97C91"/>
    <w:rsid w:val="00AA0069"/>
    <w:rsid w:val="00AA031E"/>
    <w:rsid w:val="00AA03B0"/>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6018"/>
    <w:rsid w:val="00AA614B"/>
    <w:rsid w:val="00AA67E4"/>
    <w:rsid w:val="00AA7932"/>
    <w:rsid w:val="00AA7977"/>
    <w:rsid w:val="00AB018B"/>
    <w:rsid w:val="00AB14C6"/>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63F3"/>
    <w:rsid w:val="00AB6517"/>
    <w:rsid w:val="00AB7288"/>
    <w:rsid w:val="00AC0375"/>
    <w:rsid w:val="00AC047B"/>
    <w:rsid w:val="00AC0774"/>
    <w:rsid w:val="00AC0846"/>
    <w:rsid w:val="00AC1B3E"/>
    <w:rsid w:val="00AC1F17"/>
    <w:rsid w:val="00AC2328"/>
    <w:rsid w:val="00AC2A87"/>
    <w:rsid w:val="00AC2E2F"/>
    <w:rsid w:val="00AC35A7"/>
    <w:rsid w:val="00AC3A7D"/>
    <w:rsid w:val="00AC3B3B"/>
    <w:rsid w:val="00AC3D05"/>
    <w:rsid w:val="00AC3DAD"/>
    <w:rsid w:val="00AC40C0"/>
    <w:rsid w:val="00AC4F2C"/>
    <w:rsid w:val="00AC4FF3"/>
    <w:rsid w:val="00AC5A56"/>
    <w:rsid w:val="00AC6055"/>
    <w:rsid w:val="00AC7854"/>
    <w:rsid w:val="00AD04DF"/>
    <w:rsid w:val="00AD0555"/>
    <w:rsid w:val="00AD0833"/>
    <w:rsid w:val="00AD213C"/>
    <w:rsid w:val="00AD2D65"/>
    <w:rsid w:val="00AD304F"/>
    <w:rsid w:val="00AD31DE"/>
    <w:rsid w:val="00AD3312"/>
    <w:rsid w:val="00AD3379"/>
    <w:rsid w:val="00AD3836"/>
    <w:rsid w:val="00AD39B8"/>
    <w:rsid w:val="00AD3F95"/>
    <w:rsid w:val="00AD412C"/>
    <w:rsid w:val="00AD4AC2"/>
    <w:rsid w:val="00AD5A1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642"/>
    <w:rsid w:val="00B41DF7"/>
    <w:rsid w:val="00B4234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5165"/>
    <w:rsid w:val="00B9590C"/>
    <w:rsid w:val="00B95C2E"/>
    <w:rsid w:val="00B96272"/>
    <w:rsid w:val="00B96993"/>
    <w:rsid w:val="00BA007E"/>
    <w:rsid w:val="00BA0087"/>
    <w:rsid w:val="00BA00C6"/>
    <w:rsid w:val="00BA02F8"/>
    <w:rsid w:val="00BA1A32"/>
    <w:rsid w:val="00BA1AA5"/>
    <w:rsid w:val="00BA1CE2"/>
    <w:rsid w:val="00BA20BE"/>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23BA"/>
    <w:rsid w:val="00C123EC"/>
    <w:rsid w:val="00C1266E"/>
    <w:rsid w:val="00C12E2D"/>
    <w:rsid w:val="00C1365C"/>
    <w:rsid w:val="00C13CE6"/>
    <w:rsid w:val="00C13E4C"/>
    <w:rsid w:val="00C144DC"/>
    <w:rsid w:val="00C14FC0"/>
    <w:rsid w:val="00C154CD"/>
    <w:rsid w:val="00C15B37"/>
    <w:rsid w:val="00C15C60"/>
    <w:rsid w:val="00C164B4"/>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9D4"/>
    <w:rsid w:val="00C54DE0"/>
    <w:rsid w:val="00C552CA"/>
    <w:rsid w:val="00C553F6"/>
    <w:rsid w:val="00C56176"/>
    <w:rsid w:val="00C57CF2"/>
    <w:rsid w:val="00C60584"/>
    <w:rsid w:val="00C615A4"/>
    <w:rsid w:val="00C61C61"/>
    <w:rsid w:val="00C62ADF"/>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BAD"/>
    <w:rsid w:val="00CA2AE4"/>
    <w:rsid w:val="00CA3147"/>
    <w:rsid w:val="00CA358B"/>
    <w:rsid w:val="00CA4510"/>
    <w:rsid w:val="00CA47CC"/>
    <w:rsid w:val="00CA4877"/>
    <w:rsid w:val="00CA55BE"/>
    <w:rsid w:val="00CA5BD0"/>
    <w:rsid w:val="00CA605C"/>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63F"/>
    <w:rsid w:val="00CE279C"/>
    <w:rsid w:val="00CE301B"/>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1E93"/>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CC0"/>
    <w:rsid w:val="00D32D05"/>
    <w:rsid w:val="00D3438A"/>
    <w:rsid w:val="00D34402"/>
    <w:rsid w:val="00D34608"/>
    <w:rsid w:val="00D34AE0"/>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B5"/>
    <w:rsid w:val="00D93C21"/>
    <w:rsid w:val="00D94AF3"/>
    <w:rsid w:val="00D95413"/>
    <w:rsid w:val="00D96012"/>
    <w:rsid w:val="00D96DC8"/>
    <w:rsid w:val="00DA0B92"/>
    <w:rsid w:val="00DA0D7F"/>
    <w:rsid w:val="00DA10FF"/>
    <w:rsid w:val="00DA1EE8"/>
    <w:rsid w:val="00DA1FF3"/>
    <w:rsid w:val="00DA25EA"/>
    <w:rsid w:val="00DA2E84"/>
    <w:rsid w:val="00DA4119"/>
    <w:rsid w:val="00DA427F"/>
    <w:rsid w:val="00DA4DAD"/>
    <w:rsid w:val="00DA5D8E"/>
    <w:rsid w:val="00DA6055"/>
    <w:rsid w:val="00DA66F5"/>
    <w:rsid w:val="00DA6E7A"/>
    <w:rsid w:val="00DA6F4D"/>
    <w:rsid w:val="00DA7B0F"/>
    <w:rsid w:val="00DA7CBB"/>
    <w:rsid w:val="00DA7DA1"/>
    <w:rsid w:val="00DA7FFA"/>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3066"/>
    <w:rsid w:val="00DE37CB"/>
    <w:rsid w:val="00DE44BD"/>
    <w:rsid w:val="00DE4541"/>
    <w:rsid w:val="00DE4DC3"/>
    <w:rsid w:val="00DE54A8"/>
    <w:rsid w:val="00DE5558"/>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BB4"/>
    <w:rsid w:val="00E36C31"/>
    <w:rsid w:val="00E40B07"/>
    <w:rsid w:val="00E424E9"/>
    <w:rsid w:val="00E428A9"/>
    <w:rsid w:val="00E428EC"/>
    <w:rsid w:val="00E42A66"/>
    <w:rsid w:val="00E42E05"/>
    <w:rsid w:val="00E42E14"/>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3F16"/>
    <w:rsid w:val="00EC4334"/>
    <w:rsid w:val="00EC4C59"/>
    <w:rsid w:val="00EC5297"/>
    <w:rsid w:val="00EC56F2"/>
    <w:rsid w:val="00EC58CB"/>
    <w:rsid w:val="00EC5A41"/>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D28"/>
    <w:rsid w:val="00F67FF3"/>
    <w:rsid w:val="00F7148A"/>
    <w:rsid w:val="00F72D54"/>
    <w:rsid w:val="00F7314E"/>
    <w:rsid w:val="00F736E2"/>
    <w:rsid w:val="00F7418C"/>
    <w:rsid w:val="00F74CA9"/>
    <w:rsid w:val="00F7515E"/>
    <w:rsid w:val="00F7594A"/>
    <w:rsid w:val="00F75DC7"/>
    <w:rsid w:val="00F773F4"/>
    <w:rsid w:val="00F7743B"/>
    <w:rsid w:val="00F77492"/>
    <w:rsid w:val="00F77B93"/>
    <w:rsid w:val="00F77C44"/>
    <w:rsid w:val="00F80354"/>
    <w:rsid w:val="00F80729"/>
    <w:rsid w:val="00F80A7D"/>
    <w:rsid w:val="00F81227"/>
    <w:rsid w:val="00F821CB"/>
    <w:rsid w:val="00F82388"/>
    <w:rsid w:val="00F826BE"/>
    <w:rsid w:val="00F82A01"/>
    <w:rsid w:val="00F837C9"/>
    <w:rsid w:val="00F83FAD"/>
    <w:rsid w:val="00F851FD"/>
    <w:rsid w:val="00F85442"/>
    <w:rsid w:val="00F85C86"/>
    <w:rsid w:val="00F85D15"/>
    <w:rsid w:val="00F86440"/>
    <w:rsid w:val="00F86710"/>
    <w:rsid w:val="00F87BE6"/>
    <w:rsid w:val="00F87F42"/>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5477"/>
    <w:rsid w:val="00FF557D"/>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F8E6C-18B5-4F44-8B1B-3F6669F1BA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4.xml><?xml version="1.0" encoding="utf-8"?>
<ds:datastoreItem xmlns:ds="http://schemas.openxmlformats.org/officeDocument/2006/customXml" ds:itemID="{48CC298C-D868-4088-BDFE-56EB8688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Dennis Weinacht</cp:lastModifiedBy>
  <cp:revision>30</cp:revision>
  <cp:lastPrinted>2020-06-29T14:52:00Z</cp:lastPrinted>
  <dcterms:created xsi:type="dcterms:W3CDTF">2020-03-30T15:19:00Z</dcterms:created>
  <dcterms:modified xsi:type="dcterms:W3CDTF">2020-06-30T11:04:00Z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