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36E9" w14:textId="2563CD97"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36B9B598">
                <wp:simplePos x="0" y="0"/>
                <wp:positionH relativeFrom="column">
                  <wp:posOffset>3749040</wp:posOffset>
                </wp:positionH>
                <wp:positionV relativeFrom="paragraph">
                  <wp:posOffset>-897255</wp:posOffset>
                </wp:positionV>
                <wp:extent cx="2133600" cy="803081"/>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803081"/>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417616B1" w:rsidR="00422A01" w:rsidRDefault="003404AB"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Herr </w:t>
                            </w:r>
                            <w:r w:rsidR="0050461D">
                              <w:rPr>
                                <w:rFonts w:ascii="Arial" w:hAnsi="Arial" w:cs="Arial"/>
                                <w:color w:val="808080" w:themeColor="background1" w:themeShade="80"/>
                                <w:sz w:val="16"/>
                                <w:szCs w:val="16"/>
                              </w:rPr>
                              <w:t>Dennis Weinacht</w:t>
                            </w:r>
                          </w:p>
                          <w:p w14:paraId="35F2F7FA" w14:textId="5737943D"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Telefon: +49 (0)69 / </w:t>
                            </w:r>
                            <w:r w:rsidR="0050461D">
                              <w:rPr>
                                <w:rFonts w:ascii="Arial" w:hAnsi="Arial" w:cs="Arial"/>
                                <w:color w:val="808080" w:themeColor="background1" w:themeShade="80"/>
                                <w:sz w:val="16"/>
                                <w:szCs w:val="16"/>
                              </w:rPr>
                              <w:t>907 448 761</w:t>
                            </w:r>
                            <w:r>
                              <w:rPr>
                                <w:rFonts w:ascii="Arial" w:hAnsi="Arial" w:cs="Arial"/>
                                <w:color w:val="808080" w:themeColor="background1" w:themeShade="80"/>
                                <w:sz w:val="16"/>
                                <w:szCs w:val="16"/>
                              </w:rPr>
                              <w:t xml:space="preserve"> </w:t>
                            </w:r>
                          </w:p>
                          <w:p w14:paraId="45200597" w14:textId="68DF6BF8"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50461D">
                              <w:rPr>
                                <w:rFonts w:ascii="Arial" w:hAnsi="Arial" w:cs="Arial"/>
                                <w:color w:val="808080" w:themeColor="background1" w:themeShade="80"/>
                                <w:sz w:val="16"/>
                                <w:szCs w:val="16"/>
                                <w:lang w:val="it-IT"/>
                              </w:rPr>
                              <w:t>gpp.presse</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blackolive</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5.2pt;margin-top:-70.65pt;width:168pt;height:6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417616B1" w:rsidR="00422A01" w:rsidRDefault="003404AB"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Herr </w:t>
                      </w:r>
                      <w:r w:rsidR="0050461D">
                        <w:rPr>
                          <w:rFonts w:ascii="Arial" w:hAnsi="Arial" w:cs="Arial"/>
                          <w:color w:val="808080" w:themeColor="background1" w:themeShade="80"/>
                          <w:sz w:val="16"/>
                          <w:szCs w:val="16"/>
                        </w:rPr>
                        <w:t>Dennis Weinacht</w:t>
                      </w:r>
                    </w:p>
                    <w:p w14:paraId="35F2F7FA" w14:textId="5737943D"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Telefon: +49 (0)69 / </w:t>
                      </w:r>
                      <w:r w:rsidR="0050461D">
                        <w:rPr>
                          <w:rFonts w:ascii="Arial" w:hAnsi="Arial" w:cs="Arial"/>
                          <w:color w:val="808080" w:themeColor="background1" w:themeShade="80"/>
                          <w:sz w:val="16"/>
                          <w:szCs w:val="16"/>
                        </w:rPr>
                        <w:t>907 448 761</w:t>
                      </w:r>
                      <w:r>
                        <w:rPr>
                          <w:rFonts w:ascii="Arial" w:hAnsi="Arial" w:cs="Arial"/>
                          <w:color w:val="808080" w:themeColor="background1" w:themeShade="80"/>
                          <w:sz w:val="16"/>
                          <w:szCs w:val="16"/>
                        </w:rPr>
                        <w:t xml:space="preserve"> </w:t>
                      </w:r>
                    </w:p>
                    <w:p w14:paraId="45200597" w14:textId="68DF6BF8"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50461D">
                        <w:rPr>
                          <w:rFonts w:ascii="Arial" w:hAnsi="Arial" w:cs="Arial"/>
                          <w:color w:val="808080" w:themeColor="background1" w:themeShade="80"/>
                          <w:sz w:val="16"/>
                          <w:szCs w:val="16"/>
                          <w:lang w:val="it-IT"/>
                        </w:rPr>
                        <w:t>gpp.presse</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blackolive</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05421"/>
      <w:r w:rsidR="00C369CD" w:rsidRPr="004D02F0">
        <w:rPr>
          <w:rFonts w:ascii="Arial" w:hAnsi="Arial" w:cs="Arial"/>
          <w:color w:val="000000" w:themeColor="text1"/>
          <w:sz w:val="40"/>
          <w:szCs w:val="40"/>
        </w:rPr>
        <w:t>TOP-7-</w:t>
      </w:r>
      <w:r w:rsidR="00364A00" w:rsidRPr="004D02F0">
        <w:rPr>
          <w:rFonts w:ascii="Arial" w:hAnsi="Arial" w:cs="Arial"/>
          <w:color w:val="000000" w:themeColor="text1"/>
          <w:sz w:val="40"/>
          <w:szCs w:val="40"/>
        </w:rPr>
        <w:t>BÜROM</w:t>
      </w:r>
      <w:r w:rsidR="00C369CD" w:rsidRPr="004D02F0">
        <w:rPr>
          <w:rFonts w:ascii="Arial" w:hAnsi="Arial" w:cs="Arial"/>
          <w:color w:val="000000" w:themeColor="text1"/>
          <w:sz w:val="40"/>
          <w:szCs w:val="40"/>
        </w:rPr>
        <w:t>Ä</w:t>
      </w:r>
      <w:r w:rsidR="00364A00" w:rsidRPr="004D02F0">
        <w:rPr>
          <w:rFonts w:ascii="Arial" w:hAnsi="Arial" w:cs="Arial"/>
          <w:color w:val="000000" w:themeColor="text1"/>
          <w:sz w:val="40"/>
          <w:szCs w:val="40"/>
        </w:rPr>
        <w:t>RKT</w:t>
      </w:r>
      <w:r w:rsidR="00C369CD" w:rsidRPr="004D02F0">
        <w:rPr>
          <w:rFonts w:ascii="Arial" w:hAnsi="Arial" w:cs="Arial"/>
          <w:color w:val="000000" w:themeColor="text1"/>
          <w:sz w:val="40"/>
          <w:szCs w:val="40"/>
        </w:rPr>
        <w:t>E</w:t>
      </w:r>
      <w:r w:rsidR="006A10E7" w:rsidRPr="004D02F0">
        <w:rPr>
          <w:rFonts w:ascii="Arial" w:hAnsi="Arial" w:cs="Arial"/>
          <w:color w:val="000000" w:themeColor="text1"/>
          <w:sz w:val="40"/>
          <w:szCs w:val="40"/>
        </w:rPr>
        <w:t xml:space="preserve"> </w:t>
      </w:r>
      <w:r w:rsidR="004E304A">
        <w:rPr>
          <w:rFonts w:ascii="Arial" w:hAnsi="Arial" w:cs="Arial"/>
          <w:color w:val="000000" w:themeColor="text1"/>
          <w:sz w:val="40"/>
          <w:szCs w:val="40"/>
        </w:rPr>
        <w:t>Q4</w:t>
      </w:r>
      <w:r w:rsidR="008522F8" w:rsidRPr="004D02F0">
        <w:rPr>
          <w:rFonts w:ascii="Arial" w:hAnsi="Arial" w:cs="Arial"/>
          <w:color w:val="000000" w:themeColor="text1"/>
          <w:sz w:val="40"/>
          <w:szCs w:val="40"/>
        </w:rPr>
        <w:t>/</w:t>
      </w:r>
      <w:r w:rsidR="00364A00" w:rsidRPr="004D02F0">
        <w:rPr>
          <w:rFonts w:ascii="Arial" w:hAnsi="Arial" w:cs="Arial"/>
          <w:color w:val="000000" w:themeColor="text1"/>
          <w:sz w:val="40"/>
          <w:szCs w:val="40"/>
        </w:rPr>
        <w:t>201</w:t>
      </w:r>
      <w:bookmarkEnd w:id="0"/>
      <w:r w:rsidR="003404AB" w:rsidRPr="004D02F0">
        <w:rPr>
          <w:rFonts w:ascii="Arial" w:hAnsi="Arial" w:cs="Arial"/>
          <w:color w:val="000000" w:themeColor="text1"/>
          <w:sz w:val="40"/>
          <w:szCs w:val="40"/>
        </w:rPr>
        <w:t>9</w:t>
      </w:r>
    </w:p>
    <w:p w14:paraId="3B735A9E" w14:textId="3728955A" w:rsidR="00073A8E" w:rsidRPr="004D02F0" w:rsidRDefault="005244E7" w:rsidP="00462FC6">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 xml:space="preserve">Ergebnis aus 2018 </w:t>
      </w:r>
      <w:r w:rsidR="00211497">
        <w:rPr>
          <w:rFonts w:ascii="Arial" w:hAnsi="Arial" w:cs="Arial"/>
          <w:b/>
          <w:caps/>
          <w:color w:val="000000" w:themeColor="text1"/>
          <w:sz w:val="40"/>
          <w:szCs w:val="40"/>
        </w:rPr>
        <w:t>knapp verpasst</w:t>
      </w:r>
    </w:p>
    <w:p w14:paraId="28BEC29F" w14:textId="20FF3EB3" w:rsidR="007D3839" w:rsidRDefault="00B5621B" w:rsidP="004C416A">
      <w:pPr>
        <w:widowControl w:val="0"/>
        <w:spacing w:after="120"/>
        <w:jc w:val="center"/>
        <w:rPr>
          <w:rFonts w:ascii="Arial" w:hAnsi="Arial" w:cs="Arial"/>
          <w:b/>
          <w:sz w:val="20"/>
          <w:szCs w:val="20"/>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5724D79D">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30026A"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486831603"/>
      <w:bookmarkStart w:id="2" w:name="_Hlk526105468"/>
      <w:r w:rsidR="00D6747B" w:rsidRPr="007D3839">
        <w:rPr>
          <w:rFonts w:ascii="Arial" w:hAnsi="Arial" w:cs="Arial"/>
          <w:b/>
          <w:sz w:val="20"/>
          <w:szCs w:val="20"/>
        </w:rPr>
        <w:br/>
      </w:r>
      <w:r w:rsidR="008248E2">
        <w:rPr>
          <w:noProof/>
        </w:rPr>
        <w:drawing>
          <wp:inline distT="0" distB="0" distL="0" distR="0" wp14:anchorId="7B152D18" wp14:editId="088629C7">
            <wp:extent cx="4733925" cy="2790854"/>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b="1066"/>
                    <a:stretch/>
                  </pic:blipFill>
                  <pic:spPr bwMode="auto">
                    <a:xfrm>
                      <a:off x="0" y="0"/>
                      <a:ext cx="4790585" cy="2824257"/>
                    </a:xfrm>
                    <a:prstGeom prst="rect">
                      <a:avLst/>
                    </a:prstGeom>
                    <a:ln>
                      <a:noFill/>
                    </a:ln>
                    <a:extLst>
                      <a:ext uri="{53640926-AAD7-44D8-BBD7-CCE9431645EC}">
                        <a14:shadowObscured xmlns:a14="http://schemas.microsoft.com/office/drawing/2010/main"/>
                      </a:ext>
                    </a:extLst>
                  </pic:spPr>
                </pic:pic>
              </a:graphicData>
            </a:graphic>
          </wp:inline>
        </w:drawing>
      </w:r>
    </w:p>
    <w:p w14:paraId="2A49E5DE" w14:textId="77777777" w:rsidR="004C416A" w:rsidRDefault="004C416A" w:rsidP="007D3839">
      <w:pPr>
        <w:widowControl w:val="0"/>
        <w:spacing w:after="120"/>
        <w:rPr>
          <w:rFonts w:ascii="Arial" w:hAnsi="Arial" w:cs="Arial"/>
          <w:b/>
          <w:sz w:val="20"/>
          <w:szCs w:val="20"/>
        </w:rPr>
      </w:pPr>
    </w:p>
    <w:p w14:paraId="63193EDD" w14:textId="2AB3BA27" w:rsidR="004E304A" w:rsidRDefault="00DF54F2" w:rsidP="007D3839">
      <w:pPr>
        <w:widowControl w:val="0"/>
        <w:spacing w:after="120"/>
        <w:rPr>
          <w:rFonts w:ascii="Arial" w:hAnsi="Arial" w:cs="Arial"/>
          <w:bCs/>
          <w:sz w:val="20"/>
          <w:szCs w:val="20"/>
        </w:rPr>
      </w:pPr>
      <w:r w:rsidRPr="004D02F0">
        <w:rPr>
          <w:rFonts w:ascii="Arial" w:hAnsi="Arial" w:cs="Arial"/>
          <w:b/>
          <w:sz w:val="20"/>
          <w:szCs w:val="20"/>
        </w:rPr>
        <w:t>0</w:t>
      </w:r>
      <w:r w:rsidR="004E304A">
        <w:rPr>
          <w:rFonts w:ascii="Arial" w:hAnsi="Arial" w:cs="Arial"/>
          <w:b/>
          <w:sz w:val="20"/>
          <w:szCs w:val="20"/>
        </w:rPr>
        <w:t>6</w:t>
      </w:r>
      <w:r w:rsidR="00205F77" w:rsidRPr="004D02F0">
        <w:rPr>
          <w:rFonts w:ascii="Arial" w:hAnsi="Arial" w:cs="Arial"/>
          <w:b/>
          <w:sz w:val="20"/>
          <w:szCs w:val="20"/>
        </w:rPr>
        <w:t xml:space="preserve">. </w:t>
      </w:r>
      <w:r w:rsidR="004E304A">
        <w:rPr>
          <w:rFonts w:ascii="Arial" w:hAnsi="Arial" w:cs="Arial"/>
          <w:b/>
          <w:sz w:val="20"/>
          <w:szCs w:val="20"/>
        </w:rPr>
        <w:t>Januar</w:t>
      </w:r>
      <w:r w:rsidR="00205F77" w:rsidRPr="004D02F0">
        <w:rPr>
          <w:rFonts w:ascii="Arial" w:hAnsi="Arial" w:cs="Arial"/>
          <w:b/>
          <w:sz w:val="20"/>
          <w:szCs w:val="20"/>
        </w:rPr>
        <w:t xml:space="preserve"> 20</w:t>
      </w:r>
      <w:r w:rsidR="004E304A">
        <w:rPr>
          <w:rFonts w:ascii="Arial" w:hAnsi="Arial" w:cs="Arial"/>
          <w:b/>
          <w:sz w:val="20"/>
          <w:szCs w:val="20"/>
        </w:rPr>
        <w:t>20</w:t>
      </w:r>
      <w:r w:rsidR="00205F77" w:rsidRPr="004D02F0">
        <w:rPr>
          <w:rFonts w:ascii="Arial" w:hAnsi="Arial" w:cs="Arial"/>
          <w:b/>
          <w:sz w:val="20"/>
          <w:szCs w:val="20"/>
        </w:rPr>
        <w:t xml:space="preserve">, </w:t>
      </w:r>
      <w:r w:rsidR="00406E56">
        <w:rPr>
          <w:rFonts w:ascii="Arial" w:hAnsi="Arial" w:cs="Arial"/>
          <w:b/>
          <w:sz w:val="20"/>
          <w:szCs w:val="20"/>
        </w:rPr>
        <w:t>Frankfurt</w:t>
      </w:r>
      <w:bookmarkStart w:id="3" w:name="_Hlk486831588"/>
      <w:r w:rsidR="009066E5">
        <w:rPr>
          <w:rFonts w:ascii="Arial" w:hAnsi="Arial" w:cs="Arial"/>
          <w:b/>
          <w:sz w:val="20"/>
          <w:szCs w:val="20"/>
        </w:rPr>
        <w:t>.</w:t>
      </w:r>
      <w:r w:rsidR="004E304A">
        <w:rPr>
          <w:rFonts w:ascii="Arial" w:hAnsi="Arial" w:cs="Arial"/>
          <w:bCs/>
          <w:sz w:val="20"/>
          <w:szCs w:val="20"/>
        </w:rPr>
        <w:t xml:space="preserve"> </w:t>
      </w:r>
      <w:r w:rsidR="008248E2">
        <w:rPr>
          <w:rFonts w:ascii="Arial" w:hAnsi="Arial" w:cs="Arial"/>
          <w:bCs/>
          <w:sz w:val="20"/>
          <w:szCs w:val="20"/>
        </w:rPr>
        <w:t>Der</w:t>
      </w:r>
      <w:r w:rsidR="009066E5">
        <w:rPr>
          <w:rFonts w:ascii="Arial" w:hAnsi="Arial" w:cs="Arial"/>
          <w:bCs/>
          <w:sz w:val="20"/>
          <w:szCs w:val="20"/>
        </w:rPr>
        <w:t xml:space="preserve"> Flächenumsatz an den Top-7-Bürostandorten in Deutschland 2019 </w:t>
      </w:r>
      <w:r w:rsidR="008248E2">
        <w:rPr>
          <w:rFonts w:ascii="Arial" w:hAnsi="Arial" w:cs="Arial"/>
          <w:bCs/>
          <w:sz w:val="20"/>
          <w:szCs w:val="20"/>
        </w:rPr>
        <w:t xml:space="preserve">hat sich </w:t>
      </w:r>
      <w:r w:rsidR="009066E5">
        <w:rPr>
          <w:rFonts w:ascii="Arial" w:hAnsi="Arial" w:cs="Arial"/>
          <w:bCs/>
          <w:sz w:val="20"/>
          <w:szCs w:val="20"/>
        </w:rPr>
        <w:t xml:space="preserve">im Vergleich zum Vorjahr </w:t>
      </w:r>
      <w:r w:rsidR="008248E2">
        <w:rPr>
          <w:rFonts w:ascii="Arial" w:hAnsi="Arial" w:cs="Arial"/>
          <w:bCs/>
          <w:sz w:val="20"/>
          <w:szCs w:val="20"/>
        </w:rPr>
        <w:t>kaum</w:t>
      </w:r>
      <w:r w:rsidR="009066E5">
        <w:rPr>
          <w:rFonts w:ascii="Arial" w:hAnsi="Arial" w:cs="Arial"/>
          <w:bCs/>
          <w:sz w:val="20"/>
          <w:szCs w:val="20"/>
        </w:rPr>
        <w:t xml:space="preserve"> verändert. Wurden 2018 noch 3,88 Mio. m² umgesetzt, waren es 2019 3,87 Mio. m². Das geht aus aktuellen Zahlen </w:t>
      </w:r>
      <w:r w:rsidR="00AB2DBC">
        <w:rPr>
          <w:rFonts w:ascii="Arial" w:hAnsi="Arial" w:cs="Arial"/>
          <w:bCs/>
          <w:sz w:val="20"/>
          <w:szCs w:val="20"/>
        </w:rPr>
        <w:t>von</w:t>
      </w:r>
      <w:r w:rsidR="009066E5">
        <w:rPr>
          <w:rFonts w:ascii="Arial" w:hAnsi="Arial" w:cs="Arial"/>
          <w:bCs/>
          <w:sz w:val="20"/>
          <w:szCs w:val="20"/>
        </w:rPr>
        <w:t xml:space="preserve"> </w:t>
      </w:r>
      <w:r w:rsidR="009066E5" w:rsidRPr="009066E5">
        <w:rPr>
          <w:rFonts w:ascii="Arial" w:hAnsi="Arial" w:cs="Arial"/>
          <w:b/>
          <w:sz w:val="20"/>
          <w:szCs w:val="20"/>
        </w:rPr>
        <w:t>German Property Partners (GPP)</w:t>
      </w:r>
      <w:r w:rsidR="009066E5">
        <w:rPr>
          <w:rFonts w:ascii="Arial" w:hAnsi="Arial" w:cs="Arial"/>
          <w:bCs/>
          <w:sz w:val="20"/>
          <w:szCs w:val="20"/>
        </w:rPr>
        <w:t xml:space="preserve"> hervor.</w:t>
      </w:r>
      <w:r w:rsidR="008248E2" w:rsidRPr="008248E2">
        <w:rPr>
          <w:noProof/>
        </w:rPr>
        <w:t xml:space="preserve"> </w:t>
      </w:r>
    </w:p>
    <w:p w14:paraId="01ECFAA3" w14:textId="77777777" w:rsidR="004E304A" w:rsidRDefault="004E304A" w:rsidP="00205F77">
      <w:pPr>
        <w:widowControl w:val="0"/>
        <w:spacing w:after="0"/>
        <w:jc w:val="both"/>
        <w:rPr>
          <w:rFonts w:ascii="Arial" w:hAnsi="Arial" w:cs="Arial"/>
          <w:bCs/>
          <w:sz w:val="20"/>
          <w:szCs w:val="20"/>
        </w:rPr>
      </w:pPr>
    </w:p>
    <w:p w14:paraId="035D3C6D" w14:textId="39AF6E13" w:rsidR="004C1EFC" w:rsidRDefault="007D3839" w:rsidP="004C1EFC">
      <w:pPr>
        <w:widowControl w:val="0"/>
        <w:spacing w:after="0"/>
        <w:jc w:val="center"/>
        <w:rPr>
          <w:rFonts w:ascii="Arial" w:hAnsi="Arial" w:cs="Arial"/>
          <w:b/>
          <w:bCs/>
          <w:sz w:val="20"/>
          <w:szCs w:val="20"/>
        </w:rPr>
      </w:pPr>
      <w:r>
        <w:rPr>
          <w:rFonts w:ascii="Arial" w:hAnsi="Arial" w:cs="Arial"/>
          <w:b/>
          <w:bCs/>
          <w:sz w:val="20"/>
          <w:szCs w:val="20"/>
        </w:rPr>
        <w:t>WEITERHIN HOHE NACHFRAGE UND WENIG ANGEBOT</w:t>
      </w:r>
    </w:p>
    <w:p w14:paraId="465237C3" w14:textId="77777777" w:rsidR="00A035D3" w:rsidRDefault="00A035D3" w:rsidP="004C1EFC">
      <w:pPr>
        <w:widowControl w:val="0"/>
        <w:spacing w:after="0"/>
        <w:rPr>
          <w:rFonts w:ascii="Arial" w:hAnsi="Arial" w:cs="Arial"/>
          <w:sz w:val="20"/>
          <w:szCs w:val="20"/>
        </w:rPr>
      </w:pPr>
    </w:p>
    <w:p w14:paraId="342866ED" w14:textId="4B10E67A" w:rsidR="009066E5" w:rsidRDefault="009066E5" w:rsidP="004C1EFC">
      <w:pPr>
        <w:widowControl w:val="0"/>
        <w:spacing w:after="0"/>
        <w:rPr>
          <w:rFonts w:ascii="Arial" w:hAnsi="Arial" w:cs="Arial"/>
          <w:sz w:val="20"/>
          <w:szCs w:val="20"/>
        </w:rPr>
      </w:pPr>
      <w:r>
        <w:rPr>
          <w:rFonts w:ascii="Arial" w:hAnsi="Arial" w:cs="Arial"/>
          <w:sz w:val="20"/>
          <w:szCs w:val="20"/>
        </w:rPr>
        <w:t xml:space="preserve">Dass das Vorjahresergebnis nicht getoppt werden konnte, lag vornehmlich am immer knapper werdenden Angebot. </w:t>
      </w:r>
      <w:r w:rsidRPr="009066E5">
        <w:rPr>
          <w:rFonts w:ascii="Arial" w:hAnsi="Arial" w:cs="Arial"/>
          <w:b/>
          <w:bCs/>
          <w:sz w:val="20"/>
          <w:szCs w:val="20"/>
        </w:rPr>
        <w:t>GPP-Sprecher Oliver Schön</w:t>
      </w:r>
      <w:r>
        <w:rPr>
          <w:rFonts w:ascii="Arial" w:hAnsi="Arial" w:cs="Arial"/>
          <w:sz w:val="20"/>
          <w:szCs w:val="20"/>
        </w:rPr>
        <w:t xml:space="preserve">: „Im vergangenen Jahr waren an den Top-7-Standorten noch etwa 3,4 </w:t>
      </w:r>
      <w:r w:rsidR="00AE0E51">
        <w:rPr>
          <w:rFonts w:ascii="Arial" w:hAnsi="Arial" w:cs="Arial"/>
          <w:sz w:val="20"/>
          <w:szCs w:val="20"/>
        </w:rPr>
        <w:t>Prozent</w:t>
      </w:r>
      <w:r>
        <w:rPr>
          <w:rFonts w:ascii="Arial" w:hAnsi="Arial" w:cs="Arial"/>
          <w:sz w:val="20"/>
          <w:szCs w:val="20"/>
        </w:rPr>
        <w:t xml:space="preserve"> der Büroflächen freistehend und innerhalb von drei Monaten bezugsfertig. Mittlerweile beträgt der </w:t>
      </w:r>
      <w:r w:rsidRPr="009066E5">
        <w:rPr>
          <w:rFonts w:ascii="Arial" w:hAnsi="Arial" w:cs="Arial"/>
          <w:b/>
          <w:bCs/>
          <w:sz w:val="20"/>
          <w:szCs w:val="20"/>
        </w:rPr>
        <w:t>Leerstand</w:t>
      </w:r>
      <w:r>
        <w:rPr>
          <w:rFonts w:ascii="Arial" w:hAnsi="Arial" w:cs="Arial"/>
          <w:sz w:val="20"/>
          <w:szCs w:val="20"/>
        </w:rPr>
        <w:t xml:space="preserve"> nur noch 2,9 </w:t>
      </w:r>
      <w:r w:rsidR="00AE0E51">
        <w:rPr>
          <w:rFonts w:ascii="Arial" w:hAnsi="Arial" w:cs="Arial"/>
          <w:sz w:val="20"/>
          <w:szCs w:val="20"/>
        </w:rPr>
        <w:t>Prozent</w:t>
      </w:r>
      <w:r>
        <w:rPr>
          <w:rFonts w:ascii="Arial" w:hAnsi="Arial" w:cs="Arial"/>
          <w:sz w:val="20"/>
          <w:szCs w:val="20"/>
        </w:rPr>
        <w:t xml:space="preserve">.“ </w:t>
      </w:r>
    </w:p>
    <w:p w14:paraId="14F314F9" w14:textId="235B0976" w:rsidR="009066E5" w:rsidRDefault="009066E5" w:rsidP="009066E5">
      <w:pPr>
        <w:widowControl w:val="0"/>
        <w:spacing w:after="0"/>
        <w:jc w:val="center"/>
        <w:rPr>
          <w:rFonts w:ascii="Arial" w:hAnsi="Arial" w:cs="Arial"/>
          <w:sz w:val="20"/>
          <w:szCs w:val="20"/>
        </w:rPr>
      </w:pPr>
    </w:p>
    <w:p w14:paraId="71FDDC71" w14:textId="4786F5C1" w:rsidR="0011455A" w:rsidRDefault="008321B5" w:rsidP="00FD4D31">
      <w:pPr>
        <w:widowControl w:val="0"/>
        <w:spacing w:after="0"/>
        <w:rPr>
          <w:rFonts w:ascii="Arial" w:hAnsi="Arial" w:cs="Arial"/>
          <w:sz w:val="20"/>
          <w:szCs w:val="20"/>
        </w:rPr>
      </w:pPr>
      <w:bookmarkStart w:id="4" w:name="_Hlk28936933"/>
      <w:r>
        <w:rPr>
          <w:rFonts w:ascii="Arial" w:hAnsi="Arial" w:cs="Arial"/>
          <w:sz w:val="20"/>
          <w:szCs w:val="20"/>
        </w:rPr>
        <w:t>Allzu viel</w:t>
      </w:r>
      <w:r w:rsidR="00211497">
        <w:rPr>
          <w:rFonts w:ascii="Arial" w:hAnsi="Arial" w:cs="Arial"/>
          <w:sz w:val="20"/>
          <w:szCs w:val="20"/>
        </w:rPr>
        <w:t xml:space="preserve"> Entspannung auf einzelnen Märkten </w:t>
      </w:r>
      <w:r>
        <w:rPr>
          <w:rFonts w:ascii="Arial" w:hAnsi="Arial" w:cs="Arial"/>
          <w:sz w:val="20"/>
          <w:szCs w:val="20"/>
        </w:rPr>
        <w:t xml:space="preserve">wird es auch </w:t>
      </w:r>
      <w:r w:rsidR="00211497">
        <w:rPr>
          <w:rFonts w:ascii="Arial" w:hAnsi="Arial" w:cs="Arial"/>
          <w:sz w:val="20"/>
          <w:szCs w:val="20"/>
        </w:rPr>
        <w:t xml:space="preserve">durch hohe </w:t>
      </w:r>
      <w:r w:rsidR="00211497" w:rsidRPr="00211497">
        <w:rPr>
          <w:rFonts w:ascii="Arial" w:hAnsi="Arial" w:cs="Arial"/>
          <w:b/>
          <w:bCs/>
          <w:sz w:val="20"/>
          <w:szCs w:val="20"/>
        </w:rPr>
        <w:t>Fertigstellungs</w:t>
      </w:r>
      <w:r w:rsidR="009F1F92">
        <w:rPr>
          <w:rFonts w:ascii="Arial" w:hAnsi="Arial" w:cs="Arial"/>
          <w:b/>
          <w:bCs/>
          <w:sz w:val="20"/>
          <w:szCs w:val="20"/>
        </w:rPr>
        <w:t>zahlen</w:t>
      </w:r>
      <w:r w:rsidR="00211497" w:rsidRPr="00211497">
        <w:rPr>
          <w:rFonts w:ascii="Arial" w:hAnsi="Arial" w:cs="Arial"/>
          <w:b/>
          <w:bCs/>
          <w:sz w:val="20"/>
          <w:szCs w:val="20"/>
        </w:rPr>
        <w:t xml:space="preserve"> 2020</w:t>
      </w:r>
      <w:r w:rsidR="00211497">
        <w:rPr>
          <w:rFonts w:ascii="Arial" w:hAnsi="Arial" w:cs="Arial"/>
          <w:sz w:val="20"/>
          <w:szCs w:val="20"/>
        </w:rPr>
        <w:t xml:space="preserve"> </w:t>
      </w:r>
      <w:r>
        <w:rPr>
          <w:rFonts w:ascii="Arial" w:hAnsi="Arial" w:cs="Arial"/>
          <w:sz w:val="20"/>
          <w:szCs w:val="20"/>
        </w:rPr>
        <w:t xml:space="preserve">nicht </w:t>
      </w:r>
      <w:r w:rsidR="00211497">
        <w:rPr>
          <w:rFonts w:ascii="Arial" w:hAnsi="Arial" w:cs="Arial"/>
          <w:sz w:val="20"/>
          <w:szCs w:val="20"/>
        </w:rPr>
        <w:t>geben. Insgesamt werden rund 1,68 Mio. m² fertig</w:t>
      </w:r>
      <w:r>
        <w:rPr>
          <w:rFonts w:ascii="Arial" w:hAnsi="Arial" w:cs="Arial"/>
          <w:sz w:val="20"/>
          <w:szCs w:val="20"/>
        </w:rPr>
        <w:t xml:space="preserve"> (2018: 1,24 Mio. m²)</w:t>
      </w:r>
      <w:r w:rsidR="00211497">
        <w:rPr>
          <w:rFonts w:ascii="Arial" w:hAnsi="Arial" w:cs="Arial"/>
          <w:sz w:val="20"/>
          <w:szCs w:val="20"/>
        </w:rPr>
        <w:t>, wovon allerdings schon rund 74 % vorvermietet sind. Oliver Schön: „</w:t>
      </w:r>
      <w:r w:rsidR="003F32D3">
        <w:rPr>
          <w:rFonts w:ascii="Arial" w:hAnsi="Arial" w:cs="Arial"/>
          <w:sz w:val="20"/>
          <w:szCs w:val="20"/>
        </w:rPr>
        <w:t>Die Nachfrage nach Neubauprojekten ist an allen Standorten sehr hoch. Auch weil es in Bestandsgebäuden vielerorts kaum noch große freistehende Flächen gibt.“</w:t>
      </w:r>
    </w:p>
    <w:bookmarkEnd w:id="4"/>
    <w:p w14:paraId="261B914B" w14:textId="77777777" w:rsidR="005C55A8" w:rsidRDefault="005C55A8" w:rsidP="00FD4D31">
      <w:pPr>
        <w:widowControl w:val="0"/>
        <w:spacing w:after="0"/>
        <w:rPr>
          <w:rFonts w:ascii="Arial" w:hAnsi="Arial" w:cs="Arial"/>
          <w:sz w:val="20"/>
          <w:szCs w:val="20"/>
        </w:rPr>
      </w:pPr>
    </w:p>
    <w:p w14:paraId="497C0502" w14:textId="609ACCC1" w:rsidR="00AA6018" w:rsidRDefault="005C55A8" w:rsidP="00205F77">
      <w:pPr>
        <w:widowControl w:val="0"/>
        <w:spacing w:after="0"/>
        <w:jc w:val="both"/>
        <w:rPr>
          <w:rFonts w:ascii="Arial" w:hAnsi="Arial" w:cs="Arial"/>
          <w:sz w:val="20"/>
          <w:szCs w:val="20"/>
        </w:rPr>
      </w:pPr>
      <w:r>
        <w:rPr>
          <w:rFonts w:ascii="Arial" w:hAnsi="Arial" w:cs="Arial"/>
          <w:sz w:val="20"/>
          <w:szCs w:val="20"/>
        </w:rPr>
        <w:t xml:space="preserve">Durch das immer geringer werdende Angebot stiegen die Preise an allen Top-7-Standorten 2019. Bei </w:t>
      </w:r>
      <w:r>
        <w:rPr>
          <w:rFonts w:ascii="Arial" w:hAnsi="Arial" w:cs="Arial"/>
          <w:sz w:val="20"/>
          <w:szCs w:val="20"/>
        </w:rPr>
        <w:lastRenderedPageBreak/>
        <w:t xml:space="preserve">der </w:t>
      </w:r>
      <w:r w:rsidRPr="007D3839">
        <w:rPr>
          <w:rFonts w:ascii="Arial" w:hAnsi="Arial" w:cs="Arial"/>
          <w:b/>
          <w:bCs/>
          <w:sz w:val="20"/>
          <w:szCs w:val="20"/>
        </w:rPr>
        <w:t>Spitzenmiete</w:t>
      </w:r>
      <w:r>
        <w:rPr>
          <w:rFonts w:ascii="Arial" w:hAnsi="Arial" w:cs="Arial"/>
          <w:sz w:val="20"/>
          <w:szCs w:val="20"/>
        </w:rPr>
        <w:t xml:space="preserve"> gab es </w:t>
      </w:r>
      <w:r w:rsidR="009F1F92">
        <w:rPr>
          <w:rFonts w:ascii="Arial" w:hAnsi="Arial" w:cs="Arial"/>
          <w:sz w:val="20"/>
          <w:szCs w:val="20"/>
        </w:rPr>
        <w:t>Anstiege</w:t>
      </w:r>
      <w:r>
        <w:rPr>
          <w:rFonts w:ascii="Arial" w:hAnsi="Arial" w:cs="Arial"/>
          <w:sz w:val="20"/>
          <w:szCs w:val="20"/>
        </w:rPr>
        <w:t xml:space="preserve"> zwischen 3 % (Frankfurt und München) und 15 % (Berlin). Die </w:t>
      </w:r>
      <w:r w:rsidRPr="007D3839">
        <w:rPr>
          <w:rFonts w:ascii="Arial" w:hAnsi="Arial" w:cs="Arial"/>
          <w:b/>
          <w:bCs/>
          <w:sz w:val="20"/>
          <w:szCs w:val="20"/>
        </w:rPr>
        <w:t>Durchschnittsmiete</w:t>
      </w:r>
      <w:r>
        <w:rPr>
          <w:rFonts w:ascii="Arial" w:hAnsi="Arial" w:cs="Arial"/>
          <w:sz w:val="20"/>
          <w:szCs w:val="20"/>
        </w:rPr>
        <w:t xml:space="preserve"> steigerte sich zwischen </w:t>
      </w:r>
      <w:r w:rsidR="007D3839">
        <w:rPr>
          <w:rFonts w:ascii="Arial" w:hAnsi="Arial" w:cs="Arial"/>
          <w:sz w:val="20"/>
          <w:szCs w:val="20"/>
        </w:rPr>
        <w:t>2 % (Frankfurt) und 30 % (Berlin).</w:t>
      </w:r>
    </w:p>
    <w:p w14:paraId="60A3DB94" w14:textId="77777777" w:rsidR="00AA6018" w:rsidRDefault="00AA6018" w:rsidP="00205F77">
      <w:pPr>
        <w:widowControl w:val="0"/>
        <w:spacing w:after="0"/>
        <w:jc w:val="both"/>
        <w:rPr>
          <w:rFonts w:ascii="Arial" w:hAnsi="Arial" w:cs="Arial"/>
          <w:sz w:val="20"/>
          <w:szCs w:val="20"/>
        </w:rPr>
      </w:pPr>
    </w:p>
    <w:p w14:paraId="5BB2BD37" w14:textId="1231EAB7" w:rsidR="00D6747B" w:rsidRPr="00A279C4" w:rsidRDefault="00D6747B" w:rsidP="00F77C44">
      <w:pPr>
        <w:widowControl w:val="0"/>
        <w:spacing w:after="0"/>
        <w:jc w:val="center"/>
        <w:rPr>
          <w:rFonts w:ascii="Arial" w:eastAsiaTheme="minorEastAsia" w:hAnsi="Arial" w:cs="Arial"/>
          <w:b/>
          <w:bCs/>
          <w:sz w:val="20"/>
          <w:szCs w:val="20"/>
          <w:lang w:eastAsia="de-DE"/>
        </w:rPr>
      </w:pPr>
      <w:r w:rsidRPr="00A279C4">
        <w:rPr>
          <w:rFonts w:ascii="Arial" w:eastAsiaTheme="minorEastAsia" w:hAnsi="Arial" w:cs="Arial"/>
          <w:b/>
          <w:bCs/>
          <w:sz w:val="20"/>
          <w:szCs w:val="20"/>
          <w:lang w:eastAsia="de-DE"/>
        </w:rPr>
        <w:t>PROGNOSE</w:t>
      </w:r>
    </w:p>
    <w:p w14:paraId="0B4A2806" w14:textId="77777777" w:rsidR="00D6747B" w:rsidRDefault="00D6747B" w:rsidP="00205F77">
      <w:pPr>
        <w:widowControl w:val="0"/>
        <w:spacing w:after="0"/>
        <w:jc w:val="both"/>
        <w:rPr>
          <w:rFonts w:ascii="Arial" w:eastAsiaTheme="minorEastAsia" w:hAnsi="Arial" w:cs="Arial"/>
          <w:sz w:val="20"/>
          <w:szCs w:val="20"/>
          <w:lang w:eastAsia="de-DE"/>
        </w:rPr>
      </w:pPr>
    </w:p>
    <w:p w14:paraId="7B343A74" w14:textId="74C586FA" w:rsidR="00FD4D31" w:rsidRDefault="007D3839" w:rsidP="00205F77">
      <w:pPr>
        <w:widowControl w:val="0"/>
        <w:spacing w:after="0"/>
        <w:jc w:val="both"/>
        <w:rPr>
          <w:rFonts w:ascii="Arial" w:eastAsiaTheme="minorEastAsia" w:hAnsi="Arial" w:cs="Arial"/>
          <w:sz w:val="20"/>
          <w:szCs w:val="20"/>
          <w:lang w:eastAsia="de-DE"/>
        </w:rPr>
      </w:pPr>
      <w:r>
        <w:rPr>
          <w:rFonts w:ascii="Arial" w:eastAsiaTheme="minorEastAsia" w:hAnsi="Arial" w:cs="Arial"/>
          <w:b/>
          <w:bCs/>
          <w:sz w:val="20"/>
          <w:szCs w:val="20"/>
          <w:lang w:eastAsia="de-DE"/>
        </w:rPr>
        <w:t>Oliver Schön</w:t>
      </w:r>
      <w:r w:rsidR="00D6747B">
        <w:rPr>
          <w:rFonts w:ascii="Arial" w:eastAsiaTheme="minorEastAsia" w:hAnsi="Arial" w:cs="Arial"/>
          <w:sz w:val="20"/>
          <w:szCs w:val="20"/>
          <w:lang w:eastAsia="de-DE"/>
        </w:rPr>
        <w:t>: „</w:t>
      </w:r>
      <w:r>
        <w:rPr>
          <w:rFonts w:ascii="Arial" w:eastAsiaTheme="minorEastAsia" w:hAnsi="Arial" w:cs="Arial"/>
          <w:sz w:val="20"/>
          <w:szCs w:val="20"/>
          <w:lang w:eastAsia="de-DE"/>
        </w:rPr>
        <w:t>An allen Standorten sind Büroflächen nach wie vor extrem gefragt. Die Jahre 2020 und auch 2021 versprechen durch hohe Fertigstellungs</w:t>
      </w:r>
      <w:r w:rsidR="009F1F92">
        <w:rPr>
          <w:rFonts w:ascii="Arial" w:eastAsiaTheme="minorEastAsia" w:hAnsi="Arial" w:cs="Arial"/>
          <w:sz w:val="20"/>
          <w:szCs w:val="20"/>
          <w:lang w:eastAsia="de-DE"/>
        </w:rPr>
        <w:t>zahlen</w:t>
      </w:r>
      <w:r>
        <w:rPr>
          <w:rFonts w:ascii="Arial" w:eastAsiaTheme="minorEastAsia" w:hAnsi="Arial" w:cs="Arial"/>
          <w:sz w:val="20"/>
          <w:szCs w:val="20"/>
          <w:lang w:eastAsia="de-DE"/>
        </w:rPr>
        <w:t xml:space="preserve"> etwas Entspannung. Dennoch werden vor allem große Gesuche nicht überall erfolgreich sein. Wir rechnen für 2020 mit einem leicht sinkenden Flächenumsatz von etwa 3,7 Mi</w:t>
      </w:r>
      <w:r w:rsidR="008321B5">
        <w:rPr>
          <w:rFonts w:ascii="Arial" w:eastAsiaTheme="minorEastAsia" w:hAnsi="Arial" w:cs="Arial"/>
          <w:sz w:val="20"/>
          <w:szCs w:val="20"/>
          <w:lang w:eastAsia="de-DE"/>
        </w:rPr>
        <w:t>llionen Quadratmetern</w:t>
      </w:r>
      <w:r>
        <w:rPr>
          <w:rFonts w:ascii="Arial" w:eastAsiaTheme="minorEastAsia" w:hAnsi="Arial" w:cs="Arial"/>
          <w:sz w:val="20"/>
          <w:szCs w:val="20"/>
          <w:lang w:eastAsia="de-DE"/>
        </w:rPr>
        <w:t>. Die Mietpreise dürften an den Top-7-Standorten weiter steigen.</w:t>
      </w:r>
      <w:r w:rsidR="00890EDA">
        <w:rPr>
          <w:rFonts w:ascii="Arial" w:eastAsiaTheme="minorEastAsia" w:hAnsi="Arial" w:cs="Arial"/>
          <w:sz w:val="20"/>
          <w:szCs w:val="20"/>
          <w:lang w:eastAsia="de-DE"/>
        </w:rPr>
        <w:t>“</w:t>
      </w:r>
    </w:p>
    <w:p w14:paraId="768B9983" w14:textId="77777777" w:rsidR="002966C2" w:rsidRDefault="002966C2" w:rsidP="00205F77">
      <w:pPr>
        <w:widowControl w:val="0"/>
        <w:spacing w:after="0"/>
        <w:jc w:val="both"/>
        <w:rPr>
          <w:rFonts w:ascii="Arial" w:eastAsiaTheme="minorEastAsia" w:hAnsi="Arial" w:cs="Arial"/>
          <w:sz w:val="20"/>
          <w:szCs w:val="20"/>
          <w:lang w:eastAsia="de-DE"/>
        </w:rPr>
      </w:pPr>
    </w:p>
    <w:p w14:paraId="236FBA50" w14:textId="21E3F7A4" w:rsidR="00D6747B" w:rsidRDefault="00A279C4" w:rsidP="00A279C4">
      <w:pPr>
        <w:widowControl w:val="0"/>
        <w:spacing w:after="0"/>
        <w:jc w:val="center"/>
        <w:rPr>
          <w:rFonts w:ascii="Arial" w:eastAsiaTheme="minorEastAsia" w:hAnsi="Arial" w:cs="Arial"/>
          <w:sz w:val="20"/>
          <w:szCs w:val="20"/>
          <w:lang w:eastAsia="de-DE"/>
        </w:rPr>
      </w:pPr>
      <w:r w:rsidRPr="00A279C4">
        <w:rPr>
          <w:rFonts w:ascii="Arial" w:eastAsiaTheme="minorEastAsia" w:hAnsi="Arial" w:cs="Arial"/>
          <w:b/>
          <w:bCs/>
          <w:sz w:val="20"/>
          <w:szCs w:val="20"/>
          <w:lang w:eastAsia="de-DE"/>
        </w:rPr>
        <w:t>ALLE ZAHLEN AUF EINEN BLICK</w:t>
      </w:r>
    </w:p>
    <w:bookmarkEnd w:id="1"/>
    <w:bookmarkEnd w:id="3"/>
    <w:p w14:paraId="35477533" w14:textId="77777777" w:rsidR="001823AA" w:rsidRPr="004D02F0" w:rsidRDefault="001823AA" w:rsidP="00C740FF">
      <w:pPr>
        <w:spacing w:after="0" w:line="240" w:lineRule="auto"/>
        <w:jc w:val="both"/>
        <w:rPr>
          <w:rFonts w:ascii="Arial" w:hAnsi="Arial" w:cs="Arial"/>
          <w:b/>
          <w:sz w:val="20"/>
          <w:szCs w:val="20"/>
        </w:rPr>
      </w:pPr>
    </w:p>
    <w:p w14:paraId="2820E23F" w14:textId="216AFEAB" w:rsidR="003A0BD4" w:rsidRDefault="003A0BD4" w:rsidP="003A0BD4">
      <w:pPr>
        <w:spacing w:after="0" w:line="240" w:lineRule="auto"/>
        <w:jc w:val="both"/>
        <w:rPr>
          <w:rFonts w:ascii="Arial" w:hAnsi="Arial" w:cs="Arial"/>
          <w:sz w:val="20"/>
          <w:szCs w:val="20"/>
        </w:rPr>
      </w:pPr>
      <w:r>
        <w:rPr>
          <w:rFonts w:ascii="Arial" w:hAnsi="Arial" w:cs="Arial"/>
          <w:b/>
          <w:sz w:val="20"/>
          <w:szCs w:val="20"/>
        </w:rPr>
        <w:t>Top bekannte Abschlüsse über 20.000 m² | Top-7-Standorte | 1.-</w:t>
      </w:r>
      <w:r w:rsidR="007D3839">
        <w:rPr>
          <w:rFonts w:ascii="Arial" w:hAnsi="Arial" w:cs="Arial"/>
          <w:b/>
          <w:sz w:val="20"/>
          <w:szCs w:val="20"/>
        </w:rPr>
        <w:t>4</w:t>
      </w:r>
      <w:r>
        <w:rPr>
          <w:rFonts w:ascii="Arial" w:hAnsi="Arial" w:cs="Arial"/>
          <w:b/>
          <w:sz w:val="20"/>
          <w:szCs w:val="20"/>
        </w:rPr>
        <w:t>. Quartal 2019</w:t>
      </w:r>
    </w:p>
    <w:tbl>
      <w:tblPr>
        <w:tblStyle w:val="Tabellenraster"/>
        <w:tblW w:w="5000" w:type="pct"/>
        <w:tblLook w:val="04A0" w:firstRow="1" w:lastRow="0" w:firstColumn="1" w:lastColumn="0" w:noHBand="0" w:noVBand="1"/>
      </w:tblPr>
      <w:tblGrid>
        <w:gridCol w:w="865"/>
        <w:gridCol w:w="3666"/>
        <w:gridCol w:w="3527"/>
        <w:gridCol w:w="1004"/>
      </w:tblGrid>
      <w:tr w:rsidR="003A0BD4" w14:paraId="2227A3DF"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cs="Arial"/>
                <w:b/>
                <w:sz w:val="16"/>
                <w:szCs w:val="16"/>
              </w:rPr>
              <w:t>Stadt</w:t>
            </w:r>
          </w:p>
        </w:tc>
        <w:tc>
          <w:tcPr>
            <w:tcW w:w="2023"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cs="Arial"/>
                <w:b/>
                <w:sz w:val="16"/>
                <w:szCs w:val="16"/>
              </w:rPr>
              <w:t>Projekt/Objekt</w:t>
            </w:r>
          </w:p>
        </w:tc>
        <w:tc>
          <w:tcPr>
            <w:tcW w:w="1946"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cs="Arial"/>
                <w:b/>
                <w:sz w:val="16"/>
                <w:szCs w:val="16"/>
              </w:rPr>
              <w:t>Mieter/Eigennutzer</w:t>
            </w:r>
          </w:p>
        </w:tc>
        <w:tc>
          <w:tcPr>
            <w:tcW w:w="554"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cs="Arial"/>
                <w:b/>
                <w:sz w:val="16"/>
                <w:szCs w:val="16"/>
              </w:rPr>
              <w:t xml:space="preserve">Mietfläche </w:t>
            </w:r>
            <w:r>
              <w:rPr>
                <w:rFonts w:ascii="Arial" w:hAnsi="Arial" w:cs="Arial"/>
                <w:sz w:val="16"/>
                <w:szCs w:val="16"/>
              </w:rPr>
              <w:t>(ca. m²)</w:t>
            </w:r>
          </w:p>
        </w:tc>
      </w:tr>
      <w:tr w:rsidR="007D3839" w14:paraId="4C96267E"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tcPr>
          <w:p w14:paraId="142345A5" w14:textId="4EA9FD7D" w:rsidR="007D3839" w:rsidRPr="007D3839" w:rsidRDefault="007D3839">
            <w:pPr>
              <w:widowControl w:val="0"/>
              <w:jc w:val="center"/>
              <w:rPr>
                <w:rFonts w:ascii="Arial" w:hAnsi="Arial" w:cs="Arial"/>
                <w:bCs/>
                <w:sz w:val="16"/>
                <w:szCs w:val="16"/>
              </w:rPr>
            </w:pPr>
            <w:r w:rsidRPr="007D3839">
              <w:rPr>
                <w:rFonts w:ascii="Arial" w:hAnsi="Arial" w:cs="Arial"/>
                <w:bCs/>
                <w:sz w:val="16"/>
                <w:szCs w:val="16"/>
              </w:rPr>
              <w:t>BER</w:t>
            </w:r>
          </w:p>
        </w:tc>
        <w:tc>
          <w:tcPr>
            <w:tcW w:w="2023" w:type="pct"/>
            <w:tcBorders>
              <w:top w:val="single" w:sz="4" w:space="0" w:color="auto"/>
              <w:left w:val="single" w:sz="4" w:space="0" w:color="auto"/>
              <w:bottom w:val="single" w:sz="4" w:space="0" w:color="auto"/>
              <w:right w:val="single" w:sz="4" w:space="0" w:color="auto"/>
            </w:tcBorders>
            <w:vAlign w:val="center"/>
          </w:tcPr>
          <w:p w14:paraId="28339426" w14:textId="5C959117" w:rsidR="007D3839" w:rsidRPr="007D3839" w:rsidRDefault="00FD76A5">
            <w:pPr>
              <w:widowControl w:val="0"/>
              <w:jc w:val="center"/>
              <w:rPr>
                <w:rFonts w:ascii="Arial" w:hAnsi="Arial" w:cs="Arial"/>
                <w:bCs/>
                <w:sz w:val="16"/>
                <w:szCs w:val="16"/>
              </w:rPr>
            </w:pPr>
            <w:r>
              <w:rPr>
                <w:rFonts w:ascii="Arial" w:hAnsi="Arial" w:cs="Arial"/>
                <w:bCs/>
                <w:sz w:val="16"/>
                <w:szCs w:val="16"/>
              </w:rPr>
              <w:t>„</w:t>
            </w:r>
            <w:r w:rsidR="007D3839" w:rsidRPr="007D3839">
              <w:rPr>
                <w:rFonts w:ascii="Arial" w:hAnsi="Arial" w:cs="Arial"/>
                <w:bCs/>
                <w:sz w:val="16"/>
                <w:szCs w:val="16"/>
              </w:rPr>
              <w:t>Edge East Side</w:t>
            </w:r>
            <w:r>
              <w:rPr>
                <w:rFonts w:ascii="Arial" w:hAnsi="Arial" w:cs="Arial"/>
                <w:bCs/>
                <w:sz w:val="16"/>
                <w:szCs w:val="16"/>
              </w:rPr>
              <w:t>“</w:t>
            </w:r>
            <w:r w:rsidR="007D3839" w:rsidRPr="007D3839">
              <w:rPr>
                <w:rFonts w:ascii="Arial" w:hAnsi="Arial" w:cs="Arial"/>
                <w:bCs/>
                <w:sz w:val="16"/>
                <w:szCs w:val="16"/>
              </w:rPr>
              <w:t>, Tamara-Danz-Straße 1</w:t>
            </w:r>
          </w:p>
        </w:tc>
        <w:tc>
          <w:tcPr>
            <w:tcW w:w="1946" w:type="pct"/>
            <w:tcBorders>
              <w:top w:val="single" w:sz="4" w:space="0" w:color="auto"/>
              <w:left w:val="single" w:sz="4" w:space="0" w:color="auto"/>
              <w:bottom w:val="single" w:sz="4" w:space="0" w:color="auto"/>
              <w:right w:val="single" w:sz="4" w:space="0" w:color="auto"/>
            </w:tcBorders>
            <w:vAlign w:val="center"/>
          </w:tcPr>
          <w:p w14:paraId="5DC73B09" w14:textId="07BB53C6" w:rsidR="007D3839" w:rsidRPr="007D3839" w:rsidRDefault="007D3839">
            <w:pPr>
              <w:widowControl w:val="0"/>
              <w:jc w:val="center"/>
              <w:rPr>
                <w:rFonts w:ascii="Arial" w:hAnsi="Arial" w:cs="Arial"/>
                <w:bCs/>
                <w:sz w:val="16"/>
                <w:szCs w:val="16"/>
              </w:rPr>
            </w:pPr>
            <w:r w:rsidRPr="007D3839">
              <w:rPr>
                <w:rFonts w:ascii="Arial" w:hAnsi="Arial" w:cs="Arial"/>
                <w:bCs/>
                <w:sz w:val="16"/>
                <w:szCs w:val="16"/>
              </w:rPr>
              <w:t>Amazon</w:t>
            </w:r>
          </w:p>
        </w:tc>
        <w:tc>
          <w:tcPr>
            <w:tcW w:w="554" w:type="pct"/>
            <w:tcBorders>
              <w:top w:val="single" w:sz="4" w:space="0" w:color="auto"/>
              <w:left w:val="single" w:sz="4" w:space="0" w:color="auto"/>
              <w:bottom w:val="single" w:sz="4" w:space="0" w:color="auto"/>
              <w:right w:val="single" w:sz="4" w:space="0" w:color="auto"/>
            </w:tcBorders>
            <w:vAlign w:val="center"/>
          </w:tcPr>
          <w:p w14:paraId="3F30C22E" w14:textId="5C0CE929" w:rsidR="007D3839" w:rsidRPr="007D3839" w:rsidRDefault="007D3839">
            <w:pPr>
              <w:widowControl w:val="0"/>
              <w:jc w:val="center"/>
              <w:rPr>
                <w:rFonts w:ascii="Arial" w:hAnsi="Arial" w:cs="Arial"/>
                <w:bCs/>
                <w:sz w:val="16"/>
                <w:szCs w:val="16"/>
              </w:rPr>
            </w:pPr>
            <w:r w:rsidRPr="007D3839">
              <w:rPr>
                <w:rFonts w:ascii="Arial" w:hAnsi="Arial" w:cs="Arial"/>
                <w:bCs/>
                <w:sz w:val="16"/>
                <w:szCs w:val="16"/>
              </w:rPr>
              <w:t>55.000</w:t>
            </w:r>
          </w:p>
        </w:tc>
      </w:tr>
      <w:tr w:rsidR="003A0BD4" w14:paraId="475E520A"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hideMark/>
          </w:tcPr>
          <w:p w14:paraId="65C67435" w14:textId="77777777" w:rsidR="003A0BD4" w:rsidRDefault="003A0BD4">
            <w:pPr>
              <w:widowControl w:val="0"/>
              <w:jc w:val="center"/>
              <w:rPr>
                <w:rFonts w:ascii="Arial" w:hAnsi="Arial" w:cs="Arial"/>
                <w:bCs/>
                <w:sz w:val="16"/>
                <w:szCs w:val="16"/>
              </w:rPr>
            </w:pPr>
            <w:r>
              <w:rPr>
                <w:rFonts w:ascii="Arial" w:hAnsi="Arial" w:cs="Arial"/>
                <w:bCs/>
                <w:sz w:val="16"/>
                <w:szCs w:val="16"/>
              </w:rPr>
              <w:t>FFM</w:t>
            </w:r>
          </w:p>
        </w:tc>
        <w:tc>
          <w:tcPr>
            <w:tcW w:w="2023" w:type="pct"/>
            <w:tcBorders>
              <w:top w:val="single" w:sz="4" w:space="0" w:color="auto"/>
              <w:left w:val="single" w:sz="4" w:space="0" w:color="auto"/>
              <w:bottom w:val="single" w:sz="4" w:space="0" w:color="auto"/>
              <w:right w:val="single" w:sz="4" w:space="0" w:color="auto"/>
            </w:tcBorders>
            <w:vAlign w:val="center"/>
            <w:hideMark/>
          </w:tcPr>
          <w:p w14:paraId="0964F910" w14:textId="77777777" w:rsidR="003A0BD4" w:rsidRDefault="003A0BD4">
            <w:pPr>
              <w:widowControl w:val="0"/>
              <w:jc w:val="center"/>
              <w:rPr>
                <w:rFonts w:ascii="Arial" w:hAnsi="Arial" w:cs="Arial"/>
                <w:bCs/>
                <w:sz w:val="16"/>
                <w:szCs w:val="16"/>
              </w:rPr>
            </w:pPr>
            <w:r>
              <w:rPr>
                <w:rFonts w:ascii="Arial" w:hAnsi="Arial" w:cs="Arial"/>
                <w:bCs/>
                <w:sz w:val="16"/>
                <w:szCs w:val="16"/>
              </w:rPr>
              <w:t>Projektentwicklung Lyoner Straße 13</w:t>
            </w:r>
          </w:p>
        </w:tc>
        <w:tc>
          <w:tcPr>
            <w:tcW w:w="1946" w:type="pct"/>
            <w:tcBorders>
              <w:top w:val="single" w:sz="4" w:space="0" w:color="auto"/>
              <w:left w:val="single" w:sz="4" w:space="0" w:color="auto"/>
              <w:bottom w:val="single" w:sz="4" w:space="0" w:color="auto"/>
              <w:right w:val="single" w:sz="4" w:space="0" w:color="auto"/>
            </w:tcBorders>
            <w:vAlign w:val="center"/>
            <w:hideMark/>
          </w:tcPr>
          <w:p w14:paraId="01B38C32" w14:textId="77777777" w:rsidR="003A0BD4" w:rsidRDefault="003A0BD4">
            <w:pPr>
              <w:widowControl w:val="0"/>
              <w:jc w:val="center"/>
              <w:rPr>
                <w:rFonts w:ascii="Arial" w:hAnsi="Arial" w:cs="Arial"/>
                <w:bCs/>
                <w:sz w:val="16"/>
                <w:szCs w:val="16"/>
              </w:rPr>
            </w:pPr>
            <w:r>
              <w:rPr>
                <w:rFonts w:ascii="Arial" w:hAnsi="Arial" w:cs="Arial"/>
                <w:bCs/>
                <w:sz w:val="16"/>
                <w:szCs w:val="16"/>
              </w:rPr>
              <w:t>DekaBank/Deutsche Girozentrale</w:t>
            </w:r>
          </w:p>
        </w:tc>
        <w:tc>
          <w:tcPr>
            <w:tcW w:w="554" w:type="pct"/>
            <w:tcBorders>
              <w:top w:val="single" w:sz="4" w:space="0" w:color="auto"/>
              <w:left w:val="single" w:sz="4" w:space="0" w:color="auto"/>
              <w:bottom w:val="single" w:sz="4" w:space="0" w:color="auto"/>
              <w:right w:val="single" w:sz="4" w:space="0" w:color="auto"/>
            </w:tcBorders>
            <w:vAlign w:val="center"/>
            <w:hideMark/>
          </w:tcPr>
          <w:p w14:paraId="6016022D" w14:textId="77777777" w:rsidR="003A0BD4" w:rsidRDefault="003A0BD4">
            <w:pPr>
              <w:widowControl w:val="0"/>
              <w:jc w:val="center"/>
              <w:rPr>
                <w:rFonts w:ascii="Arial" w:hAnsi="Arial" w:cs="Arial"/>
                <w:bCs/>
                <w:sz w:val="16"/>
                <w:szCs w:val="16"/>
              </w:rPr>
            </w:pPr>
            <w:r>
              <w:rPr>
                <w:rFonts w:ascii="Arial" w:hAnsi="Arial" w:cs="Arial"/>
                <w:bCs/>
                <w:sz w:val="16"/>
                <w:szCs w:val="16"/>
              </w:rPr>
              <w:t>46.200</w:t>
            </w:r>
          </w:p>
        </w:tc>
      </w:tr>
      <w:tr w:rsidR="003A0BD4" w14:paraId="22BF0BEA"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hideMark/>
          </w:tcPr>
          <w:p w14:paraId="087E2460" w14:textId="77777777" w:rsidR="003A0BD4" w:rsidRDefault="003A0BD4">
            <w:pPr>
              <w:widowControl w:val="0"/>
              <w:jc w:val="center"/>
              <w:rPr>
                <w:rFonts w:ascii="Arial" w:hAnsi="Arial" w:cs="Arial"/>
                <w:bCs/>
                <w:sz w:val="16"/>
                <w:szCs w:val="16"/>
              </w:rPr>
            </w:pPr>
            <w:r>
              <w:rPr>
                <w:rFonts w:ascii="Arial" w:hAnsi="Arial" w:cs="Arial"/>
                <w:bCs/>
                <w:sz w:val="16"/>
                <w:szCs w:val="16"/>
              </w:rPr>
              <w:t>HAM</w:t>
            </w:r>
          </w:p>
        </w:tc>
        <w:tc>
          <w:tcPr>
            <w:tcW w:w="2023" w:type="pct"/>
            <w:tcBorders>
              <w:top w:val="single" w:sz="4" w:space="0" w:color="auto"/>
              <w:left w:val="single" w:sz="4" w:space="0" w:color="auto"/>
              <w:bottom w:val="single" w:sz="4" w:space="0" w:color="auto"/>
              <w:right w:val="single" w:sz="4" w:space="0" w:color="auto"/>
            </w:tcBorders>
            <w:vAlign w:val="center"/>
            <w:hideMark/>
          </w:tcPr>
          <w:p w14:paraId="6A462913" w14:textId="77777777" w:rsidR="003A0BD4" w:rsidRDefault="003A0BD4">
            <w:pPr>
              <w:widowControl w:val="0"/>
              <w:jc w:val="center"/>
              <w:rPr>
                <w:rFonts w:ascii="Arial" w:hAnsi="Arial" w:cs="Arial"/>
                <w:bCs/>
                <w:sz w:val="16"/>
                <w:szCs w:val="16"/>
              </w:rPr>
            </w:pPr>
            <w:r>
              <w:rPr>
                <w:rFonts w:ascii="Arial" w:hAnsi="Arial" w:cs="Arial"/>
                <w:bCs/>
                <w:sz w:val="16"/>
                <w:szCs w:val="16"/>
              </w:rPr>
              <w:t>„OTTO GOeast“, Werner-Otto-Straße 1-7</w:t>
            </w:r>
          </w:p>
        </w:tc>
        <w:tc>
          <w:tcPr>
            <w:tcW w:w="1946" w:type="pct"/>
            <w:tcBorders>
              <w:top w:val="single" w:sz="4" w:space="0" w:color="auto"/>
              <w:left w:val="single" w:sz="4" w:space="0" w:color="auto"/>
              <w:bottom w:val="single" w:sz="4" w:space="0" w:color="auto"/>
              <w:right w:val="single" w:sz="4" w:space="0" w:color="auto"/>
            </w:tcBorders>
            <w:vAlign w:val="center"/>
            <w:hideMark/>
          </w:tcPr>
          <w:p w14:paraId="20A2B291" w14:textId="77777777" w:rsidR="003A0BD4" w:rsidRDefault="003A0BD4">
            <w:pPr>
              <w:widowControl w:val="0"/>
              <w:jc w:val="center"/>
              <w:rPr>
                <w:rFonts w:ascii="Arial" w:hAnsi="Arial" w:cs="Arial"/>
                <w:bCs/>
                <w:sz w:val="16"/>
                <w:szCs w:val="16"/>
              </w:rPr>
            </w:pPr>
            <w:r>
              <w:rPr>
                <w:rFonts w:ascii="Arial" w:hAnsi="Arial" w:cs="Arial"/>
                <w:bCs/>
                <w:sz w:val="16"/>
                <w:szCs w:val="16"/>
              </w:rPr>
              <w:t>Otto Group</w:t>
            </w:r>
          </w:p>
        </w:tc>
        <w:tc>
          <w:tcPr>
            <w:tcW w:w="554" w:type="pct"/>
            <w:tcBorders>
              <w:top w:val="single" w:sz="4" w:space="0" w:color="auto"/>
              <w:left w:val="single" w:sz="4" w:space="0" w:color="auto"/>
              <w:bottom w:val="single" w:sz="4" w:space="0" w:color="auto"/>
              <w:right w:val="single" w:sz="4" w:space="0" w:color="auto"/>
            </w:tcBorders>
            <w:vAlign w:val="center"/>
            <w:hideMark/>
          </w:tcPr>
          <w:p w14:paraId="1CA93766" w14:textId="77777777" w:rsidR="003A0BD4" w:rsidRDefault="003A0BD4">
            <w:pPr>
              <w:widowControl w:val="0"/>
              <w:jc w:val="center"/>
              <w:rPr>
                <w:rFonts w:ascii="Arial" w:hAnsi="Arial" w:cs="Arial"/>
                <w:bCs/>
                <w:sz w:val="16"/>
                <w:szCs w:val="16"/>
              </w:rPr>
            </w:pPr>
            <w:r>
              <w:rPr>
                <w:rFonts w:ascii="Arial" w:hAnsi="Arial" w:cs="Arial"/>
                <w:bCs/>
                <w:sz w:val="16"/>
                <w:szCs w:val="16"/>
              </w:rPr>
              <w:t>40.000</w:t>
            </w:r>
          </w:p>
        </w:tc>
      </w:tr>
      <w:tr w:rsidR="003A0BD4" w14:paraId="79061476" w14:textId="77777777" w:rsidTr="003A0BD4">
        <w:trPr>
          <w:trHeight w:val="227"/>
        </w:trPr>
        <w:tc>
          <w:tcPr>
            <w:tcW w:w="477" w:type="pct"/>
            <w:tcBorders>
              <w:top w:val="single" w:sz="4" w:space="0" w:color="auto"/>
              <w:left w:val="single" w:sz="4" w:space="0" w:color="auto"/>
              <w:bottom w:val="single" w:sz="4" w:space="0" w:color="auto"/>
              <w:right w:val="single" w:sz="4" w:space="0" w:color="auto"/>
            </w:tcBorders>
            <w:vAlign w:val="center"/>
            <w:hideMark/>
          </w:tcPr>
          <w:p w14:paraId="1638CAE8" w14:textId="77777777" w:rsidR="003A0BD4" w:rsidRDefault="003A0BD4">
            <w:pPr>
              <w:widowControl w:val="0"/>
              <w:jc w:val="center"/>
              <w:rPr>
                <w:rFonts w:ascii="Arial" w:hAnsi="Arial" w:cs="Arial"/>
                <w:bCs/>
                <w:sz w:val="16"/>
                <w:szCs w:val="16"/>
              </w:rPr>
            </w:pPr>
            <w:r>
              <w:rPr>
                <w:rFonts w:ascii="Arial" w:hAnsi="Arial" w:cs="Arial"/>
                <w:bCs/>
                <w:sz w:val="16"/>
                <w:szCs w:val="16"/>
              </w:rPr>
              <w:t>DUS</w:t>
            </w:r>
          </w:p>
        </w:tc>
        <w:tc>
          <w:tcPr>
            <w:tcW w:w="2023" w:type="pct"/>
            <w:tcBorders>
              <w:top w:val="single" w:sz="4" w:space="0" w:color="auto"/>
              <w:left w:val="single" w:sz="4" w:space="0" w:color="auto"/>
              <w:bottom w:val="single" w:sz="4" w:space="0" w:color="auto"/>
              <w:right w:val="single" w:sz="4" w:space="0" w:color="auto"/>
            </w:tcBorders>
            <w:vAlign w:val="center"/>
            <w:hideMark/>
          </w:tcPr>
          <w:p w14:paraId="1BCCD0EB" w14:textId="77777777" w:rsidR="003A0BD4" w:rsidRDefault="003A0BD4">
            <w:pPr>
              <w:widowControl w:val="0"/>
              <w:jc w:val="center"/>
              <w:rPr>
                <w:rFonts w:ascii="Arial" w:hAnsi="Arial" w:cs="Arial"/>
                <w:bCs/>
                <w:sz w:val="16"/>
                <w:szCs w:val="16"/>
              </w:rPr>
            </w:pPr>
            <w:r>
              <w:rPr>
                <w:rFonts w:ascii="Arial" w:hAnsi="Arial" w:cs="Arial"/>
                <w:bCs/>
                <w:sz w:val="16"/>
                <w:szCs w:val="16"/>
              </w:rPr>
              <w:t>„MIZAL“, Plockstraße</w:t>
            </w:r>
          </w:p>
        </w:tc>
        <w:tc>
          <w:tcPr>
            <w:tcW w:w="1946" w:type="pct"/>
            <w:tcBorders>
              <w:top w:val="single" w:sz="4" w:space="0" w:color="auto"/>
              <w:left w:val="single" w:sz="4" w:space="0" w:color="auto"/>
              <w:bottom w:val="single" w:sz="4" w:space="0" w:color="auto"/>
              <w:right w:val="single" w:sz="4" w:space="0" w:color="auto"/>
            </w:tcBorders>
            <w:vAlign w:val="center"/>
            <w:hideMark/>
          </w:tcPr>
          <w:p w14:paraId="1B778869" w14:textId="7EF0E074" w:rsidR="003A0BD4" w:rsidRDefault="003A0BD4">
            <w:pPr>
              <w:widowControl w:val="0"/>
              <w:jc w:val="center"/>
              <w:rPr>
                <w:rFonts w:ascii="Arial" w:hAnsi="Arial" w:cs="Arial"/>
                <w:bCs/>
                <w:sz w:val="16"/>
                <w:szCs w:val="16"/>
              </w:rPr>
            </w:pPr>
            <w:r>
              <w:rPr>
                <w:rFonts w:ascii="Arial" w:hAnsi="Arial" w:cs="Arial"/>
                <w:bCs/>
                <w:sz w:val="16"/>
                <w:szCs w:val="16"/>
              </w:rPr>
              <w:t>WPP Deutschland</w:t>
            </w:r>
          </w:p>
        </w:tc>
        <w:tc>
          <w:tcPr>
            <w:tcW w:w="554" w:type="pct"/>
            <w:tcBorders>
              <w:top w:val="single" w:sz="4" w:space="0" w:color="auto"/>
              <w:left w:val="single" w:sz="4" w:space="0" w:color="auto"/>
              <w:bottom w:val="single" w:sz="4" w:space="0" w:color="auto"/>
              <w:right w:val="single" w:sz="4" w:space="0" w:color="auto"/>
            </w:tcBorders>
            <w:vAlign w:val="center"/>
            <w:hideMark/>
          </w:tcPr>
          <w:p w14:paraId="53B8F118" w14:textId="57FF26FF" w:rsidR="003A0BD4" w:rsidRDefault="003A0BD4">
            <w:pPr>
              <w:widowControl w:val="0"/>
              <w:jc w:val="center"/>
              <w:rPr>
                <w:rFonts w:ascii="Arial" w:hAnsi="Arial" w:cs="Arial"/>
                <w:bCs/>
                <w:sz w:val="16"/>
                <w:szCs w:val="16"/>
              </w:rPr>
            </w:pPr>
            <w:r>
              <w:rPr>
                <w:rFonts w:ascii="Arial" w:hAnsi="Arial" w:cs="Arial"/>
                <w:bCs/>
                <w:sz w:val="16"/>
                <w:szCs w:val="16"/>
              </w:rPr>
              <w:t>34.</w:t>
            </w:r>
            <w:r w:rsidR="007D3839">
              <w:rPr>
                <w:rFonts w:ascii="Arial" w:hAnsi="Arial" w:cs="Arial"/>
                <w:bCs/>
                <w:sz w:val="16"/>
                <w:szCs w:val="16"/>
              </w:rPr>
              <w:t>071</w:t>
            </w:r>
          </w:p>
        </w:tc>
      </w:tr>
      <w:tr w:rsidR="003A0BD4" w14:paraId="2AD11541" w14:textId="77777777" w:rsidTr="007D3839">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4BDE89" w14:textId="77777777" w:rsidR="003A0BD4" w:rsidRDefault="003A0BD4">
            <w:pPr>
              <w:widowControl w:val="0"/>
              <w:jc w:val="center"/>
              <w:rPr>
                <w:rFonts w:ascii="Arial" w:hAnsi="Arial" w:cs="Arial"/>
                <w:bCs/>
                <w:sz w:val="16"/>
                <w:szCs w:val="16"/>
              </w:rPr>
            </w:pPr>
            <w:r>
              <w:rPr>
                <w:rFonts w:ascii="Arial" w:hAnsi="Arial" w:cs="Arial"/>
                <w:bCs/>
                <w:sz w:val="16"/>
                <w:szCs w:val="16"/>
              </w:rPr>
              <w:t>BER</w:t>
            </w:r>
          </w:p>
        </w:tc>
        <w:tc>
          <w:tcPr>
            <w:tcW w:w="20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A52EB8" w14:textId="77777777" w:rsidR="003A0BD4" w:rsidRDefault="003A0BD4">
            <w:pPr>
              <w:widowControl w:val="0"/>
              <w:jc w:val="center"/>
              <w:rPr>
                <w:rFonts w:ascii="Arial" w:hAnsi="Arial" w:cs="Arial"/>
                <w:bCs/>
                <w:sz w:val="16"/>
                <w:szCs w:val="16"/>
              </w:rPr>
            </w:pPr>
            <w:r>
              <w:rPr>
                <w:rFonts w:ascii="Arial" w:hAnsi="Arial" w:cs="Arial"/>
                <w:bCs/>
                <w:sz w:val="16"/>
                <w:szCs w:val="16"/>
              </w:rPr>
              <w:t>„QH Track H“, Heidestraße</w:t>
            </w:r>
          </w:p>
        </w:tc>
        <w:tc>
          <w:tcPr>
            <w:tcW w:w="19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E39E9" w14:textId="77777777" w:rsidR="003A0BD4" w:rsidRDefault="003A0BD4">
            <w:pPr>
              <w:widowControl w:val="0"/>
              <w:jc w:val="center"/>
              <w:rPr>
                <w:rFonts w:ascii="Arial" w:hAnsi="Arial" w:cs="Arial"/>
                <w:bCs/>
                <w:sz w:val="16"/>
                <w:szCs w:val="16"/>
              </w:rPr>
            </w:pPr>
            <w:r>
              <w:rPr>
                <w:rFonts w:ascii="Arial" w:hAnsi="Arial" w:cs="Arial"/>
                <w:bCs/>
                <w:sz w:val="16"/>
                <w:szCs w:val="16"/>
              </w:rPr>
              <w:t>SAP Deutschland</w:t>
            </w:r>
          </w:p>
        </w:tc>
        <w:tc>
          <w:tcPr>
            <w:tcW w:w="5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007D3B" w14:textId="77777777" w:rsidR="003A0BD4" w:rsidRDefault="003A0BD4">
            <w:pPr>
              <w:widowControl w:val="0"/>
              <w:jc w:val="center"/>
              <w:rPr>
                <w:rFonts w:ascii="Arial" w:hAnsi="Arial" w:cs="Arial"/>
                <w:bCs/>
                <w:sz w:val="16"/>
                <w:szCs w:val="16"/>
              </w:rPr>
            </w:pPr>
            <w:r>
              <w:rPr>
                <w:rFonts w:ascii="Arial" w:hAnsi="Arial" w:cs="Arial"/>
                <w:bCs/>
                <w:sz w:val="16"/>
                <w:szCs w:val="16"/>
              </w:rPr>
              <w:t>30.900</w:t>
            </w:r>
          </w:p>
        </w:tc>
      </w:tr>
      <w:tr w:rsidR="00FD76A5" w14:paraId="6E978A1A" w14:textId="77777777" w:rsidTr="00AB2DBC">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307400F5" w14:textId="5204F07B" w:rsidR="00FD76A5" w:rsidRDefault="00FD76A5">
            <w:pPr>
              <w:widowControl w:val="0"/>
              <w:jc w:val="center"/>
              <w:rPr>
                <w:rFonts w:ascii="Arial" w:hAnsi="Arial" w:cs="Arial"/>
                <w:bCs/>
                <w:sz w:val="16"/>
                <w:szCs w:val="16"/>
              </w:rPr>
            </w:pPr>
            <w:r>
              <w:rPr>
                <w:rFonts w:ascii="Arial" w:hAnsi="Arial" w:cs="Arial"/>
                <w:bCs/>
                <w:sz w:val="16"/>
                <w:szCs w:val="16"/>
              </w:rPr>
              <w:t>BER</w:t>
            </w:r>
          </w:p>
        </w:tc>
        <w:tc>
          <w:tcPr>
            <w:tcW w:w="2023" w:type="pct"/>
            <w:tcBorders>
              <w:top w:val="single" w:sz="4" w:space="0" w:color="auto"/>
              <w:left w:val="single" w:sz="4" w:space="0" w:color="auto"/>
              <w:bottom w:val="single" w:sz="4" w:space="0" w:color="auto"/>
              <w:right w:val="single" w:sz="4" w:space="0" w:color="auto"/>
            </w:tcBorders>
            <w:shd w:val="clear" w:color="auto" w:fill="auto"/>
            <w:vAlign w:val="center"/>
          </w:tcPr>
          <w:p w14:paraId="6D5582E7" w14:textId="0808A284" w:rsidR="00FD76A5" w:rsidRDefault="00FD76A5">
            <w:pPr>
              <w:widowControl w:val="0"/>
              <w:jc w:val="center"/>
              <w:rPr>
                <w:rFonts w:ascii="Arial" w:hAnsi="Arial" w:cs="Arial"/>
                <w:bCs/>
                <w:sz w:val="16"/>
                <w:szCs w:val="16"/>
              </w:rPr>
            </w:pPr>
            <w:r>
              <w:rPr>
                <w:rFonts w:ascii="Arial" w:hAnsi="Arial" w:cs="Arial"/>
                <w:bCs/>
                <w:sz w:val="16"/>
                <w:szCs w:val="16"/>
              </w:rPr>
              <w:t>„Be:Hub“, Kynaststraße 13-15</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14:paraId="048BD833" w14:textId="28554445" w:rsidR="00FD76A5" w:rsidRDefault="00FD76A5">
            <w:pPr>
              <w:widowControl w:val="0"/>
              <w:jc w:val="center"/>
              <w:rPr>
                <w:rFonts w:ascii="Arial" w:hAnsi="Arial" w:cs="Arial"/>
                <w:bCs/>
                <w:sz w:val="16"/>
                <w:szCs w:val="16"/>
              </w:rPr>
            </w:pPr>
            <w:r>
              <w:rPr>
                <w:rFonts w:ascii="Arial" w:hAnsi="Arial" w:cs="Arial"/>
                <w:bCs/>
                <w:sz w:val="16"/>
                <w:szCs w:val="16"/>
              </w:rPr>
              <w:t>Bundeskriminalamt</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03F1CECF" w14:textId="76B0C8E9" w:rsidR="00FD76A5" w:rsidRDefault="00FD76A5">
            <w:pPr>
              <w:widowControl w:val="0"/>
              <w:jc w:val="center"/>
              <w:rPr>
                <w:rFonts w:ascii="Arial" w:hAnsi="Arial" w:cs="Arial"/>
                <w:bCs/>
                <w:sz w:val="16"/>
                <w:szCs w:val="16"/>
              </w:rPr>
            </w:pPr>
            <w:r>
              <w:rPr>
                <w:rFonts w:ascii="Arial" w:hAnsi="Arial" w:cs="Arial"/>
                <w:bCs/>
                <w:sz w:val="16"/>
                <w:szCs w:val="16"/>
              </w:rPr>
              <w:t>30.000</w:t>
            </w:r>
          </w:p>
        </w:tc>
      </w:tr>
      <w:tr w:rsidR="00FD76A5" w14:paraId="547A7CD0" w14:textId="77777777" w:rsidTr="00AB2DBC">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424E264" w14:textId="719079BF" w:rsidR="00FD76A5" w:rsidRDefault="00FD76A5">
            <w:pPr>
              <w:widowControl w:val="0"/>
              <w:jc w:val="center"/>
              <w:rPr>
                <w:rFonts w:ascii="Arial" w:hAnsi="Arial" w:cs="Arial"/>
                <w:bCs/>
                <w:sz w:val="16"/>
                <w:szCs w:val="16"/>
              </w:rPr>
            </w:pPr>
            <w:r>
              <w:rPr>
                <w:rFonts w:ascii="Arial" w:hAnsi="Arial" w:cs="Arial"/>
                <w:bCs/>
                <w:sz w:val="16"/>
                <w:szCs w:val="16"/>
              </w:rPr>
              <w:t>MUC</w:t>
            </w:r>
          </w:p>
        </w:tc>
        <w:tc>
          <w:tcPr>
            <w:tcW w:w="2023" w:type="pct"/>
            <w:tcBorders>
              <w:top w:val="single" w:sz="4" w:space="0" w:color="auto"/>
              <w:left w:val="single" w:sz="4" w:space="0" w:color="auto"/>
              <w:bottom w:val="single" w:sz="4" w:space="0" w:color="auto"/>
              <w:right w:val="single" w:sz="4" w:space="0" w:color="auto"/>
            </w:tcBorders>
            <w:shd w:val="clear" w:color="auto" w:fill="auto"/>
            <w:vAlign w:val="center"/>
          </w:tcPr>
          <w:p w14:paraId="460E1B40" w14:textId="30496830" w:rsidR="00FD76A5" w:rsidRDefault="00FD76A5">
            <w:pPr>
              <w:widowControl w:val="0"/>
              <w:jc w:val="center"/>
              <w:rPr>
                <w:rFonts w:ascii="Arial" w:hAnsi="Arial" w:cs="Arial"/>
                <w:bCs/>
                <w:sz w:val="16"/>
                <w:szCs w:val="16"/>
              </w:rPr>
            </w:pPr>
            <w:r>
              <w:rPr>
                <w:rFonts w:ascii="Arial" w:hAnsi="Arial" w:cs="Arial"/>
                <w:bCs/>
                <w:sz w:val="16"/>
                <w:szCs w:val="16"/>
              </w:rPr>
              <w:t>„Karl“, Karlstraße 75-79</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14:paraId="26384915" w14:textId="74449D79" w:rsidR="00FD76A5" w:rsidRDefault="00FD76A5">
            <w:pPr>
              <w:widowControl w:val="0"/>
              <w:jc w:val="center"/>
              <w:rPr>
                <w:rFonts w:ascii="Arial" w:hAnsi="Arial" w:cs="Arial"/>
                <w:bCs/>
                <w:sz w:val="16"/>
                <w:szCs w:val="16"/>
              </w:rPr>
            </w:pPr>
            <w:r>
              <w:rPr>
                <w:rFonts w:ascii="Arial" w:hAnsi="Arial" w:cs="Arial"/>
                <w:bCs/>
                <w:sz w:val="16"/>
                <w:szCs w:val="16"/>
              </w:rPr>
              <w:t>Apple</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58587482" w14:textId="71255DE9" w:rsidR="00FD76A5" w:rsidRDefault="00FD76A5">
            <w:pPr>
              <w:widowControl w:val="0"/>
              <w:jc w:val="center"/>
              <w:rPr>
                <w:rFonts w:ascii="Arial" w:hAnsi="Arial" w:cs="Arial"/>
                <w:bCs/>
                <w:sz w:val="16"/>
                <w:szCs w:val="16"/>
              </w:rPr>
            </w:pPr>
            <w:r>
              <w:rPr>
                <w:rFonts w:ascii="Arial" w:hAnsi="Arial" w:cs="Arial"/>
                <w:bCs/>
                <w:sz w:val="16"/>
                <w:szCs w:val="16"/>
              </w:rPr>
              <w:t>30.000</w:t>
            </w:r>
          </w:p>
        </w:tc>
      </w:tr>
      <w:tr w:rsidR="003A0BD4" w14:paraId="3F100CF3" w14:textId="77777777" w:rsidTr="00AB2DBC">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929C4" w14:textId="77777777" w:rsidR="003A0BD4" w:rsidRDefault="003A0BD4">
            <w:pPr>
              <w:widowControl w:val="0"/>
              <w:jc w:val="center"/>
              <w:rPr>
                <w:rFonts w:ascii="Arial" w:hAnsi="Arial" w:cs="Arial"/>
                <w:bCs/>
                <w:sz w:val="16"/>
                <w:szCs w:val="16"/>
              </w:rPr>
            </w:pPr>
            <w:r>
              <w:rPr>
                <w:rFonts w:ascii="Arial" w:hAnsi="Arial" w:cs="Arial"/>
                <w:bCs/>
                <w:sz w:val="16"/>
                <w:szCs w:val="16"/>
              </w:rPr>
              <w:t>STU</w:t>
            </w:r>
          </w:p>
        </w:tc>
        <w:tc>
          <w:tcPr>
            <w:tcW w:w="20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342528" w14:textId="77777777" w:rsidR="003A0BD4" w:rsidRDefault="003A0BD4">
            <w:pPr>
              <w:widowControl w:val="0"/>
              <w:jc w:val="center"/>
              <w:rPr>
                <w:rFonts w:ascii="Arial" w:hAnsi="Arial" w:cs="Arial"/>
                <w:bCs/>
                <w:sz w:val="16"/>
                <w:szCs w:val="16"/>
              </w:rPr>
            </w:pPr>
            <w:r>
              <w:rPr>
                <w:rFonts w:ascii="Arial" w:hAnsi="Arial" w:cs="Arial"/>
                <w:bCs/>
                <w:sz w:val="16"/>
                <w:szCs w:val="16"/>
              </w:rPr>
              <w:t>Wernerstraße 1</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27162" w14:textId="77777777" w:rsidR="003A0BD4" w:rsidRDefault="003A0BD4">
            <w:pPr>
              <w:widowControl w:val="0"/>
              <w:jc w:val="center"/>
              <w:rPr>
                <w:rFonts w:ascii="Arial" w:hAnsi="Arial" w:cs="Arial"/>
                <w:bCs/>
                <w:sz w:val="16"/>
                <w:szCs w:val="16"/>
              </w:rPr>
            </w:pPr>
            <w:r>
              <w:rPr>
                <w:rFonts w:ascii="Arial" w:hAnsi="Arial" w:cs="Arial"/>
                <w:bCs/>
                <w:sz w:val="16"/>
                <w:szCs w:val="16"/>
              </w:rPr>
              <w:t>Land Baden-Württemberg (Eigennutzer)</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448E32" w14:textId="77777777" w:rsidR="003A0BD4" w:rsidRDefault="003A0BD4">
            <w:pPr>
              <w:widowControl w:val="0"/>
              <w:jc w:val="center"/>
              <w:rPr>
                <w:rFonts w:ascii="Arial" w:hAnsi="Arial" w:cs="Arial"/>
                <w:bCs/>
                <w:sz w:val="16"/>
                <w:szCs w:val="16"/>
              </w:rPr>
            </w:pPr>
            <w:r>
              <w:rPr>
                <w:rFonts w:ascii="Arial" w:hAnsi="Arial" w:cs="Arial"/>
                <w:bCs/>
                <w:sz w:val="16"/>
                <w:szCs w:val="16"/>
              </w:rPr>
              <w:t>27.200</w:t>
            </w:r>
          </w:p>
        </w:tc>
      </w:tr>
      <w:tr w:rsidR="00FD76A5" w14:paraId="0AE568CF" w14:textId="77777777" w:rsidTr="00AB2DBC">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28977823" w14:textId="33A7D66F" w:rsidR="00FD76A5" w:rsidRDefault="00FD76A5">
            <w:pPr>
              <w:widowControl w:val="0"/>
              <w:jc w:val="center"/>
              <w:rPr>
                <w:rFonts w:ascii="Arial" w:hAnsi="Arial" w:cs="Arial"/>
                <w:bCs/>
                <w:sz w:val="16"/>
                <w:szCs w:val="16"/>
              </w:rPr>
            </w:pPr>
            <w:r>
              <w:rPr>
                <w:rFonts w:ascii="Arial" w:hAnsi="Arial" w:cs="Arial"/>
                <w:bCs/>
                <w:sz w:val="16"/>
                <w:szCs w:val="16"/>
              </w:rPr>
              <w:t>FFM</w:t>
            </w:r>
          </w:p>
        </w:tc>
        <w:tc>
          <w:tcPr>
            <w:tcW w:w="2023" w:type="pct"/>
            <w:tcBorders>
              <w:top w:val="single" w:sz="4" w:space="0" w:color="auto"/>
              <w:left w:val="single" w:sz="4" w:space="0" w:color="auto"/>
              <w:bottom w:val="single" w:sz="4" w:space="0" w:color="auto"/>
              <w:right w:val="single" w:sz="4" w:space="0" w:color="auto"/>
            </w:tcBorders>
            <w:shd w:val="clear" w:color="auto" w:fill="auto"/>
            <w:vAlign w:val="center"/>
          </w:tcPr>
          <w:p w14:paraId="55E890EF" w14:textId="7CCCEDD6" w:rsidR="00FD76A5" w:rsidRDefault="00FD76A5">
            <w:pPr>
              <w:widowControl w:val="0"/>
              <w:jc w:val="center"/>
              <w:rPr>
                <w:rFonts w:ascii="Arial" w:hAnsi="Arial" w:cs="Arial"/>
                <w:bCs/>
                <w:sz w:val="16"/>
                <w:szCs w:val="16"/>
              </w:rPr>
            </w:pPr>
            <w:r>
              <w:rPr>
                <w:rFonts w:ascii="Arial" w:hAnsi="Arial" w:cs="Arial"/>
                <w:bCs/>
                <w:sz w:val="16"/>
                <w:szCs w:val="16"/>
              </w:rPr>
              <w:t>Solmsstraße 27-37</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14:paraId="560CFFD5" w14:textId="1CC01009" w:rsidR="00FD76A5" w:rsidRDefault="00FD76A5">
            <w:pPr>
              <w:widowControl w:val="0"/>
              <w:jc w:val="center"/>
              <w:rPr>
                <w:rFonts w:ascii="Arial" w:hAnsi="Arial" w:cs="Arial"/>
                <w:bCs/>
                <w:sz w:val="16"/>
                <w:szCs w:val="16"/>
              </w:rPr>
            </w:pPr>
            <w:r>
              <w:rPr>
                <w:rFonts w:ascii="Arial" w:hAnsi="Arial" w:cs="Arial"/>
                <w:bCs/>
                <w:sz w:val="16"/>
                <w:szCs w:val="16"/>
              </w:rPr>
              <w:t>Behördenzentrum</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4BBF7481" w14:textId="5553D330" w:rsidR="00FD76A5" w:rsidRDefault="00FD76A5">
            <w:pPr>
              <w:widowControl w:val="0"/>
              <w:jc w:val="center"/>
              <w:rPr>
                <w:rFonts w:ascii="Arial" w:hAnsi="Arial" w:cs="Arial"/>
                <w:bCs/>
                <w:sz w:val="16"/>
                <w:szCs w:val="16"/>
              </w:rPr>
            </w:pPr>
            <w:r>
              <w:rPr>
                <w:rFonts w:ascii="Arial" w:hAnsi="Arial" w:cs="Arial"/>
                <w:bCs/>
                <w:sz w:val="16"/>
                <w:szCs w:val="16"/>
              </w:rPr>
              <w:t>26.527</w:t>
            </w:r>
          </w:p>
        </w:tc>
      </w:tr>
      <w:tr w:rsidR="00AC4F2C" w14:paraId="1F729435" w14:textId="77777777" w:rsidTr="00AB2DBC">
        <w:trPr>
          <w:trHeight w:val="227"/>
        </w:trPr>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4316B61F" w14:textId="4709DFC0" w:rsidR="00AC4F2C" w:rsidRDefault="00FD76A5">
            <w:pPr>
              <w:widowControl w:val="0"/>
              <w:jc w:val="center"/>
              <w:rPr>
                <w:rFonts w:ascii="Arial" w:hAnsi="Arial" w:cs="Arial"/>
                <w:bCs/>
                <w:sz w:val="16"/>
                <w:szCs w:val="16"/>
              </w:rPr>
            </w:pPr>
            <w:r>
              <w:rPr>
                <w:rFonts w:ascii="Arial" w:hAnsi="Arial" w:cs="Arial"/>
                <w:bCs/>
                <w:sz w:val="16"/>
                <w:szCs w:val="16"/>
              </w:rPr>
              <w:t>FFM</w:t>
            </w:r>
          </w:p>
        </w:tc>
        <w:tc>
          <w:tcPr>
            <w:tcW w:w="2023" w:type="pct"/>
            <w:tcBorders>
              <w:top w:val="single" w:sz="4" w:space="0" w:color="auto"/>
              <w:left w:val="single" w:sz="4" w:space="0" w:color="auto"/>
              <w:bottom w:val="single" w:sz="4" w:space="0" w:color="auto"/>
              <w:right w:val="single" w:sz="4" w:space="0" w:color="auto"/>
            </w:tcBorders>
            <w:shd w:val="clear" w:color="auto" w:fill="auto"/>
            <w:vAlign w:val="center"/>
          </w:tcPr>
          <w:p w14:paraId="59559FB9" w14:textId="06090FF2" w:rsidR="00AC4F2C" w:rsidRDefault="00FD76A5">
            <w:pPr>
              <w:widowControl w:val="0"/>
              <w:jc w:val="center"/>
              <w:rPr>
                <w:rFonts w:ascii="Arial" w:hAnsi="Arial" w:cs="Arial"/>
                <w:bCs/>
                <w:sz w:val="16"/>
                <w:szCs w:val="16"/>
              </w:rPr>
            </w:pPr>
            <w:r>
              <w:rPr>
                <w:rFonts w:ascii="Arial" w:hAnsi="Arial" w:cs="Arial"/>
                <w:bCs/>
                <w:sz w:val="16"/>
                <w:szCs w:val="16"/>
              </w:rPr>
              <w:t>Theodor-Heuss-Allee 44-46</w:t>
            </w:r>
          </w:p>
        </w:tc>
        <w:tc>
          <w:tcPr>
            <w:tcW w:w="1946" w:type="pct"/>
            <w:tcBorders>
              <w:top w:val="single" w:sz="4" w:space="0" w:color="auto"/>
              <w:left w:val="single" w:sz="4" w:space="0" w:color="auto"/>
              <w:bottom w:val="single" w:sz="4" w:space="0" w:color="auto"/>
              <w:right w:val="single" w:sz="4" w:space="0" w:color="auto"/>
            </w:tcBorders>
            <w:shd w:val="clear" w:color="auto" w:fill="auto"/>
            <w:vAlign w:val="center"/>
          </w:tcPr>
          <w:p w14:paraId="44DD5B97" w14:textId="782C1DD0" w:rsidR="00AC4F2C" w:rsidRDefault="00FD76A5">
            <w:pPr>
              <w:widowControl w:val="0"/>
              <w:jc w:val="center"/>
              <w:rPr>
                <w:rFonts w:ascii="Arial" w:hAnsi="Arial" w:cs="Arial"/>
                <w:bCs/>
                <w:sz w:val="16"/>
                <w:szCs w:val="16"/>
              </w:rPr>
            </w:pPr>
            <w:r>
              <w:rPr>
                <w:rFonts w:ascii="Arial" w:hAnsi="Arial" w:cs="Arial"/>
                <w:bCs/>
                <w:sz w:val="16"/>
                <w:szCs w:val="16"/>
              </w:rPr>
              <w:t>ING-DiBa</w:t>
            </w:r>
          </w:p>
        </w:tc>
        <w:tc>
          <w:tcPr>
            <w:tcW w:w="554" w:type="pct"/>
            <w:tcBorders>
              <w:top w:val="single" w:sz="4" w:space="0" w:color="auto"/>
              <w:left w:val="single" w:sz="4" w:space="0" w:color="auto"/>
              <w:bottom w:val="single" w:sz="4" w:space="0" w:color="auto"/>
              <w:right w:val="single" w:sz="4" w:space="0" w:color="auto"/>
            </w:tcBorders>
            <w:shd w:val="clear" w:color="auto" w:fill="auto"/>
            <w:vAlign w:val="center"/>
          </w:tcPr>
          <w:p w14:paraId="7B0F9275" w14:textId="125C3609" w:rsidR="00AC4F2C" w:rsidRDefault="00FD76A5">
            <w:pPr>
              <w:widowControl w:val="0"/>
              <w:jc w:val="center"/>
              <w:rPr>
                <w:rFonts w:ascii="Arial" w:hAnsi="Arial" w:cs="Arial"/>
                <w:bCs/>
                <w:sz w:val="16"/>
                <w:szCs w:val="16"/>
              </w:rPr>
            </w:pPr>
            <w:r>
              <w:rPr>
                <w:rFonts w:ascii="Arial" w:hAnsi="Arial" w:cs="Arial"/>
                <w:bCs/>
                <w:sz w:val="16"/>
                <w:szCs w:val="16"/>
              </w:rPr>
              <w:t>26.050</w:t>
            </w:r>
          </w:p>
        </w:tc>
      </w:tr>
    </w:tbl>
    <w:p w14:paraId="33EEDAC4" w14:textId="0DEA3C0F" w:rsidR="003A0BD4" w:rsidRDefault="003A0BD4" w:rsidP="003A0BD4">
      <w:pPr>
        <w:widowControl w:val="0"/>
        <w:spacing w:after="0"/>
        <w:rPr>
          <w:rFonts w:ascii="Arial" w:hAnsi="Arial" w:cs="Arial"/>
          <w:sz w:val="16"/>
          <w:szCs w:val="16"/>
        </w:rPr>
      </w:pPr>
      <w:r>
        <w:rPr>
          <w:rFonts w:ascii="Arial" w:hAnsi="Arial" w:cs="Arial"/>
          <w:sz w:val="16"/>
          <w:szCs w:val="16"/>
        </w:rPr>
        <w:t>Quelle: German Property Partners (GPP)</w:t>
      </w:r>
    </w:p>
    <w:p w14:paraId="53A36F9A" w14:textId="77777777" w:rsidR="008248E2" w:rsidRDefault="008248E2" w:rsidP="00C65127">
      <w:pPr>
        <w:widowControl w:val="0"/>
        <w:spacing w:after="0"/>
        <w:jc w:val="both"/>
        <w:rPr>
          <w:rFonts w:ascii="Arial" w:hAnsi="Arial" w:cs="Arial"/>
          <w:b/>
          <w:sz w:val="20"/>
          <w:szCs w:val="20"/>
          <w:lang w:val="en-US"/>
        </w:rPr>
      </w:pPr>
    </w:p>
    <w:p w14:paraId="5E5A1042" w14:textId="06645F2A" w:rsidR="00C65127" w:rsidRPr="004D02F0" w:rsidRDefault="00C65127" w:rsidP="00C65127">
      <w:pPr>
        <w:widowControl w:val="0"/>
        <w:spacing w:after="0"/>
        <w:jc w:val="both"/>
        <w:rPr>
          <w:rFonts w:ascii="Arial" w:hAnsi="Arial" w:cs="Arial"/>
          <w:b/>
          <w:sz w:val="20"/>
          <w:szCs w:val="20"/>
          <w:lang w:val="en-US"/>
        </w:rPr>
      </w:pPr>
      <w:r w:rsidRPr="004D02F0">
        <w:rPr>
          <w:rFonts w:ascii="Arial" w:hAnsi="Arial" w:cs="Arial"/>
          <w:b/>
          <w:sz w:val="20"/>
          <w:szCs w:val="20"/>
          <w:lang w:val="en-US"/>
        </w:rPr>
        <w:t>Top-7-Standorte | 1.</w:t>
      </w:r>
      <w:r w:rsidR="00406E56">
        <w:rPr>
          <w:rFonts w:ascii="Arial" w:hAnsi="Arial" w:cs="Arial"/>
          <w:b/>
          <w:sz w:val="20"/>
          <w:szCs w:val="20"/>
          <w:lang w:val="en-US"/>
        </w:rPr>
        <w:t>-</w:t>
      </w:r>
      <w:r w:rsidR="007D3839">
        <w:rPr>
          <w:rFonts w:ascii="Arial" w:hAnsi="Arial" w:cs="Arial"/>
          <w:b/>
          <w:sz w:val="20"/>
          <w:szCs w:val="20"/>
          <w:lang w:val="en-US"/>
        </w:rPr>
        <w:t>4</w:t>
      </w:r>
      <w:r w:rsidR="00406E56">
        <w:rPr>
          <w:rFonts w:ascii="Arial" w:hAnsi="Arial" w:cs="Arial"/>
          <w:b/>
          <w:sz w:val="20"/>
          <w:szCs w:val="20"/>
          <w:lang w:val="en-US"/>
        </w:rPr>
        <w:t>.</w:t>
      </w:r>
      <w:r w:rsidRPr="004D02F0">
        <w:rPr>
          <w:rFonts w:ascii="Arial" w:hAnsi="Arial" w:cs="Arial"/>
          <w:b/>
          <w:sz w:val="20"/>
          <w:szCs w:val="20"/>
          <w:lang w:val="en-US"/>
        </w:rPr>
        <w:t xml:space="preserve"> Quartal 201</w:t>
      </w:r>
      <w:r w:rsidR="00DF54F2" w:rsidRPr="004D02F0">
        <w:rPr>
          <w:rFonts w:ascii="Arial" w:hAnsi="Arial" w:cs="Arial"/>
          <w:b/>
          <w:sz w:val="20"/>
          <w:szCs w:val="20"/>
          <w:lang w:val="en-US"/>
        </w:rPr>
        <w:t>9</w:t>
      </w:r>
    </w:p>
    <w:tbl>
      <w:tblPr>
        <w:tblStyle w:val="Tabellenraster"/>
        <w:tblW w:w="5000" w:type="pct"/>
        <w:tblLook w:val="04A0" w:firstRow="1" w:lastRow="0" w:firstColumn="1" w:lastColumn="0" w:noHBand="0" w:noVBand="1"/>
      </w:tblPr>
      <w:tblGrid>
        <w:gridCol w:w="1870"/>
        <w:gridCol w:w="889"/>
        <w:gridCol w:w="928"/>
        <w:gridCol w:w="889"/>
        <w:gridCol w:w="889"/>
        <w:gridCol w:w="889"/>
        <w:gridCol w:w="890"/>
        <w:gridCol w:w="890"/>
        <w:gridCol w:w="928"/>
      </w:tblGrid>
      <w:tr w:rsidR="00C65127" w:rsidRPr="004D02F0" w14:paraId="0DF4DE6F" w14:textId="77777777" w:rsidTr="00422A01">
        <w:trPr>
          <w:trHeight w:val="283"/>
        </w:trPr>
        <w:tc>
          <w:tcPr>
            <w:tcW w:w="985" w:type="pct"/>
            <w:vAlign w:val="center"/>
          </w:tcPr>
          <w:p w14:paraId="402EA591" w14:textId="77777777" w:rsidR="00C65127" w:rsidRPr="004D02F0" w:rsidRDefault="00C65127" w:rsidP="00422A01">
            <w:pPr>
              <w:widowControl w:val="0"/>
              <w:rPr>
                <w:rFonts w:ascii="Arial" w:hAnsi="Arial" w:cs="Arial"/>
                <w:b/>
                <w:sz w:val="16"/>
                <w:szCs w:val="16"/>
                <w:lang w:val="en-US"/>
              </w:rPr>
            </w:pPr>
          </w:p>
        </w:tc>
        <w:tc>
          <w:tcPr>
            <w:tcW w:w="502" w:type="pct"/>
            <w:vAlign w:val="center"/>
          </w:tcPr>
          <w:p w14:paraId="5892939A"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HAM</w:t>
            </w:r>
          </w:p>
        </w:tc>
        <w:tc>
          <w:tcPr>
            <w:tcW w:w="502" w:type="pct"/>
            <w:vAlign w:val="center"/>
          </w:tcPr>
          <w:p w14:paraId="0A355251"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BER</w:t>
            </w:r>
          </w:p>
        </w:tc>
        <w:tc>
          <w:tcPr>
            <w:tcW w:w="502" w:type="pct"/>
            <w:vAlign w:val="center"/>
          </w:tcPr>
          <w:p w14:paraId="3AA398F6"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DUS</w:t>
            </w:r>
          </w:p>
        </w:tc>
        <w:tc>
          <w:tcPr>
            <w:tcW w:w="502" w:type="pct"/>
            <w:vAlign w:val="center"/>
          </w:tcPr>
          <w:p w14:paraId="312FDD4D"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CGN</w:t>
            </w:r>
          </w:p>
        </w:tc>
        <w:tc>
          <w:tcPr>
            <w:tcW w:w="502" w:type="pct"/>
            <w:vAlign w:val="center"/>
          </w:tcPr>
          <w:p w14:paraId="144994D6"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FFM</w:t>
            </w:r>
          </w:p>
        </w:tc>
        <w:tc>
          <w:tcPr>
            <w:tcW w:w="502" w:type="pct"/>
            <w:vAlign w:val="center"/>
          </w:tcPr>
          <w:p w14:paraId="65DFA29E"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STU</w:t>
            </w:r>
          </w:p>
        </w:tc>
        <w:tc>
          <w:tcPr>
            <w:tcW w:w="502" w:type="pct"/>
            <w:vAlign w:val="center"/>
          </w:tcPr>
          <w:p w14:paraId="4F6E6F2C"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MUC</w:t>
            </w:r>
          </w:p>
        </w:tc>
        <w:tc>
          <w:tcPr>
            <w:tcW w:w="502" w:type="pct"/>
            <w:vAlign w:val="center"/>
          </w:tcPr>
          <w:p w14:paraId="5AABDAC7" w14:textId="77777777" w:rsidR="00C65127" w:rsidRPr="004D02F0" w:rsidRDefault="00C65127" w:rsidP="00422A01">
            <w:pPr>
              <w:widowControl w:val="0"/>
              <w:jc w:val="center"/>
              <w:rPr>
                <w:rFonts w:ascii="Arial" w:hAnsi="Arial" w:cs="Arial"/>
                <w:b/>
                <w:sz w:val="16"/>
                <w:szCs w:val="16"/>
                <w:lang w:val="en-US"/>
              </w:rPr>
            </w:pPr>
            <w:r w:rsidRPr="004D02F0">
              <w:rPr>
                <w:rFonts w:ascii="Arial" w:hAnsi="Arial" w:cs="Arial"/>
                <w:b/>
                <w:sz w:val="16"/>
                <w:szCs w:val="16"/>
                <w:lang w:val="en-US"/>
              </w:rPr>
              <w:t>TOP-7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lang w:val="en-US"/>
              </w:rPr>
              <w:t>Flächenum</w:t>
            </w:r>
            <w:r w:rsidRPr="004D02F0">
              <w:rPr>
                <w:rFonts w:ascii="Arial" w:hAnsi="Arial" w:cs="Arial"/>
                <w:b/>
                <w:sz w:val="16"/>
                <w:szCs w:val="16"/>
              </w:rPr>
              <w:t>satz</w:t>
            </w:r>
          </w:p>
          <w:p w14:paraId="318DB722"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24B76314" w14:textId="0762906C" w:rsidR="00C65127" w:rsidRPr="004D02F0" w:rsidRDefault="00530208" w:rsidP="00422A01">
            <w:pPr>
              <w:jc w:val="center"/>
              <w:rPr>
                <w:rFonts w:ascii="Arial" w:hAnsi="Arial" w:cs="Arial"/>
                <w:sz w:val="16"/>
                <w:szCs w:val="16"/>
              </w:rPr>
            </w:pPr>
            <w:r>
              <w:rPr>
                <w:rFonts w:ascii="Arial" w:hAnsi="Arial" w:cs="Arial"/>
                <w:sz w:val="16"/>
                <w:szCs w:val="16"/>
              </w:rPr>
              <w:t>545</w:t>
            </w:r>
            <w:r w:rsidR="009918A6">
              <w:rPr>
                <w:rFonts w:ascii="Arial" w:hAnsi="Arial" w:cs="Arial"/>
                <w:sz w:val="16"/>
                <w:szCs w:val="16"/>
              </w:rPr>
              <w:t>.000</w:t>
            </w:r>
          </w:p>
        </w:tc>
        <w:tc>
          <w:tcPr>
            <w:tcW w:w="502" w:type="pct"/>
            <w:vAlign w:val="center"/>
          </w:tcPr>
          <w:p w14:paraId="2A60B3EF" w14:textId="1A4BFA45" w:rsidR="00C65127" w:rsidRPr="004D02F0" w:rsidRDefault="00530208" w:rsidP="00422A01">
            <w:pPr>
              <w:jc w:val="center"/>
              <w:rPr>
                <w:rFonts w:ascii="Arial" w:hAnsi="Arial" w:cs="Arial"/>
                <w:sz w:val="16"/>
                <w:szCs w:val="16"/>
              </w:rPr>
            </w:pPr>
            <w:r>
              <w:rPr>
                <w:rFonts w:ascii="Arial" w:hAnsi="Arial" w:cs="Arial"/>
                <w:sz w:val="16"/>
                <w:szCs w:val="16"/>
              </w:rPr>
              <w:t>910</w:t>
            </w:r>
            <w:r w:rsidR="009918A6">
              <w:rPr>
                <w:rFonts w:ascii="Arial" w:hAnsi="Arial" w:cs="Arial"/>
                <w:sz w:val="16"/>
                <w:szCs w:val="16"/>
              </w:rPr>
              <w:t>.000</w:t>
            </w:r>
          </w:p>
        </w:tc>
        <w:tc>
          <w:tcPr>
            <w:tcW w:w="502" w:type="pct"/>
            <w:vAlign w:val="center"/>
          </w:tcPr>
          <w:p w14:paraId="5AE39E1B" w14:textId="76F1A13C" w:rsidR="00C65127" w:rsidRPr="004D02F0" w:rsidRDefault="00530208" w:rsidP="00422A01">
            <w:pPr>
              <w:jc w:val="center"/>
              <w:rPr>
                <w:rFonts w:ascii="Arial" w:hAnsi="Arial" w:cs="Arial"/>
                <w:sz w:val="16"/>
                <w:szCs w:val="16"/>
              </w:rPr>
            </w:pPr>
            <w:r>
              <w:rPr>
                <w:rFonts w:ascii="Arial" w:hAnsi="Arial" w:cs="Arial"/>
                <w:sz w:val="16"/>
                <w:szCs w:val="16"/>
              </w:rPr>
              <w:t>461</w:t>
            </w:r>
            <w:r w:rsidR="009918A6">
              <w:rPr>
                <w:rFonts w:ascii="Arial" w:hAnsi="Arial" w:cs="Arial"/>
                <w:sz w:val="16"/>
                <w:szCs w:val="16"/>
              </w:rPr>
              <w:t>.</w:t>
            </w:r>
            <w:r>
              <w:rPr>
                <w:rFonts w:ascii="Arial" w:hAnsi="Arial" w:cs="Arial"/>
                <w:sz w:val="16"/>
                <w:szCs w:val="16"/>
              </w:rPr>
              <w:t>0</w:t>
            </w:r>
            <w:r w:rsidR="009918A6">
              <w:rPr>
                <w:rFonts w:ascii="Arial" w:hAnsi="Arial" w:cs="Arial"/>
                <w:sz w:val="16"/>
                <w:szCs w:val="16"/>
              </w:rPr>
              <w:t>00</w:t>
            </w:r>
          </w:p>
        </w:tc>
        <w:tc>
          <w:tcPr>
            <w:tcW w:w="502" w:type="pct"/>
            <w:vAlign w:val="center"/>
          </w:tcPr>
          <w:p w14:paraId="69355A2E" w14:textId="4E255048" w:rsidR="00C65127" w:rsidRPr="004D02F0" w:rsidRDefault="009918A6" w:rsidP="00422A01">
            <w:pPr>
              <w:jc w:val="center"/>
              <w:rPr>
                <w:rFonts w:ascii="Arial" w:hAnsi="Arial" w:cs="Arial"/>
                <w:sz w:val="16"/>
                <w:szCs w:val="16"/>
              </w:rPr>
            </w:pPr>
            <w:r>
              <w:rPr>
                <w:rFonts w:ascii="Arial" w:hAnsi="Arial" w:cs="Arial"/>
                <w:sz w:val="16"/>
                <w:szCs w:val="16"/>
              </w:rPr>
              <w:t>2</w:t>
            </w:r>
            <w:r w:rsidR="00530208">
              <w:rPr>
                <w:rFonts w:ascii="Arial" w:hAnsi="Arial" w:cs="Arial"/>
                <w:sz w:val="16"/>
                <w:szCs w:val="16"/>
              </w:rPr>
              <w:t>90</w:t>
            </w:r>
            <w:r>
              <w:rPr>
                <w:rFonts w:ascii="Arial" w:hAnsi="Arial" w:cs="Arial"/>
                <w:sz w:val="16"/>
                <w:szCs w:val="16"/>
              </w:rPr>
              <w:t>.000</w:t>
            </w:r>
          </w:p>
        </w:tc>
        <w:tc>
          <w:tcPr>
            <w:tcW w:w="502" w:type="pct"/>
            <w:vAlign w:val="center"/>
          </w:tcPr>
          <w:p w14:paraId="3ED197E3" w14:textId="563C6CC8" w:rsidR="00C65127" w:rsidRPr="004D02F0" w:rsidRDefault="00530208" w:rsidP="00422A01">
            <w:pPr>
              <w:jc w:val="center"/>
              <w:rPr>
                <w:rFonts w:ascii="Arial" w:hAnsi="Arial" w:cs="Arial"/>
                <w:sz w:val="16"/>
                <w:szCs w:val="16"/>
              </w:rPr>
            </w:pPr>
            <w:r>
              <w:rPr>
                <w:rFonts w:ascii="Arial" w:hAnsi="Arial" w:cs="Arial"/>
                <w:sz w:val="16"/>
                <w:szCs w:val="16"/>
              </w:rPr>
              <w:t>591</w:t>
            </w:r>
            <w:r w:rsidR="009918A6">
              <w:rPr>
                <w:rFonts w:ascii="Arial" w:hAnsi="Arial" w:cs="Arial"/>
                <w:sz w:val="16"/>
                <w:szCs w:val="16"/>
              </w:rPr>
              <w:t>.</w:t>
            </w:r>
            <w:r>
              <w:rPr>
                <w:rFonts w:ascii="Arial" w:hAnsi="Arial" w:cs="Arial"/>
                <w:sz w:val="16"/>
                <w:szCs w:val="16"/>
              </w:rPr>
              <w:t>4</w:t>
            </w:r>
            <w:r w:rsidR="009918A6">
              <w:rPr>
                <w:rFonts w:ascii="Arial" w:hAnsi="Arial" w:cs="Arial"/>
                <w:sz w:val="16"/>
                <w:szCs w:val="16"/>
              </w:rPr>
              <w:t>00</w:t>
            </w:r>
          </w:p>
        </w:tc>
        <w:tc>
          <w:tcPr>
            <w:tcW w:w="502" w:type="pct"/>
            <w:vAlign w:val="center"/>
          </w:tcPr>
          <w:p w14:paraId="09BCBF01" w14:textId="53321639" w:rsidR="00C65127" w:rsidRPr="004D02F0" w:rsidRDefault="00530208" w:rsidP="00422A01">
            <w:pPr>
              <w:jc w:val="center"/>
              <w:rPr>
                <w:rFonts w:ascii="Arial" w:hAnsi="Arial" w:cs="Arial"/>
                <w:sz w:val="16"/>
                <w:szCs w:val="16"/>
              </w:rPr>
            </w:pPr>
            <w:r>
              <w:rPr>
                <w:rFonts w:ascii="Arial" w:hAnsi="Arial" w:cs="Arial"/>
                <w:sz w:val="16"/>
                <w:szCs w:val="16"/>
              </w:rPr>
              <w:t>313</w:t>
            </w:r>
            <w:r w:rsidR="009918A6">
              <w:rPr>
                <w:rFonts w:ascii="Arial" w:hAnsi="Arial" w:cs="Arial"/>
                <w:sz w:val="16"/>
                <w:szCs w:val="16"/>
              </w:rPr>
              <w:t>.000</w:t>
            </w:r>
          </w:p>
        </w:tc>
        <w:tc>
          <w:tcPr>
            <w:tcW w:w="502" w:type="pct"/>
            <w:vAlign w:val="center"/>
          </w:tcPr>
          <w:p w14:paraId="28F82D2E" w14:textId="47011B54" w:rsidR="00C65127" w:rsidRPr="004D02F0" w:rsidRDefault="00530208" w:rsidP="00422A01">
            <w:pPr>
              <w:jc w:val="center"/>
              <w:rPr>
                <w:rFonts w:ascii="Arial" w:hAnsi="Arial" w:cs="Arial"/>
                <w:sz w:val="16"/>
                <w:szCs w:val="16"/>
              </w:rPr>
            </w:pPr>
            <w:r>
              <w:rPr>
                <w:rFonts w:ascii="Arial" w:hAnsi="Arial" w:cs="Arial"/>
                <w:sz w:val="16"/>
                <w:szCs w:val="16"/>
              </w:rPr>
              <w:t>761</w:t>
            </w:r>
            <w:r w:rsidR="009918A6">
              <w:rPr>
                <w:rFonts w:ascii="Arial" w:hAnsi="Arial" w:cs="Arial"/>
                <w:sz w:val="16"/>
                <w:szCs w:val="16"/>
              </w:rPr>
              <w:t>.500</w:t>
            </w:r>
          </w:p>
        </w:tc>
        <w:tc>
          <w:tcPr>
            <w:tcW w:w="502" w:type="pct"/>
            <w:vAlign w:val="center"/>
          </w:tcPr>
          <w:p w14:paraId="53EA10CE" w14:textId="5CB94C02" w:rsidR="00C65127" w:rsidRPr="004D02F0" w:rsidRDefault="00530208" w:rsidP="00422A01">
            <w:pPr>
              <w:jc w:val="center"/>
              <w:rPr>
                <w:rFonts w:ascii="Arial" w:hAnsi="Arial" w:cs="Arial"/>
                <w:b/>
                <w:sz w:val="16"/>
                <w:szCs w:val="16"/>
              </w:rPr>
            </w:pPr>
            <w:r>
              <w:rPr>
                <w:rFonts w:ascii="Arial" w:hAnsi="Arial" w:cs="Arial"/>
                <w:b/>
                <w:bCs/>
                <w:sz w:val="16"/>
                <w:szCs w:val="16"/>
              </w:rPr>
              <w:t>3.871.900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Veränderung</w:t>
            </w:r>
          </w:p>
          <w:p w14:paraId="3888A71B"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 xml:space="preserve">ggü. Vorjahr </w:t>
            </w:r>
            <w:r w:rsidRPr="004D02F0">
              <w:rPr>
                <w:rFonts w:ascii="Arial" w:hAnsi="Arial" w:cs="Arial"/>
                <w:sz w:val="16"/>
                <w:szCs w:val="16"/>
              </w:rPr>
              <w:t>in %</w:t>
            </w:r>
          </w:p>
        </w:tc>
        <w:tc>
          <w:tcPr>
            <w:tcW w:w="502" w:type="pct"/>
            <w:vAlign w:val="center"/>
          </w:tcPr>
          <w:p w14:paraId="6D7F8C99" w14:textId="2B67037A" w:rsidR="00C65127" w:rsidRPr="004D02F0" w:rsidRDefault="00530208" w:rsidP="00422A01">
            <w:pPr>
              <w:jc w:val="center"/>
              <w:rPr>
                <w:rFonts w:ascii="Arial" w:hAnsi="Arial" w:cs="Arial"/>
                <w:sz w:val="16"/>
                <w:szCs w:val="16"/>
              </w:rPr>
            </w:pPr>
            <w:r>
              <w:rPr>
                <w:rFonts w:ascii="Arial" w:hAnsi="Arial" w:cs="Arial"/>
                <w:sz w:val="16"/>
                <w:szCs w:val="16"/>
              </w:rPr>
              <w:t>-8</w:t>
            </w:r>
          </w:p>
        </w:tc>
        <w:tc>
          <w:tcPr>
            <w:tcW w:w="502" w:type="pct"/>
            <w:vAlign w:val="center"/>
          </w:tcPr>
          <w:p w14:paraId="5141C8F6" w14:textId="14A51ABA" w:rsidR="00C65127" w:rsidRPr="004D02F0" w:rsidRDefault="003A0BD4" w:rsidP="00422A01">
            <w:pPr>
              <w:jc w:val="center"/>
              <w:rPr>
                <w:rFonts w:ascii="Arial" w:hAnsi="Arial" w:cs="Arial"/>
                <w:sz w:val="16"/>
                <w:szCs w:val="16"/>
              </w:rPr>
            </w:pPr>
            <w:r>
              <w:rPr>
                <w:rFonts w:ascii="Arial" w:hAnsi="Arial" w:cs="Arial"/>
                <w:sz w:val="16"/>
                <w:szCs w:val="16"/>
              </w:rPr>
              <w:t>+</w:t>
            </w:r>
            <w:r w:rsidR="00530208">
              <w:rPr>
                <w:rFonts w:ascii="Arial" w:hAnsi="Arial" w:cs="Arial"/>
                <w:sz w:val="16"/>
                <w:szCs w:val="16"/>
              </w:rPr>
              <w:t>9</w:t>
            </w:r>
          </w:p>
        </w:tc>
        <w:tc>
          <w:tcPr>
            <w:tcW w:w="502" w:type="pct"/>
            <w:vAlign w:val="center"/>
          </w:tcPr>
          <w:p w14:paraId="63C7571D" w14:textId="3469F27A" w:rsidR="00C65127" w:rsidRPr="004D02F0" w:rsidRDefault="003A0BD4" w:rsidP="00422A01">
            <w:pPr>
              <w:jc w:val="center"/>
              <w:rPr>
                <w:rFonts w:ascii="Arial" w:hAnsi="Arial" w:cs="Arial"/>
                <w:sz w:val="16"/>
                <w:szCs w:val="16"/>
              </w:rPr>
            </w:pPr>
            <w:r>
              <w:rPr>
                <w:rFonts w:ascii="Arial" w:hAnsi="Arial" w:cs="Arial"/>
                <w:sz w:val="16"/>
                <w:szCs w:val="16"/>
              </w:rPr>
              <w:t>+</w:t>
            </w:r>
            <w:r w:rsidR="00530208">
              <w:rPr>
                <w:rFonts w:ascii="Arial" w:hAnsi="Arial" w:cs="Arial"/>
                <w:sz w:val="16"/>
                <w:szCs w:val="16"/>
              </w:rPr>
              <w:t>38</w:t>
            </w:r>
          </w:p>
        </w:tc>
        <w:tc>
          <w:tcPr>
            <w:tcW w:w="502" w:type="pct"/>
            <w:vAlign w:val="center"/>
          </w:tcPr>
          <w:p w14:paraId="7165D3E4" w14:textId="00CBB822" w:rsidR="00C65127" w:rsidRPr="004D02F0" w:rsidRDefault="009918A6" w:rsidP="00422A01">
            <w:pPr>
              <w:jc w:val="center"/>
              <w:rPr>
                <w:rFonts w:ascii="Arial" w:hAnsi="Arial" w:cs="Arial"/>
                <w:sz w:val="16"/>
                <w:szCs w:val="16"/>
              </w:rPr>
            </w:pPr>
            <w:r>
              <w:rPr>
                <w:rFonts w:ascii="Arial" w:hAnsi="Arial" w:cs="Arial"/>
                <w:sz w:val="16"/>
                <w:szCs w:val="16"/>
              </w:rPr>
              <w:t>-</w:t>
            </w:r>
            <w:r w:rsidR="00530208">
              <w:rPr>
                <w:rFonts w:ascii="Arial" w:hAnsi="Arial" w:cs="Arial"/>
                <w:sz w:val="16"/>
                <w:szCs w:val="16"/>
              </w:rPr>
              <w:t>6</w:t>
            </w:r>
          </w:p>
        </w:tc>
        <w:tc>
          <w:tcPr>
            <w:tcW w:w="502" w:type="pct"/>
            <w:vAlign w:val="center"/>
          </w:tcPr>
          <w:p w14:paraId="6A7EC24B" w14:textId="2FE699CE" w:rsidR="00C65127" w:rsidRPr="004D02F0" w:rsidRDefault="009918A6" w:rsidP="00422A01">
            <w:pPr>
              <w:jc w:val="center"/>
              <w:rPr>
                <w:rFonts w:ascii="Arial" w:hAnsi="Arial" w:cs="Arial"/>
                <w:sz w:val="16"/>
                <w:szCs w:val="16"/>
              </w:rPr>
            </w:pPr>
            <w:r>
              <w:rPr>
                <w:rFonts w:ascii="Arial" w:hAnsi="Arial" w:cs="Arial"/>
                <w:sz w:val="16"/>
                <w:szCs w:val="16"/>
              </w:rPr>
              <w:t>-</w:t>
            </w:r>
            <w:r w:rsidR="00530208">
              <w:rPr>
                <w:rFonts w:ascii="Arial" w:hAnsi="Arial" w:cs="Arial"/>
                <w:sz w:val="16"/>
                <w:szCs w:val="16"/>
              </w:rPr>
              <w:t>8</w:t>
            </w:r>
          </w:p>
        </w:tc>
        <w:tc>
          <w:tcPr>
            <w:tcW w:w="502" w:type="pct"/>
            <w:vAlign w:val="center"/>
          </w:tcPr>
          <w:p w14:paraId="1BF0A9D0" w14:textId="1E4E63F2" w:rsidR="00C65127" w:rsidRPr="005A1563" w:rsidRDefault="003A0BD4" w:rsidP="00422A01">
            <w:pPr>
              <w:jc w:val="center"/>
              <w:rPr>
                <w:rFonts w:ascii="Arial" w:hAnsi="Arial" w:cs="Arial"/>
                <w:sz w:val="16"/>
                <w:szCs w:val="16"/>
              </w:rPr>
            </w:pPr>
            <w:r w:rsidRPr="005A1563">
              <w:rPr>
                <w:rFonts w:ascii="Arial" w:hAnsi="Arial" w:cs="Arial"/>
                <w:sz w:val="16"/>
                <w:szCs w:val="16"/>
              </w:rPr>
              <w:t>+</w:t>
            </w:r>
            <w:r w:rsidR="00530208" w:rsidRPr="005A1563">
              <w:rPr>
                <w:rFonts w:ascii="Arial" w:hAnsi="Arial" w:cs="Arial"/>
                <w:sz w:val="16"/>
                <w:szCs w:val="16"/>
              </w:rPr>
              <w:t>44</w:t>
            </w:r>
          </w:p>
        </w:tc>
        <w:tc>
          <w:tcPr>
            <w:tcW w:w="502" w:type="pct"/>
            <w:vAlign w:val="center"/>
          </w:tcPr>
          <w:p w14:paraId="7AAF5FFC" w14:textId="4CBECA0F" w:rsidR="00C65127" w:rsidRPr="004D02F0" w:rsidRDefault="000B762F" w:rsidP="00422A01">
            <w:pPr>
              <w:jc w:val="center"/>
              <w:rPr>
                <w:rFonts w:ascii="Arial" w:hAnsi="Arial" w:cs="Arial"/>
                <w:sz w:val="16"/>
                <w:szCs w:val="16"/>
              </w:rPr>
            </w:pPr>
            <w:r>
              <w:rPr>
                <w:rFonts w:ascii="Arial" w:hAnsi="Arial" w:cs="Arial"/>
                <w:sz w:val="16"/>
                <w:szCs w:val="16"/>
              </w:rPr>
              <w:t>-</w:t>
            </w:r>
            <w:r w:rsidR="00530208">
              <w:rPr>
                <w:rFonts w:ascii="Arial" w:hAnsi="Arial" w:cs="Arial"/>
                <w:sz w:val="16"/>
                <w:szCs w:val="16"/>
              </w:rPr>
              <w:t>20</w:t>
            </w:r>
          </w:p>
        </w:tc>
        <w:tc>
          <w:tcPr>
            <w:tcW w:w="502" w:type="pct"/>
            <w:vAlign w:val="center"/>
          </w:tcPr>
          <w:p w14:paraId="35023511" w14:textId="5E8AE128" w:rsidR="00C65127" w:rsidRPr="004D02F0" w:rsidRDefault="00530208" w:rsidP="00422A01">
            <w:pPr>
              <w:jc w:val="center"/>
              <w:rPr>
                <w:rFonts w:ascii="Arial" w:hAnsi="Arial" w:cs="Arial"/>
                <w:b/>
                <w:sz w:val="16"/>
                <w:szCs w:val="16"/>
              </w:rPr>
            </w:pPr>
            <w:r>
              <w:rPr>
                <w:rFonts w:ascii="Arial" w:hAnsi="Arial" w:cs="Arial"/>
                <w:b/>
                <w:sz w:val="16"/>
                <w:szCs w:val="16"/>
              </w:rPr>
              <w:t>0</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Spitzenmiete</w:t>
            </w:r>
          </w:p>
          <w:p w14:paraId="5AAB1763"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€/m²/Monat</w:t>
            </w:r>
          </w:p>
        </w:tc>
        <w:tc>
          <w:tcPr>
            <w:tcW w:w="502" w:type="pct"/>
            <w:vAlign w:val="center"/>
          </w:tcPr>
          <w:p w14:paraId="70AD1691" w14:textId="11491B15" w:rsidR="00C65127" w:rsidRPr="004D02F0" w:rsidRDefault="00530208" w:rsidP="00422A01">
            <w:pPr>
              <w:jc w:val="center"/>
              <w:rPr>
                <w:rFonts w:ascii="Arial" w:hAnsi="Arial" w:cs="Arial"/>
                <w:sz w:val="16"/>
                <w:szCs w:val="16"/>
              </w:rPr>
            </w:pPr>
            <w:r>
              <w:rPr>
                <w:rFonts w:ascii="Arial" w:hAnsi="Arial" w:cs="Arial"/>
                <w:sz w:val="16"/>
                <w:szCs w:val="16"/>
              </w:rPr>
              <w:t>29,50</w:t>
            </w:r>
          </w:p>
        </w:tc>
        <w:tc>
          <w:tcPr>
            <w:tcW w:w="502" w:type="pct"/>
            <w:vAlign w:val="center"/>
          </w:tcPr>
          <w:p w14:paraId="3B47B535" w14:textId="6AC3F54E" w:rsidR="00C65127" w:rsidRPr="004D02F0" w:rsidRDefault="005E358D" w:rsidP="00422A01">
            <w:pPr>
              <w:jc w:val="center"/>
              <w:rPr>
                <w:rFonts w:ascii="Arial" w:hAnsi="Arial" w:cs="Arial"/>
                <w:sz w:val="16"/>
                <w:szCs w:val="16"/>
              </w:rPr>
            </w:pPr>
            <w:r w:rsidRPr="004D02F0">
              <w:rPr>
                <w:rFonts w:ascii="Arial" w:hAnsi="Arial" w:cs="Arial"/>
                <w:sz w:val="16"/>
                <w:szCs w:val="16"/>
              </w:rPr>
              <w:t>3</w:t>
            </w:r>
            <w:r w:rsidR="00530208">
              <w:rPr>
                <w:rFonts w:ascii="Arial" w:hAnsi="Arial" w:cs="Arial"/>
                <w:sz w:val="16"/>
                <w:szCs w:val="16"/>
              </w:rPr>
              <w:t>8</w:t>
            </w:r>
            <w:r w:rsidR="0051013F" w:rsidRPr="004D02F0">
              <w:rPr>
                <w:rFonts w:ascii="Arial" w:hAnsi="Arial" w:cs="Arial"/>
                <w:sz w:val="16"/>
                <w:szCs w:val="16"/>
              </w:rPr>
              <w:t>,</w:t>
            </w:r>
            <w:r w:rsidR="00530208">
              <w:rPr>
                <w:rFonts w:ascii="Arial" w:hAnsi="Arial" w:cs="Arial"/>
                <w:sz w:val="16"/>
                <w:szCs w:val="16"/>
              </w:rPr>
              <w:t>5</w:t>
            </w:r>
            <w:r w:rsidR="0051013F" w:rsidRPr="004D02F0">
              <w:rPr>
                <w:rFonts w:ascii="Arial" w:hAnsi="Arial" w:cs="Arial"/>
                <w:sz w:val="16"/>
                <w:szCs w:val="16"/>
              </w:rPr>
              <w:t>0</w:t>
            </w:r>
          </w:p>
        </w:tc>
        <w:tc>
          <w:tcPr>
            <w:tcW w:w="502" w:type="pct"/>
            <w:vAlign w:val="center"/>
          </w:tcPr>
          <w:p w14:paraId="48FF87E6" w14:textId="6796F112"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0B762F">
              <w:rPr>
                <w:rFonts w:ascii="Arial" w:hAnsi="Arial" w:cs="Arial"/>
                <w:sz w:val="16"/>
                <w:szCs w:val="16"/>
              </w:rPr>
              <w:t>8</w:t>
            </w:r>
            <w:r w:rsidRPr="004D02F0">
              <w:rPr>
                <w:rFonts w:ascii="Arial" w:hAnsi="Arial" w:cs="Arial"/>
                <w:sz w:val="16"/>
                <w:szCs w:val="16"/>
              </w:rPr>
              <w:t>,</w:t>
            </w:r>
            <w:r w:rsidR="00530208">
              <w:rPr>
                <w:rFonts w:ascii="Arial" w:hAnsi="Arial" w:cs="Arial"/>
                <w:sz w:val="16"/>
                <w:szCs w:val="16"/>
              </w:rPr>
              <w:t>5</w:t>
            </w:r>
            <w:r w:rsidRPr="004D02F0">
              <w:rPr>
                <w:rFonts w:ascii="Arial" w:hAnsi="Arial" w:cs="Arial"/>
                <w:sz w:val="16"/>
                <w:szCs w:val="16"/>
              </w:rPr>
              <w:t>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530208">
              <w:rPr>
                <w:rFonts w:ascii="Arial" w:hAnsi="Arial" w:cs="Arial"/>
                <w:sz w:val="16"/>
                <w:szCs w:val="16"/>
              </w:rPr>
              <w:t>6</w:t>
            </w:r>
            <w:r w:rsidRPr="004D02F0">
              <w:rPr>
                <w:rFonts w:ascii="Arial" w:hAnsi="Arial" w:cs="Arial"/>
                <w:sz w:val="16"/>
                <w:szCs w:val="16"/>
              </w:rPr>
              <w:t>,</w:t>
            </w:r>
            <w:r w:rsidR="000B762F">
              <w:rPr>
                <w:rFonts w:ascii="Arial" w:hAnsi="Arial" w:cs="Arial"/>
                <w:sz w:val="16"/>
                <w:szCs w:val="16"/>
              </w:rPr>
              <w:t>0</w:t>
            </w:r>
            <w:r w:rsidR="00D15E4C" w:rsidRPr="004D02F0">
              <w:rPr>
                <w:rFonts w:ascii="Arial" w:hAnsi="Arial" w:cs="Arial"/>
                <w:sz w:val="16"/>
                <w:szCs w:val="16"/>
              </w:rPr>
              <w:t>0</w:t>
            </w:r>
          </w:p>
        </w:tc>
        <w:tc>
          <w:tcPr>
            <w:tcW w:w="502" w:type="pct"/>
            <w:vAlign w:val="center"/>
          </w:tcPr>
          <w:p w14:paraId="2F6819D7" w14:textId="37F95A0E" w:rsidR="00C65127" w:rsidRPr="004D02F0" w:rsidRDefault="009918A6" w:rsidP="00422A01">
            <w:pPr>
              <w:jc w:val="center"/>
              <w:rPr>
                <w:rFonts w:ascii="Arial" w:hAnsi="Arial" w:cs="Arial"/>
                <w:sz w:val="16"/>
                <w:szCs w:val="16"/>
              </w:rPr>
            </w:pPr>
            <w:r>
              <w:rPr>
                <w:rFonts w:ascii="Arial" w:hAnsi="Arial" w:cs="Arial"/>
                <w:sz w:val="16"/>
                <w:szCs w:val="16"/>
              </w:rPr>
              <w:t>4</w:t>
            </w:r>
            <w:r w:rsidR="00530208">
              <w:rPr>
                <w:rFonts w:ascii="Arial" w:hAnsi="Arial" w:cs="Arial"/>
                <w:sz w:val="16"/>
                <w:szCs w:val="16"/>
              </w:rPr>
              <w:t>5</w:t>
            </w:r>
            <w:r>
              <w:rPr>
                <w:rFonts w:ascii="Arial" w:hAnsi="Arial" w:cs="Arial"/>
                <w:sz w:val="16"/>
                <w:szCs w:val="16"/>
              </w:rPr>
              <w:t>,00</w:t>
            </w:r>
          </w:p>
        </w:tc>
        <w:tc>
          <w:tcPr>
            <w:tcW w:w="502" w:type="pct"/>
            <w:vAlign w:val="center"/>
          </w:tcPr>
          <w:p w14:paraId="47B42CB7" w14:textId="07674044"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0B762F">
              <w:rPr>
                <w:rFonts w:ascii="Arial" w:hAnsi="Arial" w:cs="Arial"/>
                <w:sz w:val="16"/>
                <w:szCs w:val="16"/>
              </w:rPr>
              <w:t>4</w:t>
            </w:r>
            <w:r w:rsidRPr="004D02F0">
              <w:rPr>
                <w:rFonts w:ascii="Arial" w:hAnsi="Arial" w:cs="Arial"/>
                <w:sz w:val="16"/>
                <w:szCs w:val="16"/>
              </w:rPr>
              <w:t>,</w:t>
            </w:r>
            <w:r w:rsidR="000B762F">
              <w:rPr>
                <w:rFonts w:ascii="Arial" w:hAnsi="Arial" w:cs="Arial"/>
                <w:sz w:val="16"/>
                <w:szCs w:val="16"/>
              </w:rPr>
              <w:t>0</w:t>
            </w:r>
            <w:r w:rsidR="00A622CD" w:rsidRPr="004D02F0">
              <w:rPr>
                <w:rFonts w:ascii="Arial" w:hAnsi="Arial" w:cs="Arial"/>
                <w:sz w:val="16"/>
                <w:szCs w:val="16"/>
              </w:rPr>
              <w:t>0</w:t>
            </w:r>
          </w:p>
        </w:tc>
        <w:tc>
          <w:tcPr>
            <w:tcW w:w="502" w:type="pct"/>
            <w:vAlign w:val="center"/>
          </w:tcPr>
          <w:p w14:paraId="662439A0" w14:textId="54C74C2B" w:rsidR="00C65127" w:rsidRPr="004D02F0" w:rsidRDefault="009918A6" w:rsidP="00422A01">
            <w:pPr>
              <w:jc w:val="center"/>
              <w:rPr>
                <w:rFonts w:ascii="Arial" w:hAnsi="Arial" w:cs="Arial"/>
                <w:sz w:val="16"/>
                <w:szCs w:val="16"/>
              </w:rPr>
            </w:pPr>
            <w:r>
              <w:rPr>
                <w:rFonts w:ascii="Arial" w:hAnsi="Arial" w:cs="Arial"/>
                <w:sz w:val="16"/>
                <w:szCs w:val="16"/>
              </w:rPr>
              <w:t>3</w:t>
            </w:r>
            <w:r w:rsidR="00530208">
              <w:rPr>
                <w:rFonts w:ascii="Arial" w:hAnsi="Arial" w:cs="Arial"/>
                <w:sz w:val="16"/>
                <w:szCs w:val="16"/>
              </w:rPr>
              <w:t>8</w:t>
            </w:r>
            <w:r>
              <w:rPr>
                <w:rFonts w:ascii="Arial" w:hAnsi="Arial" w:cs="Arial"/>
                <w:sz w:val="16"/>
                <w:szCs w:val="16"/>
              </w:rPr>
              <w:t>,00</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 xml:space="preserve">Durchschnittsmiete </w:t>
            </w:r>
            <w:r w:rsidRPr="004D02F0">
              <w:rPr>
                <w:rFonts w:ascii="Arial" w:hAnsi="Arial" w:cs="Arial"/>
                <w:sz w:val="16"/>
                <w:szCs w:val="16"/>
              </w:rPr>
              <w:t>in €/m²/Monat</w:t>
            </w:r>
          </w:p>
        </w:tc>
        <w:tc>
          <w:tcPr>
            <w:tcW w:w="502" w:type="pct"/>
            <w:vAlign w:val="center"/>
          </w:tcPr>
          <w:p w14:paraId="3CFBDAD7" w14:textId="46ECEB0B" w:rsidR="00C65127" w:rsidRPr="004D02F0" w:rsidRDefault="00163785" w:rsidP="00422A01">
            <w:pPr>
              <w:jc w:val="center"/>
              <w:rPr>
                <w:rFonts w:ascii="Arial" w:hAnsi="Arial" w:cs="Arial"/>
                <w:sz w:val="16"/>
                <w:szCs w:val="16"/>
              </w:rPr>
            </w:pPr>
            <w:r w:rsidRPr="004D02F0">
              <w:rPr>
                <w:rFonts w:ascii="Arial" w:hAnsi="Arial" w:cs="Arial"/>
                <w:sz w:val="16"/>
                <w:szCs w:val="16"/>
              </w:rPr>
              <w:t>1</w:t>
            </w:r>
            <w:r w:rsidR="000B762F">
              <w:rPr>
                <w:rFonts w:ascii="Arial" w:hAnsi="Arial" w:cs="Arial"/>
                <w:sz w:val="16"/>
                <w:szCs w:val="16"/>
              </w:rPr>
              <w:t>7</w:t>
            </w:r>
            <w:r w:rsidRPr="004D02F0">
              <w:rPr>
                <w:rFonts w:ascii="Arial" w:hAnsi="Arial" w:cs="Arial"/>
                <w:sz w:val="16"/>
                <w:szCs w:val="16"/>
              </w:rPr>
              <w:t>,</w:t>
            </w:r>
            <w:r w:rsidR="00530208">
              <w:rPr>
                <w:rFonts w:ascii="Arial" w:hAnsi="Arial" w:cs="Arial"/>
                <w:sz w:val="16"/>
                <w:szCs w:val="16"/>
              </w:rPr>
              <w:t>70</w:t>
            </w:r>
          </w:p>
        </w:tc>
        <w:tc>
          <w:tcPr>
            <w:tcW w:w="502" w:type="pct"/>
            <w:vAlign w:val="center"/>
          </w:tcPr>
          <w:p w14:paraId="250741C6" w14:textId="44840EC2" w:rsidR="00C65127" w:rsidRPr="004D02F0" w:rsidRDefault="00856894" w:rsidP="00422A01">
            <w:pPr>
              <w:jc w:val="center"/>
              <w:rPr>
                <w:rFonts w:ascii="Arial" w:hAnsi="Arial" w:cs="Arial"/>
                <w:sz w:val="16"/>
                <w:szCs w:val="16"/>
              </w:rPr>
            </w:pPr>
            <w:r w:rsidRPr="004D02F0">
              <w:rPr>
                <w:rFonts w:ascii="Arial" w:hAnsi="Arial" w:cs="Arial"/>
                <w:sz w:val="16"/>
                <w:szCs w:val="16"/>
              </w:rPr>
              <w:t>2</w:t>
            </w:r>
            <w:r w:rsidR="00530208">
              <w:rPr>
                <w:rFonts w:ascii="Arial" w:hAnsi="Arial" w:cs="Arial"/>
                <w:sz w:val="16"/>
                <w:szCs w:val="16"/>
              </w:rPr>
              <w:t>7</w:t>
            </w:r>
            <w:r w:rsidRPr="004D02F0">
              <w:rPr>
                <w:rFonts w:ascii="Arial" w:hAnsi="Arial" w:cs="Arial"/>
                <w:sz w:val="16"/>
                <w:szCs w:val="16"/>
              </w:rPr>
              <w:t>,</w:t>
            </w:r>
            <w:r w:rsidR="00530208">
              <w:rPr>
                <w:rFonts w:ascii="Arial" w:hAnsi="Arial" w:cs="Arial"/>
                <w:sz w:val="16"/>
                <w:szCs w:val="16"/>
              </w:rPr>
              <w:t>6</w:t>
            </w:r>
            <w:r w:rsidRPr="004D02F0">
              <w:rPr>
                <w:rFonts w:ascii="Arial" w:hAnsi="Arial" w:cs="Arial"/>
                <w:sz w:val="16"/>
                <w:szCs w:val="16"/>
              </w:rPr>
              <w:t>0</w:t>
            </w:r>
          </w:p>
        </w:tc>
        <w:tc>
          <w:tcPr>
            <w:tcW w:w="502" w:type="pct"/>
            <w:vAlign w:val="center"/>
          </w:tcPr>
          <w:p w14:paraId="22731057" w14:textId="70D352E7" w:rsidR="00C65127" w:rsidRPr="004D02F0" w:rsidRDefault="4A6EE254" w:rsidP="00422A01">
            <w:pPr>
              <w:jc w:val="center"/>
              <w:rPr>
                <w:rFonts w:ascii="Arial" w:hAnsi="Arial" w:cs="Arial"/>
                <w:sz w:val="16"/>
                <w:szCs w:val="16"/>
              </w:rPr>
            </w:pPr>
            <w:r w:rsidRPr="004D02F0">
              <w:rPr>
                <w:rFonts w:ascii="Arial" w:hAnsi="Arial" w:cs="Arial"/>
                <w:sz w:val="16"/>
                <w:szCs w:val="16"/>
              </w:rPr>
              <w:t>16,</w:t>
            </w:r>
            <w:r w:rsidR="00530208">
              <w:rPr>
                <w:rFonts w:ascii="Arial" w:hAnsi="Arial" w:cs="Arial"/>
                <w:sz w:val="16"/>
                <w:szCs w:val="16"/>
              </w:rPr>
              <w:t>6</w:t>
            </w:r>
            <w:r w:rsidR="009918A6">
              <w:rPr>
                <w:rFonts w:ascii="Arial" w:hAnsi="Arial" w:cs="Arial"/>
                <w:sz w:val="16"/>
                <w:szCs w:val="16"/>
              </w:rPr>
              <w:t>0</w:t>
            </w:r>
          </w:p>
        </w:tc>
        <w:tc>
          <w:tcPr>
            <w:tcW w:w="502" w:type="pct"/>
            <w:vAlign w:val="center"/>
          </w:tcPr>
          <w:p w14:paraId="3346910E" w14:textId="51CEDB76" w:rsidR="00C65127" w:rsidRPr="004D02F0" w:rsidRDefault="4A6EE254" w:rsidP="00422A01">
            <w:pPr>
              <w:jc w:val="center"/>
              <w:rPr>
                <w:rFonts w:ascii="Arial" w:hAnsi="Arial" w:cs="Arial"/>
                <w:sz w:val="16"/>
                <w:szCs w:val="16"/>
              </w:rPr>
            </w:pPr>
            <w:r w:rsidRPr="004D02F0">
              <w:rPr>
                <w:rFonts w:ascii="Arial" w:hAnsi="Arial" w:cs="Arial"/>
                <w:sz w:val="16"/>
                <w:szCs w:val="16"/>
              </w:rPr>
              <w:t>1</w:t>
            </w:r>
            <w:r w:rsidR="000B762F">
              <w:rPr>
                <w:rFonts w:ascii="Arial" w:hAnsi="Arial" w:cs="Arial"/>
                <w:sz w:val="16"/>
                <w:szCs w:val="16"/>
              </w:rPr>
              <w:t>6</w:t>
            </w:r>
            <w:r w:rsidRPr="004D02F0">
              <w:rPr>
                <w:rFonts w:ascii="Arial" w:hAnsi="Arial" w:cs="Arial"/>
                <w:sz w:val="16"/>
                <w:szCs w:val="16"/>
              </w:rPr>
              <w:t>,</w:t>
            </w:r>
            <w:r w:rsidR="00530208">
              <w:rPr>
                <w:rFonts w:ascii="Arial" w:hAnsi="Arial" w:cs="Arial"/>
                <w:sz w:val="16"/>
                <w:szCs w:val="16"/>
              </w:rPr>
              <w:t>7</w:t>
            </w:r>
            <w:r w:rsidR="009918A6">
              <w:rPr>
                <w:rFonts w:ascii="Arial" w:hAnsi="Arial" w:cs="Arial"/>
                <w:sz w:val="16"/>
                <w:szCs w:val="16"/>
              </w:rPr>
              <w:t>0</w:t>
            </w:r>
          </w:p>
        </w:tc>
        <w:tc>
          <w:tcPr>
            <w:tcW w:w="502" w:type="pct"/>
            <w:vAlign w:val="center"/>
          </w:tcPr>
          <w:p w14:paraId="35378973" w14:textId="533CB100" w:rsidR="00C65127" w:rsidRPr="004D02F0" w:rsidRDefault="00530208" w:rsidP="00422A01">
            <w:pPr>
              <w:jc w:val="center"/>
              <w:rPr>
                <w:rFonts w:ascii="Arial" w:hAnsi="Arial" w:cs="Arial"/>
                <w:sz w:val="16"/>
                <w:szCs w:val="16"/>
              </w:rPr>
            </w:pPr>
            <w:r>
              <w:rPr>
                <w:rFonts w:ascii="Arial" w:hAnsi="Arial" w:cs="Arial"/>
                <w:sz w:val="16"/>
                <w:szCs w:val="16"/>
              </w:rPr>
              <w:t>20</w:t>
            </w:r>
            <w:r w:rsidR="006958D9" w:rsidRPr="004D02F0">
              <w:rPr>
                <w:rFonts w:ascii="Arial" w:hAnsi="Arial" w:cs="Arial"/>
                <w:sz w:val="16"/>
                <w:szCs w:val="16"/>
              </w:rPr>
              <w:t>,</w:t>
            </w:r>
            <w:r>
              <w:rPr>
                <w:rFonts w:ascii="Arial" w:hAnsi="Arial" w:cs="Arial"/>
                <w:sz w:val="16"/>
                <w:szCs w:val="16"/>
              </w:rPr>
              <w:t>4</w:t>
            </w:r>
            <w:r w:rsidR="006958D9" w:rsidRPr="004D02F0">
              <w:rPr>
                <w:rFonts w:ascii="Arial" w:hAnsi="Arial" w:cs="Arial"/>
                <w:sz w:val="16"/>
                <w:szCs w:val="16"/>
              </w:rPr>
              <w:t>0</w:t>
            </w:r>
          </w:p>
        </w:tc>
        <w:tc>
          <w:tcPr>
            <w:tcW w:w="502" w:type="pct"/>
            <w:vAlign w:val="center"/>
          </w:tcPr>
          <w:p w14:paraId="2EA0BF92" w14:textId="1227D7D6" w:rsidR="00C65127" w:rsidRPr="004D02F0" w:rsidRDefault="006958D9" w:rsidP="00422A01">
            <w:pPr>
              <w:jc w:val="center"/>
              <w:rPr>
                <w:rFonts w:ascii="Arial" w:hAnsi="Arial" w:cs="Arial"/>
                <w:sz w:val="16"/>
                <w:szCs w:val="16"/>
              </w:rPr>
            </w:pPr>
            <w:r w:rsidRPr="004D02F0">
              <w:rPr>
                <w:rFonts w:ascii="Arial" w:hAnsi="Arial" w:cs="Arial"/>
                <w:sz w:val="16"/>
                <w:szCs w:val="16"/>
              </w:rPr>
              <w:t>1</w:t>
            </w:r>
            <w:r w:rsidR="009918A6">
              <w:rPr>
                <w:rFonts w:ascii="Arial" w:hAnsi="Arial" w:cs="Arial"/>
                <w:sz w:val="16"/>
                <w:szCs w:val="16"/>
              </w:rPr>
              <w:t>6,</w:t>
            </w:r>
            <w:r w:rsidR="00530208">
              <w:rPr>
                <w:rFonts w:ascii="Arial" w:hAnsi="Arial" w:cs="Arial"/>
                <w:sz w:val="16"/>
                <w:szCs w:val="16"/>
              </w:rPr>
              <w:t>2</w:t>
            </w:r>
            <w:r w:rsidR="009918A6">
              <w:rPr>
                <w:rFonts w:ascii="Arial" w:hAnsi="Arial" w:cs="Arial"/>
                <w:sz w:val="16"/>
                <w:szCs w:val="16"/>
              </w:rPr>
              <w:t>0</w:t>
            </w:r>
          </w:p>
        </w:tc>
        <w:tc>
          <w:tcPr>
            <w:tcW w:w="502" w:type="pct"/>
            <w:vAlign w:val="center"/>
          </w:tcPr>
          <w:p w14:paraId="67E1FFC1" w14:textId="12333D16" w:rsidR="00C65127" w:rsidRPr="004D02F0" w:rsidRDefault="00530208" w:rsidP="00422A01">
            <w:pPr>
              <w:jc w:val="center"/>
              <w:rPr>
                <w:rFonts w:ascii="Arial" w:hAnsi="Arial" w:cs="Arial"/>
                <w:sz w:val="16"/>
                <w:szCs w:val="16"/>
              </w:rPr>
            </w:pPr>
            <w:r>
              <w:rPr>
                <w:rFonts w:ascii="Arial" w:hAnsi="Arial" w:cs="Arial"/>
                <w:sz w:val="16"/>
                <w:szCs w:val="16"/>
              </w:rPr>
              <w:t>20</w:t>
            </w:r>
            <w:r w:rsidR="4A6EE254" w:rsidRPr="004D02F0">
              <w:rPr>
                <w:rFonts w:ascii="Arial" w:hAnsi="Arial" w:cs="Arial"/>
                <w:sz w:val="16"/>
                <w:szCs w:val="16"/>
              </w:rPr>
              <w:t>,</w:t>
            </w:r>
            <w:r>
              <w:rPr>
                <w:rFonts w:ascii="Arial" w:hAnsi="Arial" w:cs="Arial"/>
                <w:sz w:val="16"/>
                <w:szCs w:val="16"/>
              </w:rPr>
              <w:t>50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sidRPr="004D02F0">
              <w:rPr>
                <w:rFonts w:ascii="Arial" w:hAnsi="Arial" w:cs="Arial"/>
                <w:b/>
                <w:sz w:val="16"/>
                <w:szCs w:val="16"/>
              </w:rPr>
              <w:t xml:space="preserve">Büroflächenbestand </w:t>
            </w:r>
            <w:r w:rsidRPr="004D02F0">
              <w:rPr>
                <w:rFonts w:ascii="Arial" w:hAnsi="Arial" w:cs="Arial"/>
                <w:sz w:val="16"/>
                <w:szCs w:val="16"/>
              </w:rPr>
              <w:t>in Mio. m²</w:t>
            </w:r>
          </w:p>
        </w:tc>
        <w:tc>
          <w:tcPr>
            <w:tcW w:w="502" w:type="pct"/>
            <w:vAlign w:val="center"/>
          </w:tcPr>
          <w:p w14:paraId="4602080E" w14:textId="25FE8AD7" w:rsidR="00C65127" w:rsidRPr="004D02F0" w:rsidRDefault="4A6EE254" w:rsidP="00422A01">
            <w:pPr>
              <w:jc w:val="center"/>
              <w:rPr>
                <w:rFonts w:ascii="Arial" w:hAnsi="Arial" w:cs="Arial"/>
                <w:sz w:val="16"/>
                <w:szCs w:val="16"/>
              </w:rPr>
            </w:pPr>
            <w:r w:rsidRPr="004D02F0">
              <w:rPr>
                <w:rFonts w:ascii="Arial" w:hAnsi="Arial" w:cs="Arial"/>
                <w:sz w:val="16"/>
                <w:szCs w:val="16"/>
              </w:rPr>
              <w:t>13,</w:t>
            </w:r>
            <w:r w:rsidR="009C5FCC">
              <w:rPr>
                <w:rFonts w:ascii="Arial" w:hAnsi="Arial" w:cs="Arial"/>
                <w:sz w:val="16"/>
                <w:szCs w:val="16"/>
              </w:rPr>
              <w:t>82</w:t>
            </w:r>
          </w:p>
        </w:tc>
        <w:tc>
          <w:tcPr>
            <w:tcW w:w="502" w:type="pct"/>
            <w:vAlign w:val="center"/>
          </w:tcPr>
          <w:p w14:paraId="56FBC9EA" w14:textId="4EBEC724" w:rsidR="00C65127" w:rsidRPr="004D02F0" w:rsidRDefault="4A6EE254" w:rsidP="0050541B">
            <w:pPr>
              <w:jc w:val="center"/>
              <w:rPr>
                <w:rFonts w:ascii="Arial" w:hAnsi="Arial" w:cs="Arial"/>
                <w:sz w:val="16"/>
                <w:szCs w:val="16"/>
              </w:rPr>
            </w:pPr>
            <w:r w:rsidRPr="004D02F0">
              <w:rPr>
                <w:rFonts w:ascii="Arial" w:hAnsi="Arial" w:cs="Arial"/>
                <w:sz w:val="16"/>
                <w:szCs w:val="16"/>
              </w:rPr>
              <w:t>19</w:t>
            </w:r>
            <w:r w:rsidR="00673857" w:rsidRPr="004D02F0">
              <w:rPr>
                <w:rFonts w:ascii="Arial" w:hAnsi="Arial" w:cs="Arial"/>
                <w:sz w:val="16"/>
                <w:szCs w:val="16"/>
              </w:rPr>
              <w:t>,</w:t>
            </w:r>
            <w:r w:rsidR="009C5FCC">
              <w:rPr>
                <w:rFonts w:ascii="Arial" w:hAnsi="Arial" w:cs="Arial"/>
                <w:sz w:val="16"/>
                <w:szCs w:val="16"/>
              </w:rPr>
              <w:t>82</w:t>
            </w:r>
          </w:p>
        </w:tc>
        <w:tc>
          <w:tcPr>
            <w:tcW w:w="502" w:type="pct"/>
            <w:vAlign w:val="center"/>
          </w:tcPr>
          <w:p w14:paraId="147E0521" w14:textId="79E4A5A1" w:rsidR="00C65127" w:rsidRPr="004D02F0" w:rsidRDefault="4A6EE254" w:rsidP="0050541B">
            <w:pPr>
              <w:jc w:val="center"/>
              <w:rPr>
                <w:rFonts w:ascii="Arial" w:hAnsi="Arial" w:cs="Arial"/>
                <w:sz w:val="16"/>
                <w:szCs w:val="16"/>
              </w:rPr>
            </w:pPr>
            <w:r w:rsidRPr="004D02F0">
              <w:rPr>
                <w:rFonts w:ascii="Arial" w:hAnsi="Arial" w:cs="Arial"/>
                <w:sz w:val="16"/>
                <w:szCs w:val="16"/>
              </w:rPr>
              <w:t>7,</w:t>
            </w:r>
            <w:r w:rsidR="009C5FCC">
              <w:rPr>
                <w:rFonts w:ascii="Arial" w:hAnsi="Arial" w:cs="Arial"/>
                <w:sz w:val="16"/>
                <w:szCs w:val="16"/>
              </w:rPr>
              <w:t>11</w:t>
            </w:r>
          </w:p>
        </w:tc>
        <w:tc>
          <w:tcPr>
            <w:tcW w:w="502" w:type="pct"/>
            <w:vAlign w:val="center"/>
          </w:tcPr>
          <w:p w14:paraId="419784C7" w14:textId="514F8045" w:rsidR="00C65127" w:rsidRPr="004D02F0" w:rsidRDefault="4A6EE254" w:rsidP="0050541B">
            <w:pPr>
              <w:jc w:val="center"/>
              <w:rPr>
                <w:rFonts w:ascii="Arial" w:hAnsi="Arial" w:cs="Arial"/>
                <w:sz w:val="16"/>
                <w:szCs w:val="16"/>
              </w:rPr>
            </w:pPr>
            <w:r w:rsidRPr="004D02F0">
              <w:rPr>
                <w:rFonts w:ascii="Arial" w:hAnsi="Arial" w:cs="Arial"/>
                <w:sz w:val="16"/>
                <w:szCs w:val="16"/>
              </w:rPr>
              <w:t>7,</w:t>
            </w:r>
            <w:r w:rsidR="009C5FCC">
              <w:rPr>
                <w:rFonts w:ascii="Arial" w:hAnsi="Arial" w:cs="Arial"/>
                <w:sz w:val="16"/>
                <w:szCs w:val="16"/>
              </w:rPr>
              <w:t>90</w:t>
            </w:r>
          </w:p>
        </w:tc>
        <w:tc>
          <w:tcPr>
            <w:tcW w:w="502" w:type="pct"/>
            <w:vAlign w:val="center"/>
          </w:tcPr>
          <w:p w14:paraId="6CCD8C33" w14:textId="70F6F62D" w:rsidR="00C65127" w:rsidRPr="004D02F0" w:rsidRDefault="4A6EE254" w:rsidP="0050541B">
            <w:pPr>
              <w:jc w:val="center"/>
              <w:rPr>
                <w:rFonts w:ascii="Arial" w:hAnsi="Arial" w:cs="Arial"/>
                <w:sz w:val="16"/>
                <w:szCs w:val="16"/>
              </w:rPr>
            </w:pPr>
            <w:r w:rsidRPr="004D02F0">
              <w:rPr>
                <w:rFonts w:ascii="Arial" w:hAnsi="Arial" w:cs="Arial"/>
                <w:sz w:val="16"/>
                <w:szCs w:val="16"/>
              </w:rPr>
              <w:t>11,</w:t>
            </w:r>
            <w:r w:rsidR="009C5FCC">
              <w:rPr>
                <w:rFonts w:ascii="Arial" w:hAnsi="Arial" w:cs="Arial"/>
                <w:sz w:val="16"/>
                <w:szCs w:val="16"/>
              </w:rPr>
              <w:t>55</w:t>
            </w:r>
          </w:p>
        </w:tc>
        <w:tc>
          <w:tcPr>
            <w:tcW w:w="502" w:type="pct"/>
            <w:vAlign w:val="center"/>
          </w:tcPr>
          <w:p w14:paraId="24886C6D" w14:textId="278C74E4" w:rsidR="00C65127" w:rsidRPr="004D02F0" w:rsidRDefault="00AD3312" w:rsidP="0050541B">
            <w:pPr>
              <w:jc w:val="center"/>
              <w:rPr>
                <w:rFonts w:ascii="Arial" w:hAnsi="Arial" w:cs="Arial"/>
                <w:sz w:val="16"/>
                <w:szCs w:val="16"/>
              </w:rPr>
            </w:pPr>
            <w:r>
              <w:rPr>
                <w:rFonts w:ascii="Arial" w:hAnsi="Arial" w:cs="Arial"/>
                <w:sz w:val="16"/>
                <w:szCs w:val="16"/>
              </w:rPr>
              <w:t>8</w:t>
            </w:r>
            <w:r w:rsidR="4A6EE254" w:rsidRPr="004D02F0">
              <w:rPr>
                <w:rFonts w:ascii="Arial" w:hAnsi="Arial" w:cs="Arial"/>
                <w:sz w:val="16"/>
                <w:szCs w:val="16"/>
              </w:rPr>
              <w:t>,</w:t>
            </w:r>
            <w:r w:rsidR="009918A6">
              <w:rPr>
                <w:rFonts w:ascii="Arial" w:hAnsi="Arial" w:cs="Arial"/>
                <w:sz w:val="16"/>
                <w:szCs w:val="16"/>
              </w:rPr>
              <w:t>03</w:t>
            </w:r>
          </w:p>
        </w:tc>
        <w:tc>
          <w:tcPr>
            <w:tcW w:w="502" w:type="pct"/>
            <w:vAlign w:val="center"/>
          </w:tcPr>
          <w:p w14:paraId="20B45AA8" w14:textId="1729870E" w:rsidR="00C65127" w:rsidRPr="004D02F0" w:rsidRDefault="4A6EE254" w:rsidP="0050541B">
            <w:pPr>
              <w:jc w:val="center"/>
              <w:rPr>
                <w:rFonts w:ascii="Arial" w:hAnsi="Arial" w:cs="Arial"/>
                <w:sz w:val="16"/>
                <w:szCs w:val="16"/>
              </w:rPr>
            </w:pPr>
            <w:r w:rsidRPr="004D02F0">
              <w:rPr>
                <w:rFonts w:ascii="Arial" w:hAnsi="Arial" w:cs="Arial"/>
                <w:sz w:val="16"/>
                <w:szCs w:val="16"/>
              </w:rPr>
              <w:t>23,</w:t>
            </w:r>
            <w:r w:rsidR="009C5FCC">
              <w:rPr>
                <w:rFonts w:ascii="Arial" w:hAnsi="Arial" w:cs="Arial"/>
                <w:sz w:val="16"/>
                <w:szCs w:val="16"/>
              </w:rPr>
              <w:t>10</w:t>
            </w:r>
          </w:p>
        </w:tc>
        <w:tc>
          <w:tcPr>
            <w:tcW w:w="502" w:type="pct"/>
            <w:vAlign w:val="center"/>
          </w:tcPr>
          <w:p w14:paraId="42069654" w14:textId="0C7C9BEA" w:rsidR="00C65127" w:rsidRPr="004D02F0" w:rsidRDefault="00565EF2" w:rsidP="0050541B">
            <w:pPr>
              <w:jc w:val="center"/>
              <w:rPr>
                <w:rFonts w:ascii="Arial" w:hAnsi="Arial" w:cs="Arial"/>
                <w:b/>
                <w:sz w:val="16"/>
                <w:szCs w:val="16"/>
              </w:rPr>
            </w:pPr>
            <w:r w:rsidRPr="004D02F0">
              <w:rPr>
                <w:rFonts w:ascii="Arial" w:hAnsi="Arial" w:cs="Arial"/>
                <w:b/>
                <w:sz w:val="16"/>
                <w:szCs w:val="16"/>
              </w:rPr>
              <w:t>91,</w:t>
            </w:r>
            <w:r w:rsidR="009918A6">
              <w:rPr>
                <w:rFonts w:ascii="Arial" w:hAnsi="Arial" w:cs="Arial"/>
                <w:b/>
                <w:sz w:val="16"/>
                <w:szCs w:val="16"/>
              </w:rPr>
              <w:t>34</w:t>
            </w:r>
          </w:p>
        </w:tc>
      </w:tr>
      <w:tr w:rsidR="00154A48" w:rsidRPr="004D02F0" w14:paraId="421419C1" w14:textId="77777777" w:rsidTr="00422A01">
        <w:trPr>
          <w:trHeight w:val="283"/>
        </w:trPr>
        <w:tc>
          <w:tcPr>
            <w:tcW w:w="985" w:type="pct"/>
            <w:vAlign w:val="center"/>
          </w:tcPr>
          <w:p w14:paraId="582CA75E"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Leerstand</w:t>
            </w:r>
          </w:p>
          <w:p w14:paraId="441DA27B"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3FEF20A6" w14:textId="6209ED87" w:rsidR="00C65127" w:rsidRPr="004D02F0" w:rsidRDefault="009C5FCC" w:rsidP="00422A01">
            <w:pPr>
              <w:jc w:val="center"/>
              <w:rPr>
                <w:rFonts w:ascii="Arial" w:hAnsi="Arial" w:cs="Arial"/>
                <w:sz w:val="16"/>
                <w:szCs w:val="16"/>
              </w:rPr>
            </w:pPr>
            <w:r>
              <w:rPr>
                <w:rFonts w:ascii="Arial" w:hAnsi="Arial" w:cs="Arial"/>
                <w:sz w:val="16"/>
                <w:szCs w:val="16"/>
              </w:rPr>
              <w:t>400</w:t>
            </w:r>
            <w:r w:rsidR="009918A6">
              <w:rPr>
                <w:rFonts w:ascii="Arial" w:hAnsi="Arial" w:cs="Arial"/>
                <w:sz w:val="16"/>
                <w:szCs w:val="16"/>
              </w:rPr>
              <w:t>.</w:t>
            </w:r>
            <w:r>
              <w:rPr>
                <w:rFonts w:ascii="Arial" w:hAnsi="Arial" w:cs="Arial"/>
                <w:sz w:val="16"/>
                <w:szCs w:val="16"/>
              </w:rPr>
              <w:t>4</w:t>
            </w:r>
            <w:r w:rsidR="009918A6">
              <w:rPr>
                <w:rFonts w:ascii="Arial" w:hAnsi="Arial" w:cs="Arial"/>
                <w:sz w:val="16"/>
                <w:szCs w:val="16"/>
              </w:rPr>
              <w:t>00</w:t>
            </w:r>
          </w:p>
        </w:tc>
        <w:tc>
          <w:tcPr>
            <w:tcW w:w="502" w:type="pct"/>
            <w:vAlign w:val="center"/>
          </w:tcPr>
          <w:p w14:paraId="53C46395" w14:textId="3AF9F051" w:rsidR="00C65127" w:rsidRPr="004D02F0" w:rsidRDefault="009918A6" w:rsidP="00422A01">
            <w:pPr>
              <w:jc w:val="center"/>
              <w:rPr>
                <w:rFonts w:ascii="Arial" w:hAnsi="Arial" w:cs="Arial"/>
                <w:sz w:val="16"/>
                <w:szCs w:val="16"/>
              </w:rPr>
            </w:pPr>
            <w:r>
              <w:rPr>
                <w:rFonts w:ascii="Arial" w:hAnsi="Arial" w:cs="Arial"/>
                <w:sz w:val="16"/>
                <w:szCs w:val="16"/>
              </w:rPr>
              <w:t>2</w:t>
            </w:r>
            <w:r w:rsidR="009C5FCC">
              <w:rPr>
                <w:rFonts w:ascii="Arial" w:hAnsi="Arial" w:cs="Arial"/>
                <w:sz w:val="16"/>
                <w:szCs w:val="16"/>
              </w:rPr>
              <w:t>40</w:t>
            </w:r>
            <w:r>
              <w:rPr>
                <w:rFonts w:ascii="Arial" w:hAnsi="Arial" w:cs="Arial"/>
                <w:sz w:val="16"/>
                <w:szCs w:val="16"/>
              </w:rPr>
              <w:t>.000</w:t>
            </w:r>
          </w:p>
        </w:tc>
        <w:tc>
          <w:tcPr>
            <w:tcW w:w="502" w:type="pct"/>
            <w:vAlign w:val="center"/>
          </w:tcPr>
          <w:p w14:paraId="302D3ED2" w14:textId="281628CE" w:rsidR="00C65127" w:rsidRPr="004D02F0" w:rsidRDefault="4A6EE254" w:rsidP="00422A01">
            <w:pPr>
              <w:jc w:val="center"/>
              <w:rPr>
                <w:rFonts w:ascii="Arial" w:hAnsi="Arial" w:cs="Arial"/>
                <w:sz w:val="16"/>
                <w:szCs w:val="16"/>
              </w:rPr>
            </w:pPr>
            <w:r w:rsidRPr="004D02F0">
              <w:rPr>
                <w:rFonts w:ascii="Arial" w:hAnsi="Arial" w:cs="Arial"/>
                <w:sz w:val="16"/>
                <w:szCs w:val="16"/>
              </w:rPr>
              <w:t>5</w:t>
            </w:r>
            <w:r w:rsidR="009C5FCC">
              <w:rPr>
                <w:rFonts w:ascii="Arial" w:hAnsi="Arial" w:cs="Arial"/>
                <w:sz w:val="16"/>
                <w:szCs w:val="16"/>
              </w:rPr>
              <w:t>02</w:t>
            </w:r>
            <w:r w:rsidRPr="004D02F0">
              <w:rPr>
                <w:rFonts w:ascii="Arial" w:hAnsi="Arial" w:cs="Arial"/>
                <w:sz w:val="16"/>
                <w:szCs w:val="16"/>
              </w:rPr>
              <w:t>.000</w:t>
            </w:r>
          </w:p>
        </w:tc>
        <w:tc>
          <w:tcPr>
            <w:tcW w:w="502" w:type="pct"/>
            <w:vAlign w:val="center"/>
          </w:tcPr>
          <w:p w14:paraId="52CFC326" w14:textId="66C9E621" w:rsidR="00C65127" w:rsidRPr="004D02F0" w:rsidRDefault="001E7FE7" w:rsidP="00422A01">
            <w:pPr>
              <w:jc w:val="center"/>
              <w:rPr>
                <w:rFonts w:ascii="Arial" w:hAnsi="Arial" w:cs="Arial"/>
                <w:sz w:val="16"/>
                <w:szCs w:val="16"/>
              </w:rPr>
            </w:pPr>
            <w:r w:rsidRPr="004D02F0">
              <w:rPr>
                <w:rFonts w:ascii="Arial" w:hAnsi="Arial" w:cs="Arial"/>
                <w:sz w:val="16"/>
                <w:szCs w:val="16"/>
              </w:rPr>
              <w:t>1</w:t>
            </w:r>
            <w:r w:rsidR="009C5FCC">
              <w:rPr>
                <w:rFonts w:ascii="Arial" w:hAnsi="Arial" w:cs="Arial"/>
                <w:sz w:val="16"/>
                <w:szCs w:val="16"/>
              </w:rPr>
              <w:t>85</w:t>
            </w:r>
            <w:r w:rsidR="4A6EE254" w:rsidRPr="004D02F0">
              <w:rPr>
                <w:rFonts w:ascii="Arial" w:hAnsi="Arial" w:cs="Arial"/>
                <w:sz w:val="16"/>
                <w:szCs w:val="16"/>
              </w:rPr>
              <w:t>.000</w:t>
            </w:r>
          </w:p>
        </w:tc>
        <w:tc>
          <w:tcPr>
            <w:tcW w:w="502" w:type="pct"/>
            <w:vAlign w:val="center"/>
          </w:tcPr>
          <w:p w14:paraId="077E5FE0" w14:textId="548AA62C" w:rsidR="00C65127" w:rsidRPr="004D02F0" w:rsidRDefault="001E7FE7" w:rsidP="00422A01">
            <w:pPr>
              <w:jc w:val="center"/>
              <w:rPr>
                <w:rFonts w:ascii="Arial" w:hAnsi="Arial" w:cs="Arial"/>
                <w:sz w:val="16"/>
                <w:szCs w:val="16"/>
              </w:rPr>
            </w:pPr>
            <w:r w:rsidRPr="004D02F0">
              <w:rPr>
                <w:rFonts w:ascii="Arial" w:hAnsi="Arial" w:cs="Arial"/>
                <w:sz w:val="16"/>
                <w:szCs w:val="16"/>
              </w:rPr>
              <w:t>8</w:t>
            </w:r>
            <w:r w:rsidR="009C5FCC">
              <w:rPr>
                <w:rFonts w:ascii="Arial" w:hAnsi="Arial" w:cs="Arial"/>
                <w:sz w:val="16"/>
                <w:szCs w:val="16"/>
              </w:rPr>
              <w:t>07</w:t>
            </w:r>
            <w:r w:rsidRPr="004D02F0">
              <w:rPr>
                <w:rFonts w:ascii="Arial" w:hAnsi="Arial" w:cs="Arial"/>
                <w:sz w:val="16"/>
                <w:szCs w:val="16"/>
              </w:rPr>
              <w:t>.</w:t>
            </w:r>
            <w:r w:rsidR="009C5FCC">
              <w:rPr>
                <w:rFonts w:ascii="Arial" w:hAnsi="Arial" w:cs="Arial"/>
                <w:sz w:val="16"/>
                <w:szCs w:val="16"/>
              </w:rPr>
              <w:t>3</w:t>
            </w:r>
            <w:r w:rsidRPr="004D02F0">
              <w:rPr>
                <w:rFonts w:ascii="Arial" w:hAnsi="Arial" w:cs="Arial"/>
                <w:sz w:val="16"/>
                <w:szCs w:val="16"/>
              </w:rPr>
              <w:t>00</w:t>
            </w:r>
          </w:p>
        </w:tc>
        <w:tc>
          <w:tcPr>
            <w:tcW w:w="502" w:type="pct"/>
            <w:vAlign w:val="center"/>
          </w:tcPr>
          <w:p w14:paraId="1630CA67" w14:textId="55EC92BD" w:rsidR="00C65127" w:rsidRPr="004D02F0" w:rsidRDefault="4A6EE254" w:rsidP="00422A01">
            <w:pPr>
              <w:jc w:val="center"/>
              <w:rPr>
                <w:rFonts w:ascii="Arial" w:hAnsi="Arial" w:cs="Arial"/>
                <w:sz w:val="16"/>
                <w:szCs w:val="16"/>
              </w:rPr>
            </w:pPr>
            <w:r w:rsidRPr="004D02F0">
              <w:rPr>
                <w:rFonts w:ascii="Arial" w:hAnsi="Arial" w:cs="Arial"/>
                <w:sz w:val="16"/>
                <w:szCs w:val="16"/>
              </w:rPr>
              <w:t>1</w:t>
            </w:r>
            <w:r w:rsidR="009C5FCC">
              <w:rPr>
                <w:rFonts w:ascii="Arial" w:hAnsi="Arial" w:cs="Arial"/>
                <w:sz w:val="16"/>
                <w:szCs w:val="16"/>
              </w:rPr>
              <w:t>51</w:t>
            </w:r>
            <w:r w:rsidRPr="004D02F0">
              <w:rPr>
                <w:rFonts w:ascii="Arial" w:hAnsi="Arial" w:cs="Arial"/>
                <w:sz w:val="16"/>
                <w:szCs w:val="16"/>
              </w:rPr>
              <w:t>.000</w:t>
            </w:r>
          </w:p>
        </w:tc>
        <w:tc>
          <w:tcPr>
            <w:tcW w:w="502" w:type="pct"/>
            <w:vAlign w:val="center"/>
          </w:tcPr>
          <w:p w14:paraId="68D18378" w14:textId="266F7637" w:rsidR="00C65127" w:rsidRPr="004D02F0" w:rsidRDefault="00D65EAE" w:rsidP="00422A01">
            <w:pPr>
              <w:jc w:val="center"/>
              <w:rPr>
                <w:rFonts w:ascii="Arial" w:hAnsi="Arial" w:cs="Arial"/>
                <w:sz w:val="16"/>
                <w:szCs w:val="16"/>
              </w:rPr>
            </w:pPr>
            <w:r>
              <w:rPr>
                <w:rFonts w:ascii="Arial" w:hAnsi="Arial" w:cs="Arial"/>
                <w:sz w:val="16"/>
                <w:szCs w:val="16"/>
              </w:rPr>
              <w:t>37</w:t>
            </w:r>
            <w:r w:rsidR="4A6EE254" w:rsidRPr="004D02F0">
              <w:rPr>
                <w:rFonts w:ascii="Arial" w:hAnsi="Arial" w:cs="Arial"/>
                <w:sz w:val="16"/>
                <w:szCs w:val="16"/>
              </w:rPr>
              <w:t>0.000</w:t>
            </w:r>
          </w:p>
        </w:tc>
        <w:tc>
          <w:tcPr>
            <w:tcW w:w="502" w:type="pct"/>
            <w:vAlign w:val="center"/>
          </w:tcPr>
          <w:p w14:paraId="48AD7952" w14:textId="453F5ECE" w:rsidR="00C65127" w:rsidRPr="004D02F0" w:rsidRDefault="00192E08" w:rsidP="00422A01">
            <w:pPr>
              <w:jc w:val="center"/>
              <w:rPr>
                <w:rFonts w:ascii="Arial" w:hAnsi="Arial" w:cs="Arial"/>
                <w:b/>
                <w:sz w:val="16"/>
                <w:szCs w:val="16"/>
              </w:rPr>
            </w:pPr>
            <w:r w:rsidRPr="004D02F0">
              <w:rPr>
                <w:rFonts w:ascii="Arial" w:hAnsi="Arial" w:cs="Arial"/>
                <w:b/>
                <w:bCs/>
                <w:sz w:val="16"/>
                <w:szCs w:val="16"/>
              </w:rPr>
              <w:t>2.</w:t>
            </w:r>
            <w:r w:rsidR="009C5FCC">
              <w:rPr>
                <w:rFonts w:ascii="Arial" w:hAnsi="Arial" w:cs="Arial"/>
                <w:b/>
                <w:bCs/>
                <w:sz w:val="16"/>
                <w:szCs w:val="16"/>
              </w:rPr>
              <w:t>655</w:t>
            </w:r>
            <w:r w:rsidR="00D65EAE">
              <w:rPr>
                <w:rFonts w:ascii="Arial" w:hAnsi="Arial" w:cs="Arial"/>
                <w:b/>
                <w:bCs/>
                <w:sz w:val="16"/>
                <w:szCs w:val="16"/>
              </w:rPr>
              <w:t>.</w:t>
            </w:r>
            <w:r w:rsidR="009C5FCC">
              <w:rPr>
                <w:rFonts w:ascii="Arial" w:hAnsi="Arial" w:cs="Arial"/>
                <w:b/>
                <w:bCs/>
                <w:sz w:val="16"/>
                <w:szCs w:val="16"/>
              </w:rPr>
              <w:t>7</w:t>
            </w:r>
            <w:r w:rsidR="00D65EAE">
              <w:rPr>
                <w:rFonts w:ascii="Arial" w:hAnsi="Arial" w:cs="Arial"/>
                <w:b/>
                <w:bCs/>
                <w:sz w:val="16"/>
                <w:szCs w:val="16"/>
              </w:rPr>
              <w:t>00</w:t>
            </w:r>
          </w:p>
        </w:tc>
      </w:tr>
      <w:tr w:rsidR="00154A48" w:rsidRPr="004D02F0" w14:paraId="5C297D08" w14:textId="77777777" w:rsidTr="00422A01">
        <w:trPr>
          <w:trHeight w:val="283"/>
        </w:trPr>
        <w:tc>
          <w:tcPr>
            <w:tcW w:w="985" w:type="pct"/>
            <w:vAlign w:val="center"/>
          </w:tcPr>
          <w:p w14:paraId="182CC839"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Leerstandsrate</w:t>
            </w:r>
          </w:p>
          <w:p w14:paraId="0909F4A6"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w:t>
            </w:r>
          </w:p>
        </w:tc>
        <w:tc>
          <w:tcPr>
            <w:tcW w:w="502" w:type="pct"/>
            <w:vAlign w:val="center"/>
          </w:tcPr>
          <w:p w14:paraId="5DFB31C9" w14:textId="6F3CB39E" w:rsidR="00C65127" w:rsidRPr="004D02F0" w:rsidRDefault="00D65EAE" w:rsidP="00422A01">
            <w:pPr>
              <w:jc w:val="center"/>
              <w:rPr>
                <w:rFonts w:ascii="Arial" w:hAnsi="Arial" w:cs="Arial"/>
                <w:sz w:val="16"/>
                <w:szCs w:val="16"/>
              </w:rPr>
            </w:pPr>
            <w:r>
              <w:rPr>
                <w:rFonts w:ascii="Arial" w:hAnsi="Arial" w:cs="Arial"/>
                <w:sz w:val="16"/>
                <w:szCs w:val="16"/>
              </w:rPr>
              <w:t>2,9</w:t>
            </w:r>
          </w:p>
        </w:tc>
        <w:tc>
          <w:tcPr>
            <w:tcW w:w="502" w:type="pct"/>
            <w:vAlign w:val="center"/>
          </w:tcPr>
          <w:p w14:paraId="08B1CFAE" w14:textId="3F6B70EF" w:rsidR="00C65127" w:rsidRPr="004D02F0" w:rsidRDefault="4A6EE254" w:rsidP="00422A01">
            <w:pPr>
              <w:jc w:val="center"/>
              <w:rPr>
                <w:rFonts w:ascii="Arial" w:hAnsi="Arial" w:cs="Arial"/>
                <w:sz w:val="16"/>
                <w:szCs w:val="16"/>
              </w:rPr>
            </w:pPr>
            <w:r w:rsidRPr="004D02F0">
              <w:rPr>
                <w:rFonts w:ascii="Arial" w:hAnsi="Arial" w:cs="Arial"/>
                <w:sz w:val="16"/>
                <w:szCs w:val="16"/>
              </w:rPr>
              <w:t>1,</w:t>
            </w:r>
            <w:r w:rsidR="009C5FCC">
              <w:rPr>
                <w:rFonts w:ascii="Arial" w:hAnsi="Arial" w:cs="Arial"/>
                <w:sz w:val="16"/>
                <w:szCs w:val="16"/>
              </w:rPr>
              <w:t>2</w:t>
            </w:r>
          </w:p>
        </w:tc>
        <w:tc>
          <w:tcPr>
            <w:tcW w:w="502" w:type="pct"/>
            <w:vAlign w:val="center"/>
          </w:tcPr>
          <w:p w14:paraId="2878E9A7" w14:textId="63D5A983" w:rsidR="00C65127" w:rsidRPr="004D02F0" w:rsidRDefault="4A6EE254" w:rsidP="00422A01">
            <w:pPr>
              <w:jc w:val="center"/>
              <w:rPr>
                <w:rFonts w:ascii="Arial" w:hAnsi="Arial" w:cs="Arial"/>
                <w:sz w:val="16"/>
                <w:szCs w:val="16"/>
              </w:rPr>
            </w:pPr>
            <w:r w:rsidRPr="004D02F0">
              <w:rPr>
                <w:rFonts w:ascii="Arial" w:hAnsi="Arial" w:cs="Arial"/>
                <w:sz w:val="16"/>
                <w:szCs w:val="16"/>
              </w:rPr>
              <w:t>7,</w:t>
            </w:r>
            <w:r w:rsidR="009C5FCC">
              <w:rPr>
                <w:rFonts w:ascii="Arial" w:hAnsi="Arial" w:cs="Arial"/>
                <w:sz w:val="16"/>
                <w:szCs w:val="16"/>
              </w:rPr>
              <w:t>1</w:t>
            </w:r>
          </w:p>
        </w:tc>
        <w:tc>
          <w:tcPr>
            <w:tcW w:w="502" w:type="pct"/>
            <w:vAlign w:val="center"/>
          </w:tcPr>
          <w:p w14:paraId="41A88249" w14:textId="02421027"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9C5FCC">
              <w:rPr>
                <w:rFonts w:ascii="Arial" w:hAnsi="Arial" w:cs="Arial"/>
                <w:sz w:val="16"/>
                <w:szCs w:val="16"/>
              </w:rPr>
              <w:t>3</w:t>
            </w:r>
          </w:p>
        </w:tc>
        <w:tc>
          <w:tcPr>
            <w:tcW w:w="502" w:type="pct"/>
            <w:vAlign w:val="center"/>
          </w:tcPr>
          <w:p w14:paraId="789B0375" w14:textId="2A4CFBFC" w:rsidR="00C65127" w:rsidRPr="004D02F0" w:rsidRDefault="4A6EE254" w:rsidP="00422A01">
            <w:pPr>
              <w:jc w:val="center"/>
              <w:rPr>
                <w:rFonts w:ascii="Arial" w:hAnsi="Arial" w:cs="Arial"/>
                <w:sz w:val="16"/>
                <w:szCs w:val="16"/>
              </w:rPr>
            </w:pPr>
            <w:r w:rsidRPr="004D02F0">
              <w:rPr>
                <w:rFonts w:ascii="Arial" w:hAnsi="Arial" w:cs="Arial"/>
                <w:sz w:val="16"/>
                <w:szCs w:val="16"/>
              </w:rPr>
              <w:t>7,</w:t>
            </w:r>
            <w:r w:rsidR="009C5FCC">
              <w:rPr>
                <w:rFonts w:ascii="Arial" w:hAnsi="Arial" w:cs="Arial"/>
                <w:sz w:val="16"/>
                <w:szCs w:val="16"/>
              </w:rPr>
              <w:t>0</w:t>
            </w:r>
          </w:p>
        </w:tc>
        <w:tc>
          <w:tcPr>
            <w:tcW w:w="502" w:type="pct"/>
            <w:vAlign w:val="center"/>
          </w:tcPr>
          <w:p w14:paraId="6DE090A5" w14:textId="0E22B926" w:rsidR="00C65127" w:rsidRPr="004D02F0" w:rsidRDefault="009C5FCC" w:rsidP="00422A01">
            <w:pPr>
              <w:jc w:val="center"/>
              <w:rPr>
                <w:rFonts w:ascii="Arial" w:hAnsi="Arial" w:cs="Arial"/>
                <w:sz w:val="16"/>
                <w:szCs w:val="16"/>
              </w:rPr>
            </w:pPr>
            <w:r>
              <w:rPr>
                <w:rFonts w:ascii="Arial" w:hAnsi="Arial" w:cs="Arial"/>
                <w:sz w:val="16"/>
                <w:szCs w:val="16"/>
              </w:rPr>
              <w:t>1</w:t>
            </w:r>
            <w:r w:rsidR="4A6EE254" w:rsidRPr="004D02F0">
              <w:rPr>
                <w:rFonts w:ascii="Arial" w:hAnsi="Arial" w:cs="Arial"/>
                <w:sz w:val="16"/>
                <w:szCs w:val="16"/>
              </w:rPr>
              <w:t>,</w:t>
            </w:r>
            <w:r>
              <w:rPr>
                <w:rFonts w:ascii="Arial" w:hAnsi="Arial" w:cs="Arial"/>
                <w:sz w:val="16"/>
                <w:szCs w:val="16"/>
              </w:rPr>
              <w:t>9</w:t>
            </w:r>
          </w:p>
        </w:tc>
        <w:tc>
          <w:tcPr>
            <w:tcW w:w="502" w:type="pct"/>
            <w:vAlign w:val="center"/>
          </w:tcPr>
          <w:p w14:paraId="5B19EE92" w14:textId="7767DA10" w:rsidR="00C65127" w:rsidRPr="004D02F0" w:rsidRDefault="4A6EE254" w:rsidP="003210E3">
            <w:pPr>
              <w:jc w:val="center"/>
              <w:rPr>
                <w:rFonts w:ascii="Arial" w:hAnsi="Arial" w:cs="Arial"/>
                <w:sz w:val="16"/>
                <w:szCs w:val="16"/>
              </w:rPr>
            </w:pPr>
            <w:r w:rsidRPr="004D02F0">
              <w:rPr>
                <w:rFonts w:ascii="Arial" w:hAnsi="Arial" w:cs="Arial"/>
                <w:sz w:val="16"/>
                <w:szCs w:val="16"/>
              </w:rPr>
              <w:t>1,</w:t>
            </w:r>
            <w:r w:rsidR="00D65EAE">
              <w:rPr>
                <w:rFonts w:ascii="Arial" w:hAnsi="Arial" w:cs="Arial"/>
                <w:sz w:val="16"/>
                <w:szCs w:val="16"/>
              </w:rPr>
              <w:t>6</w:t>
            </w:r>
          </w:p>
        </w:tc>
        <w:tc>
          <w:tcPr>
            <w:tcW w:w="502" w:type="pct"/>
            <w:vAlign w:val="center"/>
          </w:tcPr>
          <w:p w14:paraId="0CE22EC9" w14:textId="67CAA941" w:rsidR="00C65127" w:rsidRPr="004D02F0" w:rsidRDefault="009C5FCC" w:rsidP="00422A01">
            <w:pPr>
              <w:jc w:val="center"/>
              <w:rPr>
                <w:rFonts w:ascii="Arial" w:hAnsi="Arial" w:cs="Arial"/>
                <w:b/>
                <w:sz w:val="16"/>
                <w:szCs w:val="16"/>
              </w:rPr>
            </w:pPr>
            <w:r>
              <w:rPr>
                <w:rFonts w:ascii="Arial" w:hAnsi="Arial" w:cs="Arial"/>
                <w:b/>
                <w:sz w:val="16"/>
                <w:szCs w:val="16"/>
              </w:rPr>
              <w:t>2</w:t>
            </w:r>
            <w:r w:rsidR="4A6EE254" w:rsidRPr="004D02F0">
              <w:rPr>
                <w:rFonts w:ascii="Arial" w:hAnsi="Arial" w:cs="Arial"/>
                <w:b/>
                <w:sz w:val="16"/>
                <w:szCs w:val="16"/>
              </w:rPr>
              <w:t>,</w:t>
            </w:r>
            <w:r>
              <w:rPr>
                <w:rFonts w:ascii="Arial" w:hAnsi="Arial" w:cs="Arial"/>
                <w:b/>
                <w:sz w:val="16"/>
                <w:szCs w:val="16"/>
              </w:rPr>
              <w:t>9</w:t>
            </w:r>
          </w:p>
        </w:tc>
      </w:tr>
      <w:tr w:rsidR="00154A48" w:rsidRPr="004D02F0" w14:paraId="6B3DEBBF" w14:textId="77777777" w:rsidTr="00422A01">
        <w:trPr>
          <w:trHeight w:val="283"/>
        </w:trPr>
        <w:tc>
          <w:tcPr>
            <w:tcW w:w="985" w:type="pct"/>
            <w:vAlign w:val="center"/>
          </w:tcPr>
          <w:p w14:paraId="3EAE7599" w14:textId="61D84CDF" w:rsidR="00C65127" w:rsidRPr="004D02F0" w:rsidRDefault="00C65127" w:rsidP="00422A01">
            <w:pPr>
              <w:widowControl w:val="0"/>
              <w:rPr>
                <w:rFonts w:ascii="Arial" w:hAnsi="Arial" w:cs="Arial"/>
                <w:b/>
                <w:sz w:val="16"/>
                <w:szCs w:val="16"/>
              </w:rPr>
            </w:pPr>
            <w:r w:rsidRPr="004D02F0">
              <w:rPr>
                <w:rFonts w:ascii="Arial" w:hAnsi="Arial" w:cs="Arial"/>
                <w:b/>
                <w:sz w:val="16"/>
                <w:szCs w:val="16"/>
              </w:rPr>
              <w:t>Fertigstellungen 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m²</w:t>
            </w:r>
          </w:p>
        </w:tc>
        <w:tc>
          <w:tcPr>
            <w:tcW w:w="502" w:type="pct"/>
            <w:vAlign w:val="center"/>
          </w:tcPr>
          <w:p w14:paraId="45E23251" w14:textId="10F22231" w:rsidR="00C65127" w:rsidRPr="004D02F0" w:rsidRDefault="009C5FCC" w:rsidP="00422A01">
            <w:pPr>
              <w:jc w:val="center"/>
              <w:rPr>
                <w:rFonts w:ascii="Arial" w:hAnsi="Arial" w:cs="Arial"/>
                <w:sz w:val="16"/>
                <w:szCs w:val="16"/>
              </w:rPr>
            </w:pPr>
            <w:r>
              <w:rPr>
                <w:rFonts w:ascii="Arial" w:hAnsi="Arial" w:cs="Arial"/>
                <w:sz w:val="16"/>
                <w:szCs w:val="16"/>
              </w:rPr>
              <w:t>304</w:t>
            </w:r>
            <w:r w:rsidR="4A6EE254" w:rsidRPr="004D02F0">
              <w:rPr>
                <w:rFonts w:ascii="Arial" w:hAnsi="Arial" w:cs="Arial"/>
                <w:sz w:val="16"/>
                <w:szCs w:val="16"/>
              </w:rPr>
              <w:t>.000</w:t>
            </w:r>
          </w:p>
        </w:tc>
        <w:tc>
          <w:tcPr>
            <w:tcW w:w="502" w:type="pct"/>
            <w:vAlign w:val="center"/>
          </w:tcPr>
          <w:p w14:paraId="11B12F0F" w14:textId="4F5F505E" w:rsidR="00C65127" w:rsidRPr="004D02F0" w:rsidRDefault="009C5FCC" w:rsidP="00422A01">
            <w:pPr>
              <w:jc w:val="center"/>
              <w:rPr>
                <w:rFonts w:ascii="Arial" w:hAnsi="Arial" w:cs="Arial"/>
                <w:sz w:val="16"/>
                <w:szCs w:val="16"/>
              </w:rPr>
            </w:pPr>
            <w:r>
              <w:rPr>
                <w:rFonts w:ascii="Arial" w:hAnsi="Arial" w:cs="Arial"/>
                <w:sz w:val="16"/>
                <w:szCs w:val="16"/>
              </w:rPr>
              <w:t>1.067</w:t>
            </w:r>
            <w:r w:rsidR="4A6EE254" w:rsidRPr="004D02F0">
              <w:rPr>
                <w:rFonts w:ascii="Arial" w:hAnsi="Arial" w:cs="Arial"/>
                <w:sz w:val="16"/>
                <w:szCs w:val="16"/>
              </w:rPr>
              <w:t>.</w:t>
            </w:r>
            <w:r>
              <w:rPr>
                <w:rFonts w:ascii="Arial" w:hAnsi="Arial" w:cs="Arial"/>
                <w:sz w:val="16"/>
                <w:szCs w:val="16"/>
              </w:rPr>
              <w:t>8</w:t>
            </w:r>
            <w:r w:rsidR="4A6EE254" w:rsidRPr="004D02F0">
              <w:rPr>
                <w:rFonts w:ascii="Arial" w:hAnsi="Arial" w:cs="Arial"/>
                <w:sz w:val="16"/>
                <w:szCs w:val="16"/>
              </w:rPr>
              <w:t>00</w:t>
            </w:r>
          </w:p>
        </w:tc>
        <w:tc>
          <w:tcPr>
            <w:tcW w:w="502" w:type="pct"/>
            <w:vAlign w:val="center"/>
          </w:tcPr>
          <w:p w14:paraId="55671FED" w14:textId="5D3DC129" w:rsidR="00C65127" w:rsidRPr="004D02F0" w:rsidRDefault="009C5FCC" w:rsidP="00422A01">
            <w:pPr>
              <w:jc w:val="center"/>
              <w:rPr>
                <w:rFonts w:ascii="Arial" w:hAnsi="Arial" w:cs="Arial"/>
                <w:sz w:val="16"/>
                <w:szCs w:val="16"/>
              </w:rPr>
            </w:pPr>
            <w:r>
              <w:rPr>
                <w:rFonts w:ascii="Arial" w:hAnsi="Arial" w:cs="Arial"/>
                <w:sz w:val="16"/>
                <w:szCs w:val="16"/>
              </w:rPr>
              <w:t>333</w:t>
            </w:r>
            <w:r w:rsidR="4A6EE254" w:rsidRPr="004D02F0">
              <w:rPr>
                <w:rFonts w:ascii="Arial" w:hAnsi="Arial" w:cs="Arial"/>
                <w:sz w:val="16"/>
                <w:szCs w:val="16"/>
              </w:rPr>
              <w:t>.</w:t>
            </w:r>
            <w:r>
              <w:rPr>
                <w:rFonts w:ascii="Arial" w:hAnsi="Arial" w:cs="Arial"/>
                <w:sz w:val="16"/>
                <w:szCs w:val="16"/>
              </w:rPr>
              <w:t>2</w:t>
            </w:r>
            <w:r w:rsidR="4A6EE254" w:rsidRPr="004D02F0">
              <w:rPr>
                <w:rFonts w:ascii="Arial" w:hAnsi="Arial" w:cs="Arial"/>
                <w:sz w:val="16"/>
                <w:szCs w:val="16"/>
              </w:rPr>
              <w:t>00</w:t>
            </w:r>
          </w:p>
        </w:tc>
        <w:tc>
          <w:tcPr>
            <w:tcW w:w="502" w:type="pct"/>
            <w:vAlign w:val="center"/>
          </w:tcPr>
          <w:p w14:paraId="704099E4" w14:textId="0FDC400A" w:rsidR="00C65127" w:rsidRPr="004D02F0" w:rsidRDefault="004C4DB4" w:rsidP="00422A01">
            <w:pPr>
              <w:jc w:val="center"/>
              <w:rPr>
                <w:rFonts w:ascii="Arial" w:hAnsi="Arial" w:cs="Arial"/>
                <w:sz w:val="16"/>
                <w:szCs w:val="16"/>
              </w:rPr>
            </w:pPr>
            <w:r w:rsidRPr="004D02F0">
              <w:rPr>
                <w:rFonts w:ascii="Arial" w:hAnsi="Arial" w:cs="Arial"/>
                <w:sz w:val="16"/>
                <w:szCs w:val="16"/>
              </w:rPr>
              <w:t>2</w:t>
            </w:r>
            <w:r w:rsidR="009C5FCC">
              <w:rPr>
                <w:rFonts w:ascii="Arial" w:hAnsi="Arial" w:cs="Arial"/>
                <w:sz w:val="16"/>
                <w:szCs w:val="16"/>
              </w:rPr>
              <w:t>1</w:t>
            </w:r>
            <w:r w:rsidRPr="004D02F0">
              <w:rPr>
                <w:rFonts w:ascii="Arial" w:hAnsi="Arial" w:cs="Arial"/>
                <w:sz w:val="16"/>
                <w:szCs w:val="16"/>
              </w:rPr>
              <w:t>0</w:t>
            </w:r>
            <w:r w:rsidR="4A6EE254" w:rsidRPr="004D02F0">
              <w:rPr>
                <w:rFonts w:ascii="Arial" w:hAnsi="Arial" w:cs="Arial"/>
                <w:sz w:val="16"/>
                <w:szCs w:val="16"/>
              </w:rPr>
              <w:t>.000</w:t>
            </w:r>
          </w:p>
        </w:tc>
        <w:tc>
          <w:tcPr>
            <w:tcW w:w="502" w:type="pct"/>
            <w:vAlign w:val="center"/>
          </w:tcPr>
          <w:p w14:paraId="795CB503" w14:textId="7F1B5F03" w:rsidR="00C65127" w:rsidRPr="004D02F0" w:rsidRDefault="009C5FCC" w:rsidP="00422A01">
            <w:pPr>
              <w:jc w:val="center"/>
              <w:rPr>
                <w:rFonts w:ascii="Arial" w:hAnsi="Arial" w:cs="Arial"/>
                <w:sz w:val="16"/>
                <w:szCs w:val="16"/>
              </w:rPr>
            </w:pPr>
            <w:r>
              <w:rPr>
                <w:rFonts w:ascii="Arial" w:hAnsi="Arial" w:cs="Arial"/>
                <w:sz w:val="16"/>
                <w:szCs w:val="16"/>
              </w:rPr>
              <w:t>582</w:t>
            </w:r>
            <w:r w:rsidR="004C4DB4" w:rsidRPr="004D02F0">
              <w:rPr>
                <w:rFonts w:ascii="Arial" w:hAnsi="Arial" w:cs="Arial"/>
                <w:sz w:val="16"/>
                <w:szCs w:val="16"/>
              </w:rPr>
              <w:t>.</w:t>
            </w:r>
            <w:r w:rsidR="00D65EAE">
              <w:rPr>
                <w:rFonts w:ascii="Arial" w:hAnsi="Arial" w:cs="Arial"/>
                <w:sz w:val="16"/>
                <w:szCs w:val="16"/>
              </w:rPr>
              <w:t>4</w:t>
            </w:r>
            <w:r w:rsidR="004C4DB4" w:rsidRPr="004D02F0">
              <w:rPr>
                <w:rFonts w:ascii="Arial" w:hAnsi="Arial" w:cs="Arial"/>
                <w:sz w:val="16"/>
                <w:szCs w:val="16"/>
              </w:rPr>
              <w:t>00</w:t>
            </w:r>
          </w:p>
        </w:tc>
        <w:tc>
          <w:tcPr>
            <w:tcW w:w="502" w:type="pct"/>
            <w:vAlign w:val="center"/>
          </w:tcPr>
          <w:p w14:paraId="74993796" w14:textId="218FB824" w:rsidR="00C65127" w:rsidRPr="004D02F0" w:rsidRDefault="009C5FCC" w:rsidP="00422A01">
            <w:pPr>
              <w:jc w:val="center"/>
              <w:rPr>
                <w:rFonts w:ascii="Arial" w:hAnsi="Arial" w:cs="Arial"/>
                <w:sz w:val="16"/>
                <w:szCs w:val="16"/>
              </w:rPr>
            </w:pPr>
            <w:r>
              <w:rPr>
                <w:rFonts w:ascii="Arial" w:hAnsi="Arial" w:cs="Arial"/>
                <w:sz w:val="16"/>
                <w:szCs w:val="16"/>
              </w:rPr>
              <w:t>320</w:t>
            </w:r>
            <w:r w:rsidR="005968D2" w:rsidRPr="004D02F0">
              <w:rPr>
                <w:rFonts w:ascii="Arial" w:hAnsi="Arial" w:cs="Arial"/>
                <w:sz w:val="16"/>
                <w:szCs w:val="16"/>
              </w:rPr>
              <w:t>.</w:t>
            </w:r>
            <w:r>
              <w:rPr>
                <w:rFonts w:ascii="Arial" w:hAnsi="Arial" w:cs="Arial"/>
                <w:sz w:val="16"/>
                <w:szCs w:val="16"/>
              </w:rPr>
              <w:t>1</w:t>
            </w:r>
            <w:r w:rsidR="005968D2" w:rsidRPr="004D02F0">
              <w:rPr>
                <w:rFonts w:ascii="Arial" w:hAnsi="Arial" w:cs="Arial"/>
                <w:sz w:val="16"/>
                <w:szCs w:val="16"/>
              </w:rPr>
              <w:t>00</w:t>
            </w:r>
          </w:p>
        </w:tc>
        <w:tc>
          <w:tcPr>
            <w:tcW w:w="502" w:type="pct"/>
            <w:vAlign w:val="center"/>
          </w:tcPr>
          <w:p w14:paraId="34F66D4E" w14:textId="2A8648B0" w:rsidR="00C65127" w:rsidRPr="004D02F0" w:rsidRDefault="005968D2" w:rsidP="00422A01">
            <w:pPr>
              <w:jc w:val="center"/>
              <w:rPr>
                <w:rFonts w:ascii="Arial" w:hAnsi="Arial" w:cs="Arial"/>
                <w:sz w:val="16"/>
                <w:szCs w:val="16"/>
              </w:rPr>
            </w:pPr>
            <w:r w:rsidRPr="004D02F0">
              <w:rPr>
                <w:rFonts w:ascii="Arial" w:hAnsi="Arial" w:cs="Arial"/>
                <w:sz w:val="16"/>
                <w:szCs w:val="16"/>
              </w:rPr>
              <w:t>530</w:t>
            </w:r>
            <w:r w:rsidR="4A6EE254" w:rsidRPr="004D02F0">
              <w:rPr>
                <w:rFonts w:ascii="Arial" w:hAnsi="Arial" w:cs="Arial"/>
                <w:sz w:val="16"/>
                <w:szCs w:val="16"/>
              </w:rPr>
              <w:t>.000</w:t>
            </w:r>
          </w:p>
        </w:tc>
        <w:tc>
          <w:tcPr>
            <w:tcW w:w="502" w:type="pct"/>
            <w:vAlign w:val="center"/>
          </w:tcPr>
          <w:p w14:paraId="6CCC0DE5" w14:textId="6A0269CD" w:rsidR="00C65127" w:rsidRPr="004D02F0" w:rsidRDefault="00D65EAE" w:rsidP="00422A01">
            <w:pPr>
              <w:jc w:val="center"/>
              <w:rPr>
                <w:rFonts w:ascii="Arial" w:hAnsi="Arial" w:cs="Arial"/>
                <w:b/>
                <w:sz w:val="16"/>
                <w:szCs w:val="16"/>
              </w:rPr>
            </w:pPr>
            <w:r>
              <w:rPr>
                <w:rFonts w:ascii="Arial" w:hAnsi="Arial" w:cs="Arial"/>
                <w:b/>
                <w:bCs/>
                <w:sz w:val="16"/>
                <w:szCs w:val="16"/>
              </w:rPr>
              <w:t>2.9</w:t>
            </w:r>
            <w:r w:rsidR="009C5FCC">
              <w:rPr>
                <w:rFonts w:ascii="Arial" w:hAnsi="Arial" w:cs="Arial"/>
                <w:b/>
                <w:bCs/>
                <w:sz w:val="16"/>
                <w:szCs w:val="16"/>
              </w:rPr>
              <w:t>23</w:t>
            </w:r>
            <w:r>
              <w:rPr>
                <w:rFonts w:ascii="Arial" w:hAnsi="Arial" w:cs="Arial"/>
                <w:b/>
                <w:bCs/>
                <w:sz w:val="16"/>
                <w:szCs w:val="16"/>
              </w:rPr>
              <w:t>.000</w:t>
            </w:r>
          </w:p>
        </w:tc>
      </w:tr>
      <w:tr w:rsidR="00154A48" w:rsidRPr="004D02F0" w14:paraId="083C2563" w14:textId="77777777" w:rsidTr="00422A01">
        <w:trPr>
          <w:trHeight w:val="283"/>
        </w:trPr>
        <w:tc>
          <w:tcPr>
            <w:tcW w:w="985" w:type="pct"/>
            <w:vAlign w:val="center"/>
          </w:tcPr>
          <w:p w14:paraId="0D0D8A5A" w14:textId="4CBADB45" w:rsidR="001C65C1" w:rsidRPr="004D02F0" w:rsidRDefault="001C65C1" w:rsidP="00422A01">
            <w:pPr>
              <w:widowControl w:val="0"/>
              <w:rPr>
                <w:rFonts w:ascii="Arial" w:hAnsi="Arial" w:cs="Arial"/>
                <w:b/>
                <w:sz w:val="16"/>
                <w:szCs w:val="16"/>
              </w:rPr>
            </w:pPr>
            <w:r w:rsidRPr="004D02F0">
              <w:rPr>
                <w:rFonts w:ascii="Arial" w:hAnsi="Arial" w:cs="Arial"/>
                <w:b/>
                <w:sz w:val="16"/>
                <w:szCs w:val="16"/>
              </w:rPr>
              <w:t>Vor</w:t>
            </w:r>
            <w:r w:rsidR="00126503" w:rsidRPr="004D02F0">
              <w:rPr>
                <w:rFonts w:ascii="Arial" w:hAnsi="Arial" w:cs="Arial"/>
                <w:b/>
                <w:sz w:val="16"/>
                <w:szCs w:val="16"/>
              </w:rPr>
              <w:t>ver</w:t>
            </w:r>
            <w:r w:rsidRPr="004D02F0">
              <w:rPr>
                <w:rFonts w:ascii="Arial" w:hAnsi="Arial" w:cs="Arial"/>
                <w:b/>
                <w:sz w:val="16"/>
                <w:szCs w:val="16"/>
              </w:rPr>
              <w:t>mietungsquote 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w:t>
            </w:r>
          </w:p>
        </w:tc>
        <w:tc>
          <w:tcPr>
            <w:tcW w:w="502" w:type="pct"/>
            <w:vAlign w:val="center"/>
          </w:tcPr>
          <w:p w14:paraId="5B815624" w14:textId="1669C690" w:rsidR="001C65C1" w:rsidRPr="004D02F0" w:rsidRDefault="009C5FCC" w:rsidP="00422A01">
            <w:pPr>
              <w:jc w:val="center"/>
              <w:rPr>
                <w:rFonts w:ascii="Arial" w:hAnsi="Arial" w:cs="Arial"/>
                <w:sz w:val="16"/>
                <w:szCs w:val="16"/>
              </w:rPr>
            </w:pPr>
            <w:r>
              <w:rPr>
                <w:rFonts w:ascii="Arial" w:hAnsi="Arial" w:cs="Arial"/>
                <w:sz w:val="16"/>
                <w:szCs w:val="16"/>
              </w:rPr>
              <w:t>73</w:t>
            </w:r>
          </w:p>
        </w:tc>
        <w:tc>
          <w:tcPr>
            <w:tcW w:w="502" w:type="pct"/>
            <w:vAlign w:val="center"/>
          </w:tcPr>
          <w:p w14:paraId="0BD28CCE" w14:textId="564C0E72" w:rsidR="001C65C1" w:rsidRPr="004D02F0" w:rsidRDefault="009C5FCC" w:rsidP="00422A01">
            <w:pPr>
              <w:jc w:val="center"/>
              <w:rPr>
                <w:rFonts w:ascii="Arial" w:hAnsi="Arial" w:cs="Arial"/>
                <w:sz w:val="16"/>
                <w:szCs w:val="16"/>
              </w:rPr>
            </w:pPr>
            <w:r>
              <w:rPr>
                <w:rFonts w:ascii="Arial" w:hAnsi="Arial" w:cs="Arial"/>
                <w:sz w:val="16"/>
                <w:szCs w:val="16"/>
              </w:rPr>
              <w:t>56</w:t>
            </w:r>
          </w:p>
        </w:tc>
        <w:tc>
          <w:tcPr>
            <w:tcW w:w="502" w:type="pct"/>
            <w:vAlign w:val="center"/>
          </w:tcPr>
          <w:p w14:paraId="277079A1" w14:textId="0BA411BA" w:rsidR="001C65C1" w:rsidRPr="004D02F0" w:rsidRDefault="009C5FCC" w:rsidP="00422A01">
            <w:pPr>
              <w:jc w:val="center"/>
              <w:rPr>
                <w:rFonts w:ascii="Arial" w:hAnsi="Arial" w:cs="Arial"/>
                <w:sz w:val="16"/>
                <w:szCs w:val="16"/>
              </w:rPr>
            </w:pPr>
            <w:r>
              <w:rPr>
                <w:rFonts w:ascii="Arial" w:hAnsi="Arial" w:cs="Arial"/>
                <w:sz w:val="16"/>
                <w:szCs w:val="16"/>
              </w:rPr>
              <w:t>64</w:t>
            </w:r>
          </w:p>
        </w:tc>
        <w:tc>
          <w:tcPr>
            <w:tcW w:w="502" w:type="pct"/>
            <w:vAlign w:val="center"/>
          </w:tcPr>
          <w:p w14:paraId="20F6D135" w14:textId="3B888047" w:rsidR="001C65C1" w:rsidRPr="004D02F0" w:rsidRDefault="009C5FCC" w:rsidP="00422A01">
            <w:pPr>
              <w:jc w:val="center"/>
              <w:rPr>
                <w:rFonts w:ascii="Arial" w:hAnsi="Arial" w:cs="Arial"/>
                <w:sz w:val="16"/>
                <w:szCs w:val="16"/>
              </w:rPr>
            </w:pPr>
            <w:r>
              <w:rPr>
                <w:rFonts w:ascii="Arial" w:hAnsi="Arial" w:cs="Arial"/>
                <w:sz w:val="16"/>
                <w:szCs w:val="16"/>
              </w:rPr>
              <w:t>27</w:t>
            </w:r>
          </w:p>
        </w:tc>
        <w:tc>
          <w:tcPr>
            <w:tcW w:w="502" w:type="pct"/>
            <w:vAlign w:val="center"/>
          </w:tcPr>
          <w:p w14:paraId="37C4AF2D" w14:textId="020031CC" w:rsidR="001C65C1" w:rsidRPr="004D02F0" w:rsidRDefault="009C5FCC" w:rsidP="00422A01">
            <w:pPr>
              <w:jc w:val="center"/>
              <w:rPr>
                <w:rFonts w:ascii="Arial" w:hAnsi="Arial" w:cs="Arial"/>
                <w:sz w:val="16"/>
                <w:szCs w:val="16"/>
              </w:rPr>
            </w:pPr>
            <w:r>
              <w:rPr>
                <w:rFonts w:ascii="Arial" w:hAnsi="Arial" w:cs="Arial"/>
                <w:sz w:val="16"/>
                <w:szCs w:val="16"/>
              </w:rPr>
              <w:t>57</w:t>
            </w:r>
          </w:p>
        </w:tc>
        <w:tc>
          <w:tcPr>
            <w:tcW w:w="502" w:type="pct"/>
            <w:vAlign w:val="center"/>
          </w:tcPr>
          <w:p w14:paraId="0F8131C9" w14:textId="2A8400A5" w:rsidR="001C65C1" w:rsidRPr="004D02F0" w:rsidRDefault="00D65EAE" w:rsidP="00422A01">
            <w:pPr>
              <w:jc w:val="center"/>
              <w:rPr>
                <w:rFonts w:ascii="Arial" w:hAnsi="Arial" w:cs="Arial"/>
                <w:sz w:val="16"/>
                <w:szCs w:val="16"/>
              </w:rPr>
            </w:pPr>
            <w:r>
              <w:rPr>
                <w:rFonts w:ascii="Arial" w:hAnsi="Arial" w:cs="Arial"/>
                <w:sz w:val="16"/>
                <w:szCs w:val="16"/>
              </w:rPr>
              <w:t>7</w:t>
            </w:r>
            <w:r w:rsidR="009C5FCC">
              <w:rPr>
                <w:rFonts w:ascii="Arial" w:hAnsi="Arial" w:cs="Arial"/>
                <w:sz w:val="16"/>
                <w:szCs w:val="16"/>
              </w:rPr>
              <w:t>1</w:t>
            </w:r>
          </w:p>
        </w:tc>
        <w:tc>
          <w:tcPr>
            <w:tcW w:w="502" w:type="pct"/>
            <w:vAlign w:val="center"/>
          </w:tcPr>
          <w:p w14:paraId="6A5F96BA" w14:textId="5D30E067" w:rsidR="001C65C1" w:rsidRPr="004D02F0" w:rsidRDefault="00D65EAE" w:rsidP="00422A01">
            <w:pPr>
              <w:jc w:val="center"/>
              <w:rPr>
                <w:rFonts w:ascii="Arial" w:hAnsi="Arial" w:cs="Arial"/>
                <w:sz w:val="16"/>
                <w:szCs w:val="16"/>
              </w:rPr>
            </w:pPr>
            <w:r>
              <w:rPr>
                <w:rFonts w:ascii="Arial" w:hAnsi="Arial" w:cs="Arial"/>
                <w:sz w:val="16"/>
                <w:szCs w:val="16"/>
              </w:rPr>
              <w:t>9</w:t>
            </w:r>
            <w:r w:rsidR="009C5FCC">
              <w:rPr>
                <w:rFonts w:ascii="Arial" w:hAnsi="Arial" w:cs="Arial"/>
                <w:sz w:val="16"/>
                <w:szCs w:val="16"/>
              </w:rPr>
              <w:t>4</w:t>
            </w:r>
          </w:p>
        </w:tc>
        <w:tc>
          <w:tcPr>
            <w:tcW w:w="502" w:type="pct"/>
            <w:vAlign w:val="center"/>
          </w:tcPr>
          <w:p w14:paraId="70264BF0" w14:textId="087754B4" w:rsidR="001C65C1" w:rsidRPr="004D02F0" w:rsidRDefault="00D65EAE" w:rsidP="00422A01">
            <w:pPr>
              <w:jc w:val="center"/>
              <w:rPr>
                <w:rFonts w:ascii="Arial" w:hAnsi="Arial" w:cs="Arial"/>
                <w:b/>
                <w:sz w:val="16"/>
                <w:szCs w:val="16"/>
              </w:rPr>
            </w:pPr>
            <w:r>
              <w:rPr>
                <w:rFonts w:ascii="Arial" w:hAnsi="Arial" w:cs="Arial"/>
                <w:b/>
                <w:sz w:val="16"/>
                <w:szCs w:val="16"/>
              </w:rPr>
              <w:t>7</w:t>
            </w:r>
            <w:r w:rsidR="009C5FCC">
              <w:rPr>
                <w:rFonts w:ascii="Arial" w:hAnsi="Arial" w:cs="Arial"/>
                <w:b/>
                <w:sz w:val="16"/>
                <w:szCs w:val="16"/>
              </w:rPr>
              <w:t>3</w:t>
            </w:r>
          </w:p>
        </w:tc>
      </w:tr>
    </w:tbl>
    <w:p w14:paraId="4189EB68" w14:textId="440ECFB4" w:rsidR="00C65127" w:rsidRPr="004D02F0" w:rsidRDefault="00B47474" w:rsidP="004C416A">
      <w:pPr>
        <w:widowControl w:val="0"/>
        <w:spacing w:after="0"/>
        <w:rPr>
          <w:rFonts w:ascii="Arial" w:hAnsi="Arial" w:cs="Arial"/>
          <w:sz w:val="16"/>
          <w:szCs w:val="16"/>
        </w:rPr>
      </w:pPr>
      <w:r w:rsidRPr="004D02F0">
        <w:rPr>
          <w:rFonts w:ascii="Arial" w:hAnsi="Arial" w:cs="Arial"/>
          <w:sz w:val="16"/>
          <w:szCs w:val="16"/>
        </w:rPr>
        <w:t xml:space="preserve"> </w:t>
      </w:r>
      <w:r w:rsidR="00C65127" w:rsidRPr="004D02F0">
        <w:rPr>
          <w:rFonts w:ascii="Arial" w:hAnsi="Arial" w:cs="Arial"/>
          <w:sz w:val="16"/>
          <w:szCs w:val="16"/>
        </w:rPr>
        <w:t>Quelle: German Property Partners (GPP)</w:t>
      </w:r>
    </w:p>
    <w:p w14:paraId="6E71A7B1" w14:textId="77777777" w:rsidR="008B57EF" w:rsidRDefault="008B57EF" w:rsidP="001823AA">
      <w:pPr>
        <w:spacing w:after="0" w:line="240" w:lineRule="auto"/>
        <w:jc w:val="center"/>
        <w:rPr>
          <w:rFonts w:ascii="Arial" w:hAnsi="Arial" w:cs="Arial"/>
          <w:b/>
          <w:caps/>
          <w:sz w:val="36"/>
          <w:szCs w:val="36"/>
        </w:rPr>
      </w:pPr>
    </w:p>
    <w:p w14:paraId="44B2C0F0" w14:textId="1DAB36F9" w:rsidR="00A70288" w:rsidRDefault="00A70288" w:rsidP="004C416A">
      <w:pPr>
        <w:spacing w:after="0" w:line="240" w:lineRule="auto"/>
        <w:jc w:val="center"/>
        <w:rPr>
          <w:rFonts w:ascii="Arial" w:hAnsi="Arial" w:cs="Arial"/>
          <w:b/>
          <w:caps/>
          <w:sz w:val="36"/>
          <w:szCs w:val="36"/>
        </w:rPr>
      </w:pPr>
      <w:r w:rsidRPr="004D02F0">
        <w:rPr>
          <w:rFonts w:ascii="Arial" w:hAnsi="Arial" w:cs="Arial"/>
          <w:b/>
          <w:caps/>
          <w:sz w:val="36"/>
          <w:szCs w:val="36"/>
        </w:rPr>
        <w:lastRenderedPageBreak/>
        <w:t>TOP-7-BÜROMÄRKTE IM DETAIL</w:t>
      </w:r>
    </w:p>
    <w:p w14:paraId="1A0ED83B" w14:textId="1A6D1A13" w:rsidR="00F77C44" w:rsidRPr="0066545F" w:rsidRDefault="00F77C44" w:rsidP="0066545F">
      <w:pPr>
        <w:spacing w:after="0" w:line="240" w:lineRule="auto"/>
        <w:jc w:val="both"/>
        <w:rPr>
          <w:rFonts w:ascii="Arial" w:hAnsi="Arial" w:cs="Arial"/>
          <w:sz w:val="20"/>
          <w:szCs w:val="20"/>
        </w:rPr>
      </w:pPr>
    </w:p>
    <w:p w14:paraId="39FCA145" w14:textId="77777777" w:rsidR="00F77C44" w:rsidRPr="004D02F0" w:rsidRDefault="00F77C44" w:rsidP="00F77C44">
      <w:pPr>
        <w:spacing w:after="0" w:line="240" w:lineRule="auto"/>
        <w:jc w:val="both"/>
        <w:rPr>
          <w:rFonts w:ascii="Arial" w:hAnsi="Arial" w:cs="Arial"/>
          <w:b/>
          <w:bCs/>
          <w:caps/>
          <w:sz w:val="24"/>
          <w:szCs w:val="24"/>
        </w:rPr>
      </w:pPr>
      <w:r w:rsidRPr="004D02F0">
        <w:rPr>
          <w:rFonts w:ascii="Arial" w:hAnsi="Arial" w:cs="Arial"/>
          <w:b/>
          <w:bCs/>
          <w:caps/>
          <w:sz w:val="24"/>
          <w:szCs w:val="24"/>
        </w:rPr>
        <w:t xml:space="preserve">STUTTGART | </w:t>
      </w:r>
      <w:r w:rsidRPr="004D02F0">
        <w:rPr>
          <w:rFonts w:ascii="Arial" w:hAnsi="Arial" w:cs="Arial"/>
          <w:b/>
          <w:bCs/>
          <w:sz w:val="24"/>
          <w:szCs w:val="24"/>
        </w:rPr>
        <w:t>E &amp; G Real Estate</w:t>
      </w:r>
    </w:p>
    <w:p w14:paraId="3B8EA975" w14:textId="3C2E9DA1" w:rsidR="00BD06E0" w:rsidRPr="00BD06E0" w:rsidRDefault="00205FCB" w:rsidP="00CD03E0">
      <w:pPr>
        <w:pStyle w:val="Listenabsatz"/>
        <w:numPr>
          <w:ilvl w:val="0"/>
          <w:numId w:val="5"/>
        </w:numPr>
        <w:spacing w:after="0" w:line="240" w:lineRule="auto"/>
        <w:jc w:val="both"/>
        <w:rPr>
          <w:rFonts w:ascii="Arial" w:hAnsi="Arial" w:cs="Arial"/>
          <w:b/>
          <w:bCs/>
          <w:caps/>
          <w:sz w:val="24"/>
          <w:szCs w:val="24"/>
        </w:rPr>
      </w:pPr>
      <w:r>
        <w:rPr>
          <w:rFonts w:ascii="Arial" w:hAnsi="Arial" w:cs="Arial"/>
          <w:sz w:val="20"/>
          <w:szCs w:val="20"/>
        </w:rPr>
        <w:t>Starkes Ergebnis auf dem Stuttgarter Büromarkt 2019: Mit rund 313.000 m² Flächenumsatz wurde das Vorjahresergebnis (218.000 m²) deutlich übertroffen (+44 %). Stärkster Abnehmer war die öffentliche Verwaltung, die etwa 75.000 m² neue Flächen anmietete.</w:t>
      </w:r>
    </w:p>
    <w:p w14:paraId="60C102AB" w14:textId="501C7AAA" w:rsidR="00DB0C37" w:rsidRPr="00DB0C37" w:rsidRDefault="00205FCB" w:rsidP="008B57EF">
      <w:pPr>
        <w:pStyle w:val="Listenabsatz"/>
        <w:numPr>
          <w:ilvl w:val="0"/>
          <w:numId w:val="5"/>
        </w:numPr>
        <w:spacing w:after="0" w:line="240" w:lineRule="auto"/>
        <w:jc w:val="both"/>
        <w:rPr>
          <w:rFonts w:ascii="Arial" w:hAnsi="Arial" w:cs="Arial"/>
          <w:b/>
          <w:bCs/>
          <w:caps/>
          <w:sz w:val="24"/>
          <w:szCs w:val="24"/>
        </w:rPr>
      </w:pPr>
      <w:r>
        <w:rPr>
          <w:rFonts w:ascii="Arial" w:hAnsi="Arial" w:cs="Arial"/>
          <w:sz w:val="20"/>
          <w:szCs w:val="20"/>
        </w:rPr>
        <w:t>Mietflächen in Bestands</w:t>
      </w:r>
      <w:r w:rsidR="005A1563">
        <w:rPr>
          <w:rFonts w:ascii="Arial" w:hAnsi="Arial" w:cs="Arial"/>
          <w:sz w:val="20"/>
          <w:szCs w:val="20"/>
        </w:rPr>
        <w:t>objekten</w:t>
      </w:r>
      <w:r>
        <w:rPr>
          <w:rFonts w:ascii="Arial" w:hAnsi="Arial" w:cs="Arial"/>
          <w:sz w:val="20"/>
          <w:szCs w:val="20"/>
        </w:rPr>
        <w:t xml:space="preserve"> sind knapp</w:t>
      </w:r>
      <w:r w:rsidR="001E5092">
        <w:rPr>
          <w:rFonts w:ascii="Arial" w:hAnsi="Arial" w:cs="Arial"/>
          <w:sz w:val="20"/>
          <w:szCs w:val="20"/>
        </w:rPr>
        <w:t xml:space="preserve"> und</w:t>
      </w:r>
      <w:r>
        <w:rPr>
          <w:rFonts w:ascii="Arial" w:hAnsi="Arial" w:cs="Arial"/>
          <w:sz w:val="20"/>
          <w:szCs w:val="20"/>
        </w:rPr>
        <w:t xml:space="preserve"> deshalb teuer. Das im Zusammenhang mit umfangreichen Anmietungen in Neubauprojekten hat zum Anstieg der </w:t>
      </w:r>
      <w:r w:rsidR="001E5092">
        <w:rPr>
          <w:rFonts w:ascii="Arial" w:hAnsi="Arial" w:cs="Arial"/>
          <w:sz w:val="20"/>
          <w:szCs w:val="20"/>
        </w:rPr>
        <w:t>P</w:t>
      </w:r>
      <w:r>
        <w:rPr>
          <w:rFonts w:ascii="Arial" w:hAnsi="Arial" w:cs="Arial"/>
          <w:sz w:val="20"/>
          <w:szCs w:val="20"/>
        </w:rPr>
        <w:t>reise geführt. Die Spitzenmiete lag bei 24 €/m²/Monat (+4 %)</w:t>
      </w:r>
      <w:r w:rsidR="001E5092">
        <w:rPr>
          <w:rFonts w:ascii="Arial" w:hAnsi="Arial" w:cs="Arial"/>
          <w:sz w:val="20"/>
          <w:szCs w:val="20"/>
        </w:rPr>
        <w:t>,</w:t>
      </w:r>
      <w:r>
        <w:rPr>
          <w:rFonts w:ascii="Arial" w:hAnsi="Arial" w:cs="Arial"/>
          <w:sz w:val="20"/>
          <w:szCs w:val="20"/>
        </w:rPr>
        <w:t xml:space="preserve"> die Durchschnittsmiete bei 16,20 €/m²/Monat (+17 %).</w:t>
      </w:r>
    </w:p>
    <w:p w14:paraId="2716FD23" w14:textId="31C615B9" w:rsidR="00DB0C37" w:rsidRPr="00DB0C37" w:rsidRDefault="00DB0C37" w:rsidP="008B57EF">
      <w:pPr>
        <w:pStyle w:val="Listenabsatz"/>
        <w:numPr>
          <w:ilvl w:val="0"/>
          <w:numId w:val="5"/>
        </w:numPr>
        <w:spacing w:after="0" w:line="240" w:lineRule="auto"/>
        <w:jc w:val="both"/>
        <w:rPr>
          <w:rFonts w:ascii="Arial" w:hAnsi="Arial" w:cs="Arial"/>
          <w:b/>
          <w:bCs/>
          <w:caps/>
          <w:sz w:val="24"/>
          <w:szCs w:val="24"/>
        </w:rPr>
      </w:pPr>
      <w:r w:rsidRPr="00DB0C37">
        <w:rPr>
          <w:rFonts w:ascii="Arial" w:hAnsi="Arial" w:cs="Arial"/>
          <w:sz w:val="20"/>
          <w:szCs w:val="20"/>
        </w:rPr>
        <w:t xml:space="preserve">Mit einer </w:t>
      </w:r>
      <w:r>
        <w:rPr>
          <w:rFonts w:ascii="Arial" w:hAnsi="Arial" w:cs="Arial"/>
          <w:sz w:val="20"/>
          <w:szCs w:val="20"/>
        </w:rPr>
        <w:t>Q</w:t>
      </w:r>
      <w:r w:rsidRPr="00DB0C37">
        <w:rPr>
          <w:rFonts w:ascii="Arial" w:hAnsi="Arial" w:cs="Arial"/>
          <w:sz w:val="20"/>
          <w:szCs w:val="20"/>
        </w:rPr>
        <w:t xml:space="preserve">uote von nur noch 1,9 % erreicht der Stuttgarter Büromarkt </w:t>
      </w:r>
      <w:r>
        <w:rPr>
          <w:rFonts w:ascii="Arial" w:hAnsi="Arial" w:cs="Arial"/>
          <w:sz w:val="20"/>
          <w:szCs w:val="20"/>
        </w:rPr>
        <w:t>einen kritischen Leerstand</w:t>
      </w:r>
      <w:r w:rsidRPr="00DB0C37">
        <w:rPr>
          <w:rFonts w:ascii="Arial" w:hAnsi="Arial" w:cs="Arial"/>
          <w:sz w:val="20"/>
          <w:szCs w:val="20"/>
        </w:rPr>
        <w:t>. Die Fertigstellungen in den kommenden zwei Jahren tragen zu keiner wesentlichen Entspannung bei.  82 % der in 2020 voraussichtlich auf den Markt kommenden Neubauflächen sind bereits an Nutzer vergeben</w:t>
      </w:r>
      <w:r w:rsidR="005A1563">
        <w:rPr>
          <w:rFonts w:ascii="Arial" w:hAnsi="Arial" w:cs="Arial"/>
          <w:sz w:val="20"/>
          <w:szCs w:val="20"/>
        </w:rPr>
        <w:t>.</w:t>
      </w:r>
    </w:p>
    <w:p w14:paraId="0C9EABD1" w14:textId="39E9A67F" w:rsidR="001E5092" w:rsidRPr="007F25AB" w:rsidRDefault="00DB0C37" w:rsidP="002C2CAD">
      <w:pPr>
        <w:pStyle w:val="Listenabsatz"/>
        <w:numPr>
          <w:ilvl w:val="0"/>
          <w:numId w:val="5"/>
        </w:numPr>
        <w:spacing w:after="0" w:line="240" w:lineRule="auto"/>
        <w:jc w:val="both"/>
        <w:rPr>
          <w:rFonts w:ascii="Arial" w:hAnsi="Arial" w:cs="Arial"/>
          <w:b/>
          <w:bCs/>
          <w:caps/>
          <w:sz w:val="24"/>
          <w:szCs w:val="24"/>
        </w:rPr>
      </w:pPr>
      <w:r w:rsidRPr="008248E2">
        <w:rPr>
          <w:rFonts w:ascii="Arial" w:hAnsi="Arial" w:cs="Arial"/>
          <w:sz w:val="20"/>
          <w:szCs w:val="20"/>
        </w:rPr>
        <w:t xml:space="preserve">Prognose für 2020: Ein weiterer Anstieg der Spitzenmiete ist aufgrund ausbleibender </w:t>
      </w:r>
      <w:r w:rsidR="001E5092" w:rsidRPr="008248E2">
        <w:rPr>
          <w:rFonts w:ascii="Arial" w:hAnsi="Arial" w:cs="Arial"/>
          <w:sz w:val="20"/>
          <w:szCs w:val="20"/>
        </w:rPr>
        <w:t>F</w:t>
      </w:r>
      <w:r w:rsidRPr="008248E2">
        <w:rPr>
          <w:rFonts w:ascii="Arial" w:hAnsi="Arial" w:cs="Arial"/>
          <w:sz w:val="20"/>
          <w:szCs w:val="20"/>
        </w:rPr>
        <w:t>ertigstellungen in der City kurzfristig nicht zu erwarten. Allerdings wird die Durchschnittsmiete vermutlich weiter ansteigen, da Bestandsflächen bei Nachvermietungen in der Regel deutlich teurer auf den Markt gebracht werden und die Preise für Neubauflächen in den Randlagen steigen.</w:t>
      </w:r>
    </w:p>
    <w:p w14:paraId="53A534B2" w14:textId="77777777" w:rsidR="007F25AB" w:rsidRPr="007F25AB" w:rsidRDefault="007F25AB" w:rsidP="007F25AB">
      <w:pPr>
        <w:pStyle w:val="Listenabsatz"/>
        <w:spacing w:after="0" w:line="240" w:lineRule="auto"/>
        <w:ind w:left="360"/>
        <w:jc w:val="both"/>
        <w:rPr>
          <w:rFonts w:ascii="Arial" w:hAnsi="Arial" w:cs="Arial"/>
          <w:b/>
          <w:bCs/>
          <w:caps/>
          <w:sz w:val="24"/>
          <w:szCs w:val="24"/>
        </w:rPr>
      </w:pPr>
    </w:p>
    <w:p w14:paraId="27760F61" w14:textId="77777777" w:rsidR="007F25AB" w:rsidRPr="004D02F0" w:rsidRDefault="007F25AB" w:rsidP="007F25AB">
      <w:pPr>
        <w:spacing w:after="0" w:line="240" w:lineRule="auto"/>
        <w:jc w:val="both"/>
        <w:rPr>
          <w:rFonts w:ascii="Arial" w:hAnsi="Arial" w:cs="Arial"/>
          <w:b/>
          <w:bCs/>
          <w:caps/>
          <w:sz w:val="24"/>
          <w:szCs w:val="24"/>
        </w:rPr>
      </w:pPr>
      <w:r w:rsidRPr="004D02F0">
        <w:rPr>
          <w:rFonts w:ascii="Arial" w:hAnsi="Arial" w:cs="Arial"/>
          <w:b/>
          <w:bCs/>
          <w:caps/>
          <w:sz w:val="24"/>
          <w:szCs w:val="24"/>
        </w:rPr>
        <w:t xml:space="preserve">DÜSSELDORF </w:t>
      </w:r>
      <w:r w:rsidRPr="004D02F0">
        <w:rPr>
          <w:rFonts w:ascii="Arial" w:hAnsi="Arial" w:cs="Arial"/>
          <w:b/>
          <w:bCs/>
          <w:sz w:val="24"/>
          <w:szCs w:val="24"/>
        </w:rPr>
        <w:t>| Anteon</w:t>
      </w:r>
    </w:p>
    <w:p w14:paraId="7738C2AB" w14:textId="419A67E1" w:rsidR="007F25AB" w:rsidRDefault="007F25AB" w:rsidP="007F25AB">
      <w:pPr>
        <w:pStyle w:val="Listenabsatz"/>
        <w:numPr>
          <w:ilvl w:val="0"/>
          <w:numId w:val="5"/>
        </w:numPr>
        <w:spacing w:after="0" w:line="240" w:lineRule="auto"/>
        <w:jc w:val="both"/>
        <w:rPr>
          <w:rFonts w:ascii="Arial" w:hAnsi="Arial" w:cs="Arial"/>
          <w:sz w:val="20"/>
          <w:szCs w:val="20"/>
        </w:rPr>
      </w:pPr>
      <w:bookmarkStart w:id="5" w:name="_Hlk28873077"/>
      <w:r>
        <w:rPr>
          <w:rFonts w:ascii="Arial" w:hAnsi="Arial" w:cs="Arial"/>
          <w:sz w:val="20"/>
          <w:szCs w:val="20"/>
        </w:rPr>
        <w:t xml:space="preserve">Auch der Düsseldorfer Büromarkt schließt mit einem </w:t>
      </w:r>
      <w:r w:rsidRPr="00074775">
        <w:rPr>
          <w:rFonts w:ascii="Arial" w:hAnsi="Arial" w:cs="Arial"/>
          <w:sz w:val="20"/>
          <w:szCs w:val="20"/>
        </w:rPr>
        <w:t>Rekordergebnis</w:t>
      </w:r>
      <w:r>
        <w:rPr>
          <w:rFonts w:ascii="Arial" w:hAnsi="Arial" w:cs="Arial"/>
          <w:sz w:val="20"/>
          <w:szCs w:val="20"/>
        </w:rPr>
        <w:t xml:space="preserve"> ab</w:t>
      </w:r>
      <w:r w:rsidRPr="00074775">
        <w:rPr>
          <w:rFonts w:ascii="Arial" w:hAnsi="Arial" w:cs="Arial"/>
          <w:sz w:val="20"/>
          <w:szCs w:val="20"/>
        </w:rPr>
        <w:t xml:space="preserve">: Mit einem Flächenumsatz von 461.000 m² wurde das bisherige Allzeitrekordergebnis in Höhe von 436.000 m² aus dem Jahr 2007 </w:t>
      </w:r>
      <w:r w:rsidR="00AE0E51">
        <w:rPr>
          <w:rFonts w:ascii="Arial" w:hAnsi="Arial" w:cs="Arial"/>
          <w:sz w:val="20"/>
          <w:szCs w:val="20"/>
        </w:rPr>
        <w:t>um</w:t>
      </w:r>
      <w:r w:rsidRPr="00074775">
        <w:rPr>
          <w:rFonts w:ascii="Arial" w:hAnsi="Arial" w:cs="Arial"/>
          <w:sz w:val="20"/>
          <w:szCs w:val="20"/>
        </w:rPr>
        <w:t xml:space="preserve"> ca. 25.000 m² übertroffen. </w:t>
      </w:r>
    </w:p>
    <w:bookmarkEnd w:id="5"/>
    <w:p w14:paraId="5791106F" w14:textId="77777777" w:rsidR="007F25AB" w:rsidRPr="00A95B69" w:rsidRDefault="007F25AB" w:rsidP="007F25AB">
      <w:pPr>
        <w:pStyle w:val="Listenabsatz"/>
        <w:numPr>
          <w:ilvl w:val="0"/>
          <w:numId w:val="5"/>
        </w:numPr>
        <w:spacing w:after="0" w:line="240" w:lineRule="auto"/>
        <w:jc w:val="both"/>
        <w:rPr>
          <w:rFonts w:ascii="Arial" w:hAnsi="Arial" w:cs="Arial"/>
          <w:sz w:val="20"/>
          <w:szCs w:val="20"/>
        </w:rPr>
      </w:pPr>
      <w:r w:rsidRPr="00A95B69">
        <w:rPr>
          <w:rFonts w:ascii="Arial" w:hAnsi="Arial" w:cs="Arial"/>
          <w:sz w:val="20"/>
          <w:szCs w:val="20"/>
        </w:rPr>
        <w:t xml:space="preserve">Die Spitzenmiete stieg 2019 auf 28,50 €/m²/Monat (+4 %) und wird im CBD erzielt. Die Durchschnittsmiete erreicht aktuell 16,60 €/m²/Monat (+3 %).  Während Mieter Kompromisse eingehen müssen und immer seltener Incentives angeboten bekommen, profitieren dezentrale Standorte von der aktuellen Marktsituation. </w:t>
      </w:r>
    </w:p>
    <w:p w14:paraId="56A20521" w14:textId="77777777" w:rsidR="007F25AB" w:rsidRDefault="007F25AB" w:rsidP="007F25AB">
      <w:pPr>
        <w:pStyle w:val="Listenabsatz"/>
        <w:numPr>
          <w:ilvl w:val="0"/>
          <w:numId w:val="5"/>
        </w:numPr>
        <w:spacing w:after="0" w:line="240" w:lineRule="auto"/>
        <w:jc w:val="both"/>
        <w:rPr>
          <w:rFonts w:ascii="Arial" w:hAnsi="Arial" w:cs="Arial"/>
          <w:sz w:val="20"/>
          <w:szCs w:val="20"/>
        </w:rPr>
      </w:pPr>
      <w:r>
        <w:rPr>
          <w:rFonts w:ascii="Arial" w:hAnsi="Arial" w:cs="Arial"/>
          <w:sz w:val="20"/>
          <w:szCs w:val="20"/>
        </w:rPr>
        <w:t>Die Nachfrage ist weiterhin hoch, das Angebot aber nimmt zunehmend ab: Die Leerstandsquote sinkt im Vergleich zum Vorjahr von 7,6 % auf 7,1 %. Vor allem große Nutzer mit Gesuchen über 20.000 m² haben nur noch sehr wenige Alternativen, die geprüft werden können. Das gilt vor allem für Flächen im CBD. Ansonsten gibt es aber am Düsseldorfer Büromarkt keinen Grund zur Sorge.</w:t>
      </w:r>
    </w:p>
    <w:p w14:paraId="7D855D45" w14:textId="25E4D3E7" w:rsidR="007F25AB" w:rsidRPr="007F25AB" w:rsidRDefault="007F25AB" w:rsidP="007F25AB">
      <w:pPr>
        <w:pStyle w:val="Listenabsatz"/>
        <w:numPr>
          <w:ilvl w:val="0"/>
          <w:numId w:val="5"/>
        </w:numPr>
        <w:spacing w:after="0" w:line="240" w:lineRule="auto"/>
        <w:jc w:val="both"/>
        <w:rPr>
          <w:rFonts w:ascii="Arial" w:hAnsi="Arial" w:cs="Arial"/>
          <w:sz w:val="20"/>
          <w:szCs w:val="20"/>
        </w:rPr>
      </w:pPr>
      <w:r w:rsidRPr="007F25AB">
        <w:rPr>
          <w:rFonts w:ascii="Arial" w:hAnsi="Arial" w:cs="Arial"/>
          <w:sz w:val="20"/>
          <w:szCs w:val="20"/>
        </w:rPr>
        <w:t>Prognose für 2020: Das erste Quartal des neuen Jahres könnte sehr schwungvoll verlaufen. Viele Großgesuche könnten abgeschlossen werden, der Flächenumsatz in den ersten drei Monaten 2020 auf mehr als 100.000 m² klettern. Der Leerstand wird sich moderat verringern, die Mietpreise könnten deshalb etwas steigen.</w:t>
      </w:r>
    </w:p>
    <w:p w14:paraId="0D7F4A01" w14:textId="679054ED" w:rsidR="008B57EF" w:rsidRPr="00DB0C37" w:rsidRDefault="00DB0C37" w:rsidP="00DB0C37">
      <w:pPr>
        <w:pStyle w:val="Listenabsatz"/>
        <w:spacing w:after="0" w:line="240" w:lineRule="auto"/>
        <w:ind w:left="360"/>
        <w:jc w:val="both"/>
        <w:rPr>
          <w:rFonts w:ascii="Arial" w:hAnsi="Arial" w:cs="Arial"/>
          <w:b/>
          <w:bCs/>
          <w:caps/>
          <w:sz w:val="24"/>
          <w:szCs w:val="24"/>
        </w:rPr>
      </w:pPr>
      <w:r w:rsidRPr="00DB0C37">
        <w:rPr>
          <w:rFonts w:ascii="Arial" w:hAnsi="Arial" w:cs="Arial"/>
          <w:sz w:val="20"/>
          <w:szCs w:val="20"/>
        </w:rPr>
        <w:tab/>
      </w:r>
      <w:r w:rsidRPr="00DB0C37">
        <w:rPr>
          <w:rFonts w:ascii="Arial" w:hAnsi="Arial" w:cs="Arial"/>
          <w:sz w:val="20"/>
          <w:szCs w:val="20"/>
        </w:rPr>
        <w:tab/>
      </w:r>
    </w:p>
    <w:p w14:paraId="4915AE6E" w14:textId="77777777" w:rsidR="008B57EF" w:rsidRPr="004D02F0" w:rsidRDefault="008B57EF" w:rsidP="008B57EF">
      <w:pPr>
        <w:spacing w:after="0" w:line="240" w:lineRule="auto"/>
        <w:jc w:val="both"/>
        <w:rPr>
          <w:rFonts w:ascii="Arial" w:hAnsi="Arial" w:cs="Arial"/>
          <w:b/>
          <w:bCs/>
          <w:caps/>
          <w:sz w:val="24"/>
          <w:szCs w:val="24"/>
        </w:rPr>
      </w:pPr>
      <w:r w:rsidRPr="004D02F0">
        <w:rPr>
          <w:rFonts w:ascii="Arial" w:hAnsi="Arial" w:cs="Arial"/>
          <w:b/>
          <w:bCs/>
          <w:caps/>
          <w:sz w:val="24"/>
          <w:szCs w:val="24"/>
        </w:rPr>
        <w:t xml:space="preserve">BERLIN | </w:t>
      </w:r>
      <w:r w:rsidRPr="004D02F0">
        <w:rPr>
          <w:rFonts w:ascii="Arial" w:hAnsi="Arial" w:cs="Arial"/>
          <w:b/>
          <w:bCs/>
          <w:sz w:val="24"/>
          <w:szCs w:val="24"/>
        </w:rPr>
        <w:t>Grossmann &amp; Berger</w:t>
      </w:r>
    </w:p>
    <w:p w14:paraId="7FA873E0" w14:textId="0EAAF1DD" w:rsidR="000644F1" w:rsidRDefault="000644F1" w:rsidP="008B57EF">
      <w:pPr>
        <w:pStyle w:val="Listenabsatz"/>
        <w:numPr>
          <w:ilvl w:val="0"/>
          <w:numId w:val="5"/>
        </w:numPr>
        <w:spacing w:after="0" w:line="240" w:lineRule="auto"/>
        <w:jc w:val="both"/>
        <w:rPr>
          <w:rFonts w:ascii="Arial" w:hAnsi="Arial" w:cs="Arial"/>
          <w:sz w:val="20"/>
          <w:szCs w:val="20"/>
        </w:rPr>
      </w:pPr>
      <w:r>
        <w:rPr>
          <w:rFonts w:ascii="Arial" w:hAnsi="Arial" w:cs="Arial"/>
          <w:sz w:val="20"/>
          <w:szCs w:val="20"/>
        </w:rPr>
        <w:t xml:space="preserve">Die Bundeshauptstadt erreichte 2019 </w:t>
      </w:r>
      <w:r w:rsidR="001E5092">
        <w:rPr>
          <w:rFonts w:ascii="Arial" w:hAnsi="Arial" w:cs="Arial"/>
          <w:sz w:val="20"/>
          <w:szCs w:val="20"/>
        </w:rPr>
        <w:t>einen</w:t>
      </w:r>
      <w:r>
        <w:rPr>
          <w:rFonts w:ascii="Arial" w:hAnsi="Arial" w:cs="Arial"/>
          <w:sz w:val="20"/>
          <w:szCs w:val="20"/>
        </w:rPr>
        <w:t xml:space="preserve"> Rekord beim Flächenumsatz: 910.000</w:t>
      </w:r>
      <w:r w:rsidR="00DF45D2">
        <w:rPr>
          <w:rFonts w:ascii="Arial" w:hAnsi="Arial" w:cs="Arial"/>
          <w:sz w:val="20"/>
          <w:szCs w:val="20"/>
        </w:rPr>
        <w:t xml:space="preserve"> m². Das sind 9 % mehr als im bereits starken Vorjahr. Die stärkste Branche stellten Unternehmen aus dem Bereich Information/Telekommunikation mit einem Anteil von 25,5 %. </w:t>
      </w:r>
    </w:p>
    <w:p w14:paraId="03073F01" w14:textId="53D5806A" w:rsidR="008B57EF" w:rsidRDefault="00DF45D2" w:rsidP="008B57EF">
      <w:pPr>
        <w:pStyle w:val="Listenabsatz"/>
        <w:numPr>
          <w:ilvl w:val="0"/>
          <w:numId w:val="5"/>
        </w:numPr>
        <w:spacing w:after="0" w:line="240" w:lineRule="auto"/>
        <w:jc w:val="both"/>
        <w:rPr>
          <w:rFonts w:ascii="Arial" w:hAnsi="Arial" w:cs="Arial"/>
          <w:sz w:val="20"/>
          <w:szCs w:val="20"/>
        </w:rPr>
      </w:pPr>
      <w:r>
        <w:rPr>
          <w:rFonts w:ascii="Arial" w:hAnsi="Arial" w:cs="Arial"/>
          <w:sz w:val="20"/>
          <w:szCs w:val="20"/>
        </w:rPr>
        <w:t>38 % der Anmietungen erfolgten – aufgrund des Mangels an Flächen in Bestandsobjekten – in Projekten, die noch im Bau oder sogar der Planungsphase sind.</w:t>
      </w:r>
    </w:p>
    <w:p w14:paraId="40AC48C9" w14:textId="20F3F736" w:rsidR="00DF45D2" w:rsidRDefault="003E5170" w:rsidP="008B57EF">
      <w:pPr>
        <w:pStyle w:val="Listenabsatz"/>
        <w:numPr>
          <w:ilvl w:val="0"/>
          <w:numId w:val="5"/>
        </w:numPr>
        <w:spacing w:after="0" w:line="240" w:lineRule="auto"/>
        <w:jc w:val="both"/>
        <w:rPr>
          <w:rFonts w:ascii="Arial" w:hAnsi="Arial" w:cs="Arial"/>
          <w:sz w:val="20"/>
          <w:szCs w:val="20"/>
        </w:rPr>
      </w:pPr>
      <w:r>
        <w:rPr>
          <w:rFonts w:ascii="Arial" w:hAnsi="Arial" w:cs="Arial"/>
          <w:sz w:val="20"/>
          <w:szCs w:val="20"/>
        </w:rPr>
        <w:t>Das Mietpreiswachstum schreitet in Berlin weiter rasant voran: Die Durchschnittsmiete erreichte 2019 einen neuen Rekordwert mit 27,60 €/m²/Monat, macht ein Plus von 30 % im Vergleich zu 2018 (21,30 €/m²/Monat). Die Spitzenmiete lag mit 38,50 €/m²/Monat rund fünf Euro über dem Wert von vor einem Jahr (+15 %).</w:t>
      </w:r>
    </w:p>
    <w:p w14:paraId="24398D8B" w14:textId="4F0D6F2B" w:rsidR="003E5170" w:rsidRDefault="003E5170" w:rsidP="003E5170">
      <w:pPr>
        <w:pStyle w:val="Listenabsatz"/>
        <w:numPr>
          <w:ilvl w:val="0"/>
          <w:numId w:val="5"/>
        </w:numPr>
        <w:spacing w:after="0" w:line="240" w:lineRule="auto"/>
        <w:jc w:val="both"/>
        <w:rPr>
          <w:rFonts w:ascii="Arial" w:hAnsi="Arial" w:cs="Arial"/>
          <w:sz w:val="20"/>
          <w:szCs w:val="20"/>
        </w:rPr>
      </w:pPr>
      <w:r>
        <w:rPr>
          <w:rFonts w:ascii="Arial" w:hAnsi="Arial" w:cs="Arial"/>
          <w:sz w:val="20"/>
          <w:szCs w:val="20"/>
        </w:rPr>
        <w:lastRenderedPageBreak/>
        <w:t xml:space="preserve">Der Leerstand ist auf ein Rekordtief von 1,2 % gefallen, liegt damit 0,6 Prozentpunkte unter dem Wert von 2018. </w:t>
      </w:r>
    </w:p>
    <w:p w14:paraId="464B41AA" w14:textId="0E8DE6AE" w:rsidR="007F25AB" w:rsidRDefault="003E5170" w:rsidP="007F25AB">
      <w:pPr>
        <w:pStyle w:val="Listenabsatz"/>
        <w:numPr>
          <w:ilvl w:val="0"/>
          <w:numId w:val="5"/>
        </w:numPr>
        <w:spacing w:after="0" w:line="240" w:lineRule="auto"/>
        <w:jc w:val="both"/>
        <w:rPr>
          <w:rFonts w:ascii="Arial" w:hAnsi="Arial" w:cs="Arial"/>
          <w:sz w:val="20"/>
          <w:szCs w:val="20"/>
        </w:rPr>
      </w:pPr>
      <w:r w:rsidRPr="003E5170">
        <w:rPr>
          <w:rFonts w:ascii="Arial" w:hAnsi="Arial" w:cs="Arial"/>
          <w:sz w:val="20"/>
          <w:szCs w:val="20"/>
        </w:rPr>
        <w:t xml:space="preserve">Prognose für 2020: Entspannung ist auf dem Berliner Büromarkt </w:t>
      </w:r>
      <w:r w:rsidR="0078118F">
        <w:rPr>
          <w:rFonts w:ascii="Arial" w:hAnsi="Arial" w:cs="Arial"/>
          <w:sz w:val="20"/>
          <w:szCs w:val="20"/>
        </w:rPr>
        <w:t xml:space="preserve">wahrscheinlich </w:t>
      </w:r>
      <w:r w:rsidRPr="003E5170">
        <w:rPr>
          <w:rFonts w:ascii="Arial" w:hAnsi="Arial" w:cs="Arial"/>
          <w:sz w:val="20"/>
          <w:szCs w:val="20"/>
        </w:rPr>
        <w:t>erst ab Ende 2021/Anfang 2022 zu erwarten. Dann steigen die Fertigstellungs</w:t>
      </w:r>
      <w:r w:rsidR="00AE0E51">
        <w:rPr>
          <w:rFonts w:ascii="Arial" w:hAnsi="Arial" w:cs="Arial"/>
          <w:sz w:val="20"/>
          <w:szCs w:val="20"/>
        </w:rPr>
        <w:t>zahlen</w:t>
      </w:r>
      <w:bookmarkStart w:id="6" w:name="_GoBack"/>
      <w:bookmarkEnd w:id="6"/>
      <w:r w:rsidRPr="003E5170">
        <w:rPr>
          <w:rFonts w:ascii="Arial" w:hAnsi="Arial" w:cs="Arial"/>
          <w:sz w:val="20"/>
          <w:szCs w:val="20"/>
        </w:rPr>
        <w:t xml:space="preserve"> deutlich und es kann wieder von einem Leerstand in relevanter Größenordnung gesprochen werden.</w:t>
      </w:r>
      <w:r>
        <w:rPr>
          <w:rFonts w:ascii="Arial" w:hAnsi="Arial" w:cs="Arial"/>
          <w:sz w:val="20"/>
          <w:szCs w:val="20"/>
        </w:rPr>
        <w:t xml:space="preserve"> </w:t>
      </w:r>
      <w:r w:rsidRPr="003E5170">
        <w:rPr>
          <w:rFonts w:ascii="Arial" w:hAnsi="Arial" w:cs="Arial"/>
          <w:sz w:val="20"/>
          <w:szCs w:val="20"/>
        </w:rPr>
        <w:t>Für 2020 ist von einem</w:t>
      </w:r>
      <w:r w:rsidR="001E5092">
        <w:rPr>
          <w:rFonts w:ascii="Arial" w:hAnsi="Arial" w:cs="Arial"/>
          <w:sz w:val="20"/>
          <w:szCs w:val="20"/>
        </w:rPr>
        <w:t xml:space="preserve"> starken, aber</w:t>
      </w:r>
      <w:r w:rsidRPr="003E5170">
        <w:rPr>
          <w:rFonts w:ascii="Arial" w:hAnsi="Arial" w:cs="Arial"/>
          <w:sz w:val="20"/>
          <w:szCs w:val="20"/>
        </w:rPr>
        <w:t xml:space="preserve"> leicht abgeschwächten Flächenumsatz</w:t>
      </w:r>
      <w:r w:rsidR="001E5092">
        <w:rPr>
          <w:rFonts w:ascii="Arial" w:hAnsi="Arial" w:cs="Arial"/>
          <w:sz w:val="20"/>
          <w:szCs w:val="20"/>
        </w:rPr>
        <w:t xml:space="preserve"> auszugehen</w:t>
      </w:r>
      <w:r w:rsidRPr="003E5170">
        <w:rPr>
          <w:rFonts w:ascii="Arial" w:hAnsi="Arial" w:cs="Arial"/>
          <w:sz w:val="20"/>
          <w:szCs w:val="20"/>
        </w:rPr>
        <w:t>. Im Laufe des kommenden Jahres wir</w:t>
      </w:r>
      <w:r w:rsidR="001E5092">
        <w:rPr>
          <w:rFonts w:ascii="Arial" w:hAnsi="Arial" w:cs="Arial"/>
          <w:sz w:val="20"/>
          <w:szCs w:val="20"/>
        </w:rPr>
        <w:t>d</w:t>
      </w:r>
      <w:r w:rsidRPr="003E5170">
        <w:rPr>
          <w:rFonts w:ascii="Arial" w:hAnsi="Arial" w:cs="Arial"/>
          <w:sz w:val="20"/>
          <w:szCs w:val="20"/>
        </w:rPr>
        <w:t xml:space="preserve"> die Spitzenmiete voraussichtlich die Marke von 40,00 €/m²</w:t>
      </w:r>
      <w:r w:rsidR="009939C6">
        <w:rPr>
          <w:rFonts w:ascii="Arial" w:hAnsi="Arial" w:cs="Arial"/>
          <w:sz w:val="20"/>
          <w:szCs w:val="20"/>
        </w:rPr>
        <w:t>/Monat</w:t>
      </w:r>
      <w:r w:rsidRPr="003E5170">
        <w:rPr>
          <w:rFonts w:ascii="Arial" w:hAnsi="Arial" w:cs="Arial"/>
          <w:sz w:val="20"/>
          <w:szCs w:val="20"/>
        </w:rPr>
        <w:t xml:space="preserve"> überschreiten.</w:t>
      </w:r>
    </w:p>
    <w:p w14:paraId="0F01432C" w14:textId="77777777" w:rsidR="007F25AB" w:rsidRDefault="007F25AB" w:rsidP="007F25AB">
      <w:pPr>
        <w:spacing w:after="0" w:line="240" w:lineRule="auto"/>
        <w:jc w:val="both"/>
        <w:rPr>
          <w:rFonts w:ascii="Arial" w:hAnsi="Arial" w:cs="Arial"/>
          <w:sz w:val="20"/>
          <w:szCs w:val="20"/>
        </w:rPr>
      </w:pPr>
    </w:p>
    <w:p w14:paraId="3E7AB485" w14:textId="77777777" w:rsidR="007F25AB" w:rsidRDefault="007F25AB" w:rsidP="007F25AB">
      <w:pPr>
        <w:spacing w:after="0" w:line="240" w:lineRule="auto"/>
        <w:jc w:val="both"/>
        <w:rPr>
          <w:rFonts w:ascii="Arial" w:hAnsi="Arial" w:cs="Arial"/>
          <w:b/>
          <w:bCs/>
          <w:sz w:val="24"/>
          <w:szCs w:val="24"/>
        </w:rPr>
      </w:pPr>
      <w:r>
        <w:rPr>
          <w:rFonts w:ascii="Arial" w:hAnsi="Arial" w:cs="Arial"/>
          <w:b/>
          <w:bCs/>
          <w:caps/>
          <w:sz w:val="24"/>
          <w:szCs w:val="24"/>
        </w:rPr>
        <w:t xml:space="preserve">KÖLN | </w:t>
      </w:r>
      <w:r>
        <w:rPr>
          <w:rFonts w:ascii="Arial" w:hAnsi="Arial" w:cs="Arial"/>
          <w:b/>
          <w:bCs/>
          <w:sz w:val="24"/>
          <w:szCs w:val="24"/>
        </w:rPr>
        <w:t>GREIF &amp; CONTZEN Immobilien</w:t>
      </w:r>
    </w:p>
    <w:p w14:paraId="046C1B60" w14:textId="77777777" w:rsidR="007F25AB" w:rsidRPr="004E304A" w:rsidRDefault="007F25AB" w:rsidP="007F25AB">
      <w:pPr>
        <w:pStyle w:val="Listenabsatz"/>
        <w:numPr>
          <w:ilvl w:val="0"/>
          <w:numId w:val="5"/>
        </w:numPr>
        <w:spacing w:after="0" w:line="240" w:lineRule="auto"/>
        <w:jc w:val="both"/>
        <w:rPr>
          <w:rFonts w:ascii="Arial" w:hAnsi="Arial" w:cs="Arial"/>
          <w:sz w:val="20"/>
          <w:szCs w:val="20"/>
        </w:rPr>
      </w:pPr>
      <w:r w:rsidRPr="004E304A">
        <w:rPr>
          <w:rFonts w:ascii="Arial" w:hAnsi="Arial" w:cs="Arial"/>
          <w:sz w:val="20"/>
          <w:szCs w:val="20"/>
        </w:rPr>
        <w:t xml:space="preserve">2019 wurde in Köln ein Büroflächenumsatz von etwa 290.000 m² realisiert. Zwar war der Flächenumsatz 2018 mit etwa 310.000 m² rund 6,5 % höher, dennoch liegt weiterhin eine gute Flächennachfrage vor. </w:t>
      </w:r>
    </w:p>
    <w:p w14:paraId="4262E92C" w14:textId="77777777" w:rsidR="007F25AB" w:rsidRPr="001E5092" w:rsidRDefault="007F25AB" w:rsidP="007F25AB">
      <w:pPr>
        <w:pStyle w:val="Listenabsatz"/>
        <w:numPr>
          <w:ilvl w:val="0"/>
          <w:numId w:val="5"/>
        </w:numPr>
        <w:spacing w:after="0" w:line="240" w:lineRule="auto"/>
        <w:jc w:val="both"/>
        <w:rPr>
          <w:sz w:val="20"/>
          <w:szCs w:val="20"/>
        </w:rPr>
      </w:pPr>
      <w:r w:rsidRPr="001E5092">
        <w:rPr>
          <w:rFonts w:ascii="Arial" w:hAnsi="Arial" w:cs="Arial"/>
          <w:sz w:val="20"/>
          <w:szCs w:val="20"/>
        </w:rPr>
        <w:t>Der Flächenleerstand ist 2019 auf 185.000 m²</w:t>
      </w:r>
      <w:r>
        <w:rPr>
          <w:rFonts w:ascii="Arial" w:hAnsi="Arial" w:cs="Arial"/>
          <w:sz w:val="20"/>
          <w:szCs w:val="20"/>
        </w:rPr>
        <w:t xml:space="preserve"> </w:t>
      </w:r>
      <w:r w:rsidRPr="001E5092">
        <w:rPr>
          <w:rFonts w:ascii="Arial" w:hAnsi="Arial" w:cs="Arial"/>
          <w:sz w:val="20"/>
          <w:szCs w:val="20"/>
        </w:rPr>
        <w:t xml:space="preserve">gesunken. Nur in Einzelfällen sind Bestandsflächen mit mehr als 5.000 m² anmietbar. </w:t>
      </w:r>
    </w:p>
    <w:p w14:paraId="679818C5" w14:textId="77777777" w:rsidR="007F25AB" w:rsidRDefault="007F25AB" w:rsidP="007F25AB">
      <w:pPr>
        <w:pStyle w:val="Listenabsatz"/>
        <w:numPr>
          <w:ilvl w:val="0"/>
          <w:numId w:val="5"/>
        </w:numPr>
        <w:spacing w:after="0" w:line="240" w:lineRule="auto"/>
        <w:jc w:val="both"/>
        <w:rPr>
          <w:rFonts w:ascii="Arial" w:hAnsi="Arial" w:cs="Arial"/>
          <w:sz w:val="20"/>
          <w:szCs w:val="20"/>
        </w:rPr>
      </w:pPr>
      <w:r w:rsidRPr="004E304A">
        <w:rPr>
          <w:rFonts w:ascii="Arial" w:hAnsi="Arial" w:cs="Arial"/>
          <w:sz w:val="20"/>
          <w:szCs w:val="20"/>
        </w:rPr>
        <w:t>Mit dem erneuten Absinken des Flächenleerstands sind gleichzeitig die Preisvorstellungen der Anbieter deutlich gestiegen. Zudem wurde ein hoher Anteil des Flächenumsatzes in Projektierungen realisiert. Entsprechend entwickelten sich die Büromieten sehr dynamisch. Die Spitzenmiete ist von 23,00 €/m²</w:t>
      </w:r>
      <w:r>
        <w:rPr>
          <w:rFonts w:ascii="Arial" w:hAnsi="Arial" w:cs="Arial"/>
          <w:sz w:val="20"/>
          <w:szCs w:val="20"/>
        </w:rPr>
        <w:t xml:space="preserve">/Monat </w:t>
      </w:r>
      <w:r w:rsidRPr="004E304A">
        <w:rPr>
          <w:rFonts w:ascii="Arial" w:hAnsi="Arial" w:cs="Arial"/>
          <w:sz w:val="20"/>
          <w:szCs w:val="20"/>
        </w:rPr>
        <w:t>auf mittlerweile etwa 26,00€/m²</w:t>
      </w:r>
      <w:r>
        <w:rPr>
          <w:rFonts w:ascii="Arial" w:hAnsi="Arial" w:cs="Arial"/>
          <w:sz w:val="20"/>
          <w:szCs w:val="20"/>
        </w:rPr>
        <w:t>/Monat gestiegen</w:t>
      </w:r>
      <w:r w:rsidRPr="004E304A">
        <w:rPr>
          <w:rFonts w:ascii="Arial" w:hAnsi="Arial" w:cs="Arial"/>
          <w:sz w:val="20"/>
          <w:szCs w:val="20"/>
        </w:rPr>
        <w:t>. Die Durchschnittsmiete stieg um 11 % auf 16,70 €/m²</w:t>
      </w:r>
      <w:r>
        <w:rPr>
          <w:rFonts w:ascii="Arial" w:hAnsi="Arial" w:cs="Arial"/>
          <w:sz w:val="20"/>
          <w:szCs w:val="20"/>
        </w:rPr>
        <w:t>/Monat</w:t>
      </w:r>
      <w:r w:rsidRPr="004E304A">
        <w:rPr>
          <w:rFonts w:ascii="Arial" w:hAnsi="Arial" w:cs="Arial"/>
          <w:sz w:val="20"/>
          <w:szCs w:val="20"/>
        </w:rPr>
        <w:t>.</w:t>
      </w:r>
    </w:p>
    <w:p w14:paraId="1978C2B6" w14:textId="0DA83ABE" w:rsidR="001E5092" w:rsidRPr="007F25AB" w:rsidRDefault="007F25AB" w:rsidP="007F25AB">
      <w:pPr>
        <w:pStyle w:val="Listenabsatz"/>
        <w:numPr>
          <w:ilvl w:val="0"/>
          <w:numId w:val="5"/>
        </w:numPr>
        <w:spacing w:after="0" w:line="240" w:lineRule="auto"/>
        <w:jc w:val="both"/>
        <w:rPr>
          <w:rFonts w:ascii="Arial" w:hAnsi="Arial" w:cs="Arial"/>
          <w:sz w:val="20"/>
          <w:szCs w:val="20"/>
        </w:rPr>
      </w:pPr>
      <w:r w:rsidRPr="004E304A">
        <w:rPr>
          <w:rFonts w:ascii="Arial" w:hAnsi="Arial" w:cs="Arial"/>
          <w:sz w:val="20"/>
          <w:szCs w:val="20"/>
        </w:rPr>
        <w:t xml:space="preserve">Prognose für 2020: Insgesamt bestehen für das neue Jahr ausgeglichene Rahmenbedingungen, sodass erneut ein Flächenumsatz im Bereich von etwa 290.000 m² wahrscheinlich ist. Größere Vertragsabschlüsse können weiterhin in Projektentwicklungen erwartet werden. In der Innenstadt sind kurzfristig verfügbare Flächen in Neubauten allerdings auf nur noch einzelne Objekte begrenzt und bieten in der Regel jeweils weniger als 4.000 m². </w:t>
      </w:r>
      <w:r>
        <w:rPr>
          <w:rFonts w:ascii="Arial" w:hAnsi="Arial" w:cs="Arial"/>
          <w:sz w:val="20"/>
          <w:szCs w:val="20"/>
        </w:rPr>
        <w:t>Für Vermieter ist die Situation günstig, sodass auch 2020 die Mietpreise steigen könnten.</w:t>
      </w:r>
      <w:bookmarkStart w:id="7" w:name="_Hlk28873134"/>
    </w:p>
    <w:bookmarkEnd w:id="7"/>
    <w:p w14:paraId="48A024C7" w14:textId="77777777" w:rsidR="00BB6DA3" w:rsidRDefault="00BB6DA3" w:rsidP="00BB6DA3">
      <w:pPr>
        <w:pStyle w:val="Listenabsatz"/>
        <w:spacing w:after="0" w:line="240" w:lineRule="auto"/>
        <w:ind w:left="360"/>
        <w:jc w:val="both"/>
        <w:rPr>
          <w:rFonts w:ascii="Arial" w:hAnsi="Arial" w:cs="Arial"/>
          <w:sz w:val="20"/>
          <w:szCs w:val="20"/>
        </w:rPr>
      </w:pPr>
    </w:p>
    <w:p w14:paraId="68EB580C" w14:textId="161DFE40" w:rsidR="008B57EF" w:rsidRDefault="008B57EF" w:rsidP="00F6402E">
      <w:pPr>
        <w:spacing w:after="0" w:line="240" w:lineRule="auto"/>
        <w:jc w:val="both"/>
        <w:rPr>
          <w:rFonts w:ascii="Arial" w:hAnsi="Arial" w:cs="Arial"/>
          <w:b/>
          <w:bCs/>
          <w:sz w:val="24"/>
          <w:szCs w:val="24"/>
        </w:rPr>
      </w:pPr>
      <w:r w:rsidRPr="004D02F0">
        <w:rPr>
          <w:rFonts w:ascii="Arial" w:hAnsi="Arial" w:cs="Arial"/>
          <w:b/>
          <w:bCs/>
          <w:caps/>
          <w:sz w:val="24"/>
          <w:szCs w:val="24"/>
        </w:rPr>
        <w:t xml:space="preserve">HAMBURG | </w:t>
      </w:r>
      <w:r w:rsidRPr="004D02F0">
        <w:rPr>
          <w:rFonts w:ascii="Arial" w:hAnsi="Arial" w:cs="Arial"/>
          <w:b/>
          <w:bCs/>
          <w:sz w:val="24"/>
          <w:szCs w:val="24"/>
        </w:rPr>
        <w:t>Grossmann &amp; Berger</w:t>
      </w:r>
    </w:p>
    <w:p w14:paraId="5258F092" w14:textId="77777777" w:rsidR="00DE6E52" w:rsidRDefault="00DE6E52" w:rsidP="00DE6E52">
      <w:pPr>
        <w:pStyle w:val="Listenabsatz"/>
        <w:numPr>
          <w:ilvl w:val="0"/>
          <w:numId w:val="9"/>
        </w:numPr>
        <w:spacing w:after="0" w:line="240" w:lineRule="auto"/>
        <w:jc w:val="both"/>
        <w:rPr>
          <w:rFonts w:ascii="Arial" w:hAnsi="Arial" w:cs="Arial"/>
          <w:sz w:val="20"/>
          <w:szCs w:val="20"/>
        </w:rPr>
      </w:pPr>
      <w:r>
        <w:rPr>
          <w:rFonts w:ascii="Arial" w:hAnsi="Arial" w:cs="Arial"/>
          <w:sz w:val="20"/>
          <w:szCs w:val="20"/>
        </w:rPr>
        <w:t>Das Vorjahresergebnis wurde in Hamburg um 8 % unterschritten. Insgesamt wurden 545.000 m² vermietet. Grund für den Rückgang ist das geringe Flächenangebot.</w:t>
      </w:r>
    </w:p>
    <w:p w14:paraId="3911FCB6" w14:textId="77777777" w:rsidR="00DE6E52" w:rsidRDefault="00DE6E52" w:rsidP="00DE6E52">
      <w:pPr>
        <w:pStyle w:val="Listenabsatz"/>
        <w:numPr>
          <w:ilvl w:val="0"/>
          <w:numId w:val="9"/>
        </w:numPr>
        <w:spacing w:after="0" w:line="240" w:lineRule="auto"/>
        <w:jc w:val="both"/>
        <w:rPr>
          <w:rFonts w:ascii="Arial" w:hAnsi="Arial" w:cs="Arial"/>
          <w:sz w:val="20"/>
          <w:szCs w:val="20"/>
        </w:rPr>
      </w:pPr>
      <w:r>
        <w:rPr>
          <w:rFonts w:ascii="Arial" w:hAnsi="Arial" w:cs="Arial"/>
          <w:sz w:val="20"/>
          <w:szCs w:val="20"/>
        </w:rPr>
        <w:t>Zum Jahresende standen dem Markt 400.400 m² zur Verfügung. Die Leerstandsquote sank von 3,5 % auf 2,9 %. In den Jahren 2020 und 2021 werden voraussichtlich 304.000 m² fertiggestellt, von denen bereits 73 % vorvermietet sind.</w:t>
      </w:r>
    </w:p>
    <w:p w14:paraId="0218ACA2" w14:textId="77777777" w:rsidR="00DE6E52" w:rsidRDefault="00DE6E52" w:rsidP="00DE6E52">
      <w:pPr>
        <w:pStyle w:val="Listenabsatz"/>
        <w:numPr>
          <w:ilvl w:val="0"/>
          <w:numId w:val="9"/>
        </w:numPr>
        <w:spacing w:after="0" w:line="240" w:lineRule="auto"/>
        <w:jc w:val="both"/>
        <w:rPr>
          <w:rFonts w:ascii="Arial" w:hAnsi="Arial" w:cs="Arial"/>
          <w:sz w:val="20"/>
          <w:szCs w:val="20"/>
        </w:rPr>
      </w:pPr>
      <w:r>
        <w:rPr>
          <w:rFonts w:ascii="Arial" w:hAnsi="Arial" w:cs="Arial"/>
          <w:sz w:val="20"/>
          <w:szCs w:val="20"/>
        </w:rPr>
        <w:t>Durch die niedrige Leerstandsquote sowie die stark gestiegenen Grundstücks- und Baukosten legte die Durchschnittsmiete in Hamburg um rund 12 % auf 17,70 €/m²/Monat zu. Die Spitzenmiete erreichte bei einem Plus von rund 7 % auf 29,50 €/m²/Monat ein neues Hoch.</w:t>
      </w:r>
    </w:p>
    <w:p w14:paraId="07A38684" w14:textId="77777777" w:rsidR="00DE6E52" w:rsidRDefault="00DE6E52" w:rsidP="00DE6E52">
      <w:pPr>
        <w:pStyle w:val="Listenabsatz"/>
        <w:numPr>
          <w:ilvl w:val="0"/>
          <w:numId w:val="9"/>
        </w:numPr>
        <w:spacing w:after="0" w:line="240" w:lineRule="auto"/>
        <w:jc w:val="both"/>
        <w:rPr>
          <w:rFonts w:ascii="Arial" w:hAnsi="Arial" w:cs="Arial"/>
          <w:sz w:val="20"/>
          <w:szCs w:val="20"/>
        </w:rPr>
      </w:pPr>
      <w:r>
        <w:rPr>
          <w:rFonts w:ascii="Arial" w:hAnsi="Arial" w:cs="Arial"/>
          <w:sz w:val="20"/>
          <w:szCs w:val="20"/>
        </w:rPr>
        <w:t xml:space="preserve">Prognose für 2020: </w:t>
      </w:r>
      <w:r>
        <w:rPr>
          <w:rFonts w:ascii="Arial" w:hAnsi="Arial" w:cs="Arial"/>
          <w:sz w:val="20"/>
          <w:szCs w:val="20"/>
        </w:rPr>
        <w:tab/>
        <w:t xml:space="preserve">Angesichts des weiter abnehmenden Flächenangebots ist von einem etwas niedrigeren Flächenumsatz im Bereich des Zehn-Jahres-Mittels von 530.000 m² auszugehen. Die Büromieten werden voraussichtlich weiter zulegen. </w:t>
      </w:r>
    </w:p>
    <w:p w14:paraId="15586B74" w14:textId="77777777" w:rsidR="007F25AB" w:rsidRPr="005106FC" w:rsidRDefault="007F25AB" w:rsidP="007F25AB">
      <w:pPr>
        <w:pStyle w:val="Listenabsatz"/>
        <w:spacing w:after="0" w:line="240" w:lineRule="auto"/>
        <w:ind w:left="360"/>
        <w:jc w:val="both"/>
        <w:rPr>
          <w:rFonts w:ascii="Arial" w:hAnsi="Arial" w:cs="Arial"/>
          <w:sz w:val="20"/>
          <w:szCs w:val="20"/>
        </w:rPr>
      </w:pPr>
    </w:p>
    <w:p w14:paraId="7C1EF24A" w14:textId="77777777" w:rsidR="007F25AB" w:rsidRPr="004D02F0" w:rsidRDefault="007F25AB" w:rsidP="007F25AB">
      <w:pPr>
        <w:spacing w:after="0" w:line="240" w:lineRule="auto"/>
        <w:jc w:val="both"/>
        <w:rPr>
          <w:rFonts w:ascii="Arial" w:hAnsi="Arial" w:cs="Arial"/>
          <w:b/>
          <w:bCs/>
          <w:caps/>
          <w:sz w:val="24"/>
          <w:szCs w:val="24"/>
        </w:rPr>
      </w:pPr>
      <w:r w:rsidRPr="004D02F0">
        <w:rPr>
          <w:rFonts w:ascii="Arial" w:hAnsi="Arial" w:cs="Arial"/>
          <w:b/>
          <w:bCs/>
          <w:caps/>
          <w:sz w:val="24"/>
          <w:szCs w:val="24"/>
        </w:rPr>
        <w:t xml:space="preserve">FRANKFURT | </w:t>
      </w:r>
      <w:r w:rsidRPr="004D02F0">
        <w:rPr>
          <w:rFonts w:ascii="Arial" w:hAnsi="Arial" w:cs="Arial"/>
          <w:b/>
          <w:bCs/>
          <w:sz w:val="24"/>
          <w:szCs w:val="24"/>
        </w:rPr>
        <w:t>blackolive</w:t>
      </w:r>
    </w:p>
    <w:p w14:paraId="4A420714" w14:textId="77777777" w:rsidR="007F25AB" w:rsidRDefault="007F25AB" w:rsidP="007F25AB">
      <w:pPr>
        <w:pStyle w:val="Listenabsatz"/>
        <w:numPr>
          <w:ilvl w:val="0"/>
          <w:numId w:val="5"/>
        </w:numPr>
        <w:spacing w:after="0" w:line="240" w:lineRule="auto"/>
        <w:jc w:val="both"/>
        <w:rPr>
          <w:rFonts w:ascii="Arial" w:hAnsi="Arial" w:cs="Arial"/>
          <w:sz w:val="20"/>
          <w:szCs w:val="20"/>
        </w:rPr>
      </w:pPr>
      <w:r w:rsidRPr="00F6402E">
        <w:rPr>
          <w:rFonts w:ascii="Arial" w:hAnsi="Arial" w:cs="Arial"/>
          <w:sz w:val="20"/>
          <w:szCs w:val="20"/>
        </w:rPr>
        <w:t>Das Rekordergebnis von 2017 konnte 2019 wie auch bereits 2018 nicht erreicht werden. Mit einem Flächenumsatz von 591.400 m² wurde jedoch ein solides Ergebnis entsprechend des Fünf-Jahres-Mittels von 587.000 m² erzielt.</w:t>
      </w:r>
    </w:p>
    <w:p w14:paraId="62167064" w14:textId="77777777" w:rsidR="007F25AB" w:rsidRDefault="007F25AB" w:rsidP="007F25AB">
      <w:pPr>
        <w:pStyle w:val="Listenabsatz"/>
        <w:numPr>
          <w:ilvl w:val="0"/>
          <w:numId w:val="5"/>
        </w:numPr>
        <w:spacing w:after="0" w:line="240" w:lineRule="auto"/>
        <w:jc w:val="both"/>
        <w:rPr>
          <w:rFonts w:ascii="Arial" w:hAnsi="Arial" w:cs="Arial"/>
          <w:sz w:val="20"/>
          <w:szCs w:val="20"/>
        </w:rPr>
      </w:pPr>
      <w:r w:rsidRPr="00135028">
        <w:rPr>
          <w:rFonts w:ascii="Arial" w:hAnsi="Arial" w:cs="Arial"/>
          <w:sz w:val="20"/>
          <w:szCs w:val="20"/>
        </w:rPr>
        <w:t xml:space="preserve">Die Durchschnittsmiete stieg </w:t>
      </w:r>
      <w:r>
        <w:rPr>
          <w:rFonts w:ascii="Arial" w:hAnsi="Arial" w:cs="Arial"/>
          <w:sz w:val="20"/>
          <w:szCs w:val="20"/>
        </w:rPr>
        <w:t>gegenüber</w:t>
      </w:r>
      <w:r w:rsidRPr="00135028">
        <w:rPr>
          <w:rFonts w:ascii="Arial" w:hAnsi="Arial" w:cs="Arial"/>
          <w:sz w:val="20"/>
          <w:szCs w:val="20"/>
        </w:rPr>
        <w:t xml:space="preserve"> 2018 wieder um 0,40</w:t>
      </w:r>
      <w:r>
        <w:rPr>
          <w:rFonts w:ascii="Arial" w:hAnsi="Arial" w:cs="Arial"/>
          <w:sz w:val="20"/>
          <w:szCs w:val="20"/>
        </w:rPr>
        <w:t xml:space="preserve"> €/</w:t>
      </w:r>
      <w:r w:rsidRPr="00135028">
        <w:rPr>
          <w:rFonts w:ascii="Arial" w:hAnsi="Arial" w:cs="Arial"/>
          <w:sz w:val="20"/>
          <w:szCs w:val="20"/>
        </w:rPr>
        <w:t>m²</w:t>
      </w:r>
      <w:r>
        <w:rPr>
          <w:rFonts w:ascii="Arial" w:hAnsi="Arial" w:cs="Arial"/>
          <w:sz w:val="20"/>
          <w:szCs w:val="20"/>
        </w:rPr>
        <w:t>/Monat</w:t>
      </w:r>
      <w:r w:rsidRPr="00135028">
        <w:rPr>
          <w:rFonts w:ascii="Arial" w:hAnsi="Arial" w:cs="Arial"/>
          <w:sz w:val="20"/>
          <w:szCs w:val="20"/>
        </w:rPr>
        <w:t xml:space="preserve"> auf 20,40</w:t>
      </w:r>
      <w:r>
        <w:rPr>
          <w:rFonts w:ascii="Arial" w:hAnsi="Arial" w:cs="Arial"/>
          <w:sz w:val="20"/>
          <w:szCs w:val="20"/>
        </w:rPr>
        <w:t xml:space="preserve"> €</w:t>
      </w:r>
      <w:r w:rsidRPr="00135028">
        <w:rPr>
          <w:rFonts w:ascii="Arial" w:hAnsi="Arial" w:cs="Arial"/>
          <w:sz w:val="20"/>
          <w:szCs w:val="20"/>
        </w:rPr>
        <w:t>/m²</w:t>
      </w:r>
      <w:r>
        <w:rPr>
          <w:rFonts w:ascii="Arial" w:hAnsi="Arial" w:cs="Arial"/>
          <w:sz w:val="20"/>
          <w:szCs w:val="20"/>
        </w:rPr>
        <w:t>/Monat</w:t>
      </w:r>
      <w:r w:rsidRPr="00135028">
        <w:rPr>
          <w:rFonts w:ascii="Arial" w:hAnsi="Arial" w:cs="Arial"/>
          <w:sz w:val="20"/>
          <w:szCs w:val="20"/>
        </w:rPr>
        <w:t xml:space="preserve">. Der Anstieg fiel nicht </w:t>
      </w:r>
      <w:r>
        <w:rPr>
          <w:rFonts w:ascii="Arial" w:hAnsi="Arial" w:cs="Arial"/>
          <w:sz w:val="20"/>
          <w:szCs w:val="20"/>
        </w:rPr>
        <w:t>höher</w:t>
      </w:r>
      <w:r w:rsidRPr="00135028">
        <w:rPr>
          <w:rFonts w:ascii="Arial" w:hAnsi="Arial" w:cs="Arial"/>
          <w:sz w:val="20"/>
          <w:szCs w:val="20"/>
        </w:rPr>
        <w:t xml:space="preserve"> aus, da sich die </w:t>
      </w:r>
      <w:r>
        <w:rPr>
          <w:rFonts w:ascii="Arial" w:hAnsi="Arial" w:cs="Arial"/>
          <w:sz w:val="20"/>
          <w:szCs w:val="20"/>
        </w:rPr>
        <w:t>drei</w:t>
      </w:r>
      <w:r w:rsidRPr="00135028">
        <w:rPr>
          <w:rFonts w:ascii="Arial" w:hAnsi="Arial" w:cs="Arial"/>
          <w:sz w:val="20"/>
          <w:szCs w:val="20"/>
        </w:rPr>
        <w:t xml:space="preserve"> größten Deals mit einem Volumen von knapp 100.000 m² außerhalb des CBD abspielten</w:t>
      </w:r>
      <w:r>
        <w:rPr>
          <w:rFonts w:ascii="Arial" w:hAnsi="Arial" w:cs="Arial"/>
          <w:sz w:val="20"/>
          <w:szCs w:val="20"/>
        </w:rPr>
        <w:t xml:space="preserve">. </w:t>
      </w:r>
      <w:r w:rsidRPr="00135028">
        <w:rPr>
          <w:rFonts w:ascii="Arial" w:hAnsi="Arial" w:cs="Arial"/>
          <w:sz w:val="20"/>
          <w:szCs w:val="20"/>
        </w:rPr>
        <w:t xml:space="preserve">Die Spitzenmiete ist </w:t>
      </w:r>
      <w:r>
        <w:rPr>
          <w:rFonts w:ascii="Arial" w:hAnsi="Arial" w:cs="Arial"/>
          <w:sz w:val="20"/>
          <w:szCs w:val="20"/>
        </w:rPr>
        <w:t>von 43,50 €/m²/Monat in 2018 auf 45 €/m²/Monat</w:t>
      </w:r>
      <w:r w:rsidRPr="00135028">
        <w:rPr>
          <w:rFonts w:ascii="Arial" w:hAnsi="Arial" w:cs="Arial"/>
          <w:sz w:val="20"/>
          <w:szCs w:val="20"/>
        </w:rPr>
        <w:t xml:space="preserve"> gestiegen, da im hochpreisigen Segment die Verknappung der Flächen deutlich spürbarer ist und eine Reihe von Mietverträgen in hochwertigen Objekten geschlossen wurden.</w:t>
      </w:r>
    </w:p>
    <w:p w14:paraId="11E29C46" w14:textId="77777777" w:rsidR="007F25AB" w:rsidRPr="00135028" w:rsidRDefault="007F25AB" w:rsidP="007F25AB">
      <w:pPr>
        <w:pStyle w:val="Listenabsatz"/>
        <w:numPr>
          <w:ilvl w:val="0"/>
          <w:numId w:val="5"/>
        </w:numPr>
        <w:spacing w:after="0" w:line="240" w:lineRule="auto"/>
        <w:jc w:val="both"/>
        <w:rPr>
          <w:rFonts w:ascii="Arial" w:hAnsi="Arial" w:cs="Arial"/>
          <w:sz w:val="20"/>
          <w:szCs w:val="20"/>
        </w:rPr>
      </w:pPr>
      <w:r w:rsidRPr="00135028">
        <w:rPr>
          <w:rFonts w:ascii="Arial" w:hAnsi="Arial" w:cs="Arial"/>
          <w:sz w:val="20"/>
          <w:szCs w:val="20"/>
        </w:rPr>
        <w:lastRenderedPageBreak/>
        <w:t>Das Flächenangebot verknappt sich weiterhin, befindet sich aber im Vergleich der Top-7-Standorte auf einem komfortablen Niveau.</w:t>
      </w:r>
      <w:r>
        <w:rPr>
          <w:rFonts w:ascii="Arial" w:hAnsi="Arial" w:cs="Arial"/>
          <w:sz w:val="20"/>
          <w:szCs w:val="20"/>
        </w:rPr>
        <w:t xml:space="preserve"> </w:t>
      </w:r>
      <w:r w:rsidRPr="00135028">
        <w:rPr>
          <w:rFonts w:ascii="Arial" w:hAnsi="Arial" w:cs="Arial"/>
          <w:sz w:val="20"/>
          <w:szCs w:val="20"/>
        </w:rPr>
        <w:t>Der Leerstand ist von 8,6</w:t>
      </w:r>
      <w:r>
        <w:rPr>
          <w:rFonts w:ascii="Arial" w:hAnsi="Arial" w:cs="Arial"/>
          <w:sz w:val="20"/>
          <w:szCs w:val="20"/>
        </w:rPr>
        <w:t xml:space="preserve"> </w:t>
      </w:r>
      <w:r w:rsidRPr="00135028">
        <w:rPr>
          <w:rFonts w:ascii="Arial" w:hAnsi="Arial" w:cs="Arial"/>
          <w:sz w:val="20"/>
          <w:szCs w:val="20"/>
        </w:rPr>
        <w:t>% in 2017 über 7,4</w:t>
      </w:r>
      <w:r>
        <w:rPr>
          <w:rFonts w:ascii="Arial" w:hAnsi="Arial" w:cs="Arial"/>
          <w:sz w:val="20"/>
          <w:szCs w:val="20"/>
        </w:rPr>
        <w:t xml:space="preserve"> </w:t>
      </w:r>
      <w:r w:rsidRPr="00135028">
        <w:rPr>
          <w:rFonts w:ascii="Arial" w:hAnsi="Arial" w:cs="Arial"/>
          <w:sz w:val="20"/>
          <w:szCs w:val="20"/>
        </w:rPr>
        <w:t>% (2018) weiter auf 7,0</w:t>
      </w:r>
      <w:r>
        <w:rPr>
          <w:rFonts w:ascii="Arial" w:hAnsi="Arial" w:cs="Arial"/>
          <w:sz w:val="20"/>
          <w:szCs w:val="20"/>
        </w:rPr>
        <w:t xml:space="preserve"> </w:t>
      </w:r>
      <w:r w:rsidRPr="00135028">
        <w:rPr>
          <w:rFonts w:ascii="Arial" w:hAnsi="Arial" w:cs="Arial"/>
          <w:sz w:val="20"/>
          <w:szCs w:val="20"/>
        </w:rPr>
        <w:t>% gesunken.</w:t>
      </w:r>
    </w:p>
    <w:p w14:paraId="3D91EB24" w14:textId="5398DF08" w:rsidR="007F25AB" w:rsidRPr="00135028" w:rsidRDefault="007F25AB" w:rsidP="007F25AB">
      <w:pPr>
        <w:pStyle w:val="Listenabsatz"/>
        <w:numPr>
          <w:ilvl w:val="0"/>
          <w:numId w:val="5"/>
        </w:numPr>
        <w:spacing w:after="0" w:line="240" w:lineRule="auto"/>
        <w:jc w:val="both"/>
        <w:rPr>
          <w:rFonts w:ascii="Arial" w:hAnsi="Arial" w:cs="Arial"/>
          <w:caps/>
          <w:sz w:val="20"/>
          <w:szCs w:val="20"/>
        </w:rPr>
      </w:pPr>
      <w:r w:rsidRPr="00135028">
        <w:rPr>
          <w:rFonts w:ascii="Arial" w:hAnsi="Arial" w:cs="Arial"/>
          <w:sz w:val="20"/>
          <w:szCs w:val="20"/>
        </w:rPr>
        <w:t xml:space="preserve">Prognose für 2020: Der Flächenumsatz in 2020 wird auf einem ähnlichen Niveau wie in 2019 liegen, vermutlich etwas darunter. Der Spitzenmietpreis hat noch Luft nach oben, das Flächenangebot variiert weiter stark über die verschiedenen Teilmärkte und auf Grund der bevorstehenden Fertigstellungen ist eine Stagnation des Leerstandes oder ein leichter </w:t>
      </w:r>
      <w:r w:rsidR="00640A39">
        <w:rPr>
          <w:rFonts w:ascii="Arial" w:hAnsi="Arial" w:cs="Arial"/>
          <w:sz w:val="20"/>
          <w:szCs w:val="20"/>
        </w:rPr>
        <w:t>Anstieg</w:t>
      </w:r>
      <w:r w:rsidRPr="00135028">
        <w:rPr>
          <w:rFonts w:ascii="Arial" w:hAnsi="Arial" w:cs="Arial"/>
          <w:sz w:val="20"/>
          <w:szCs w:val="20"/>
        </w:rPr>
        <w:t xml:space="preserve"> ein wahrscheinliches Szenario.</w:t>
      </w:r>
    </w:p>
    <w:p w14:paraId="1D2DF3F2" w14:textId="77777777" w:rsidR="00704457" w:rsidRPr="007F25AB" w:rsidRDefault="00704457" w:rsidP="007F25AB">
      <w:pPr>
        <w:spacing w:after="0" w:line="240" w:lineRule="auto"/>
        <w:jc w:val="both"/>
        <w:rPr>
          <w:rFonts w:ascii="Arial" w:hAnsi="Arial" w:cs="Arial"/>
          <w:sz w:val="20"/>
          <w:szCs w:val="20"/>
        </w:rPr>
      </w:pPr>
    </w:p>
    <w:p w14:paraId="57343EC9" w14:textId="2CDE9510" w:rsidR="00A70288" w:rsidRPr="004D02F0" w:rsidRDefault="00A82674" w:rsidP="00A70288">
      <w:pPr>
        <w:spacing w:after="0" w:line="240" w:lineRule="auto"/>
        <w:jc w:val="both"/>
        <w:rPr>
          <w:rFonts w:ascii="Arial" w:hAnsi="Arial" w:cs="Arial"/>
          <w:b/>
          <w:bCs/>
          <w:sz w:val="24"/>
          <w:szCs w:val="24"/>
        </w:rPr>
      </w:pPr>
      <w:r w:rsidRPr="004D02F0">
        <w:rPr>
          <w:rFonts w:ascii="Arial" w:hAnsi="Arial" w:cs="Arial"/>
          <w:b/>
          <w:bCs/>
          <w:caps/>
          <w:sz w:val="24"/>
          <w:szCs w:val="24"/>
        </w:rPr>
        <w:t>München</w:t>
      </w:r>
      <w:r w:rsidR="007A6113" w:rsidRPr="004D02F0">
        <w:rPr>
          <w:rFonts w:ascii="Arial" w:hAnsi="Arial" w:cs="Arial"/>
          <w:b/>
          <w:bCs/>
          <w:caps/>
          <w:sz w:val="24"/>
          <w:szCs w:val="24"/>
        </w:rPr>
        <w:t xml:space="preserve"> | </w:t>
      </w:r>
      <w:r w:rsidR="007A6113" w:rsidRPr="004D02F0">
        <w:rPr>
          <w:rFonts w:ascii="Arial" w:hAnsi="Arial" w:cs="Arial"/>
          <w:b/>
          <w:bCs/>
          <w:sz w:val="24"/>
          <w:szCs w:val="24"/>
        </w:rPr>
        <w:t>E &amp; G Real Estate</w:t>
      </w:r>
    </w:p>
    <w:p w14:paraId="60EE3132" w14:textId="2315EC14" w:rsidR="00017997" w:rsidRDefault="00017997" w:rsidP="7CE79FA0">
      <w:pPr>
        <w:pStyle w:val="Listenabsatz"/>
        <w:numPr>
          <w:ilvl w:val="0"/>
          <w:numId w:val="5"/>
        </w:numPr>
        <w:spacing w:after="0" w:line="240" w:lineRule="auto"/>
        <w:jc w:val="both"/>
        <w:rPr>
          <w:rFonts w:ascii="Arial" w:hAnsi="Arial" w:cs="Arial"/>
          <w:sz w:val="20"/>
          <w:szCs w:val="20"/>
        </w:rPr>
      </w:pPr>
      <w:r w:rsidRPr="00017997">
        <w:rPr>
          <w:rFonts w:ascii="Arial" w:hAnsi="Arial" w:cs="Arial"/>
          <w:sz w:val="20"/>
          <w:szCs w:val="20"/>
        </w:rPr>
        <w:t>Deutlicher Rückgang beim Büroflächenumsatz im Vergleich zum Vorjahr</w:t>
      </w:r>
      <w:r>
        <w:rPr>
          <w:rFonts w:ascii="Arial" w:hAnsi="Arial" w:cs="Arial"/>
          <w:sz w:val="20"/>
          <w:szCs w:val="20"/>
        </w:rPr>
        <w:t xml:space="preserve">: </w:t>
      </w:r>
      <w:r w:rsidR="008248E2">
        <w:rPr>
          <w:rFonts w:ascii="Arial" w:hAnsi="Arial" w:cs="Arial"/>
          <w:sz w:val="20"/>
          <w:szCs w:val="20"/>
        </w:rPr>
        <w:t xml:space="preserve">Wurden </w:t>
      </w:r>
      <w:r>
        <w:rPr>
          <w:rFonts w:ascii="Arial" w:hAnsi="Arial" w:cs="Arial"/>
          <w:sz w:val="20"/>
          <w:szCs w:val="20"/>
        </w:rPr>
        <w:t>2018 noch 955.000 m² am Münchner Büromarkt umgesetzt, waren es 2019 noch 761.500 m² (-20 %).</w:t>
      </w:r>
      <w:r w:rsidRPr="00017997">
        <w:rPr>
          <w:rFonts w:ascii="Arial" w:hAnsi="Arial" w:cs="Arial"/>
          <w:sz w:val="20"/>
          <w:szCs w:val="20"/>
        </w:rPr>
        <w:t xml:space="preserve"> Dies liegt zum eine</w:t>
      </w:r>
      <w:r w:rsidR="008248E2">
        <w:rPr>
          <w:rFonts w:ascii="Arial" w:hAnsi="Arial" w:cs="Arial"/>
          <w:sz w:val="20"/>
          <w:szCs w:val="20"/>
        </w:rPr>
        <w:t>n</w:t>
      </w:r>
      <w:r w:rsidRPr="00017997">
        <w:rPr>
          <w:rFonts w:ascii="Arial" w:hAnsi="Arial" w:cs="Arial"/>
          <w:sz w:val="20"/>
          <w:szCs w:val="20"/>
        </w:rPr>
        <w:t xml:space="preserve"> am immer knapper werdenden Angebot um zum anderen haben sich einige sehr großvolumige Abschlüsse ins nächste </w:t>
      </w:r>
      <w:r w:rsidR="008248E2">
        <w:rPr>
          <w:rFonts w:ascii="Arial" w:hAnsi="Arial" w:cs="Arial"/>
          <w:sz w:val="20"/>
          <w:szCs w:val="20"/>
        </w:rPr>
        <w:t xml:space="preserve">Jahr </w:t>
      </w:r>
      <w:r w:rsidRPr="00017997">
        <w:rPr>
          <w:rFonts w:ascii="Arial" w:hAnsi="Arial" w:cs="Arial"/>
          <w:sz w:val="20"/>
          <w:szCs w:val="20"/>
        </w:rPr>
        <w:t xml:space="preserve">verschoben. </w:t>
      </w:r>
    </w:p>
    <w:p w14:paraId="3E8C9D09" w14:textId="77777777" w:rsidR="005106FC" w:rsidRDefault="00017997" w:rsidP="008339BD">
      <w:pPr>
        <w:pStyle w:val="Listenabsatz"/>
        <w:numPr>
          <w:ilvl w:val="0"/>
          <w:numId w:val="5"/>
        </w:numPr>
        <w:spacing w:after="0" w:line="240" w:lineRule="auto"/>
        <w:jc w:val="both"/>
        <w:rPr>
          <w:rFonts w:ascii="Arial" w:hAnsi="Arial" w:cs="Arial"/>
          <w:sz w:val="20"/>
          <w:szCs w:val="20"/>
        </w:rPr>
      </w:pPr>
      <w:r>
        <w:rPr>
          <w:rFonts w:ascii="Arial" w:hAnsi="Arial" w:cs="Arial"/>
          <w:sz w:val="20"/>
          <w:szCs w:val="20"/>
        </w:rPr>
        <w:t>Die Durchschnittsmiete ist in den vergangenen zwölf Monaten deutlich gestiegen, u.a. wegen hochpreisiger Abschlüsse des Technologieherstellers Apple und des Bayrischen Innenministeriums. Durchschnittlich werden 20,50 €/m²/Monat gezahlt (2018: 18,65 €/m²/Monat). Die Spitzenmiete stieg 2019 von 36,80 €/m²/Monat auf 38 €/m²/Monat.</w:t>
      </w:r>
    </w:p>
    <w:p w14:paraId="1727D1DC" w14:textId="1010EA19" w:rsidR="005106FC" w:rsidRDefault="005106FC" w:rsidP="008339BD">
      <w:pPr>
        <w:pStyle w:val="Listenabsatz"/>
        <w:numPr>
          <w:ilvl w:val="0"/>
          <w:numId w:val="5"/>
        </w:numPr>
        <w:spacing w:after="0" w:line="240" w:lineRule="auto"/>
        <w:jc w:val="both"/>
        <w:rPr>
          <w:rFonts w:ascii="Arial" w:hAnsi="Arial" w:cs="Arial"/>
          <w:sz w:val="20"/>
          <w:szCs w:val="20"/>
        </w:rPr>
      </w:pPr>
      <w:r>
        <w:rPr>
          <w:rFonts w:ascii="Arial" w:hAnsi="Arial" w:cs="Arial"/>
          <w:sz w:val="20"/>
          <w:szCs w:val="20"/>
        </w:rPr>
        <w:t>Ein w</w:t>
      </w:r>
      <w:r w:rsidRPr="005106FC">
        <w:rPr>
          <w:rFonts w:ascii="Arial" w:hAnsi="Arial" w:cs="Arial"/>
          <w:sz w:val="20"/>
          <w:szCs w:val="20"/>
        </w:rPr>
        <w:t>eiterer Rückgang de</w:t>
      </w:r>
      <w:r>
        <w:rPr>
          <w:rFonts w:ascii="Arial" w:hAnsi="Arial" w:cs="Arial"/>
          <w:sz w:val="20"/>
          <w:szCs w:val="20"/>
        </w:rPr>
        <w:t>r Leerstandsquote von 1,8 % auf 1,6 % wurde 2019 verbucht.</w:t>
      </w:r>
      <w:r w:rsidRPr="005106FC">
        <w:rPr>
          <w:rFonts w:ascii="Arial" w:hAnsi="Arial" w:cs="Arial"/>
          <w:sz w:val="20"/>
          <w:szCs w:val="20"/>
        </w:rPr>
        <w:t xml:space="preserve"> Im CBD kann man bereits von Vollvermietung sprechen. Lediglich im Münchner Norden, wo die Autoindustrie ansässig ist, gibt es noch einen etwas höheren Leerstand.</w:t>
      </w:r>
      <w:r w:rsidRPr="005106FC">
        <w:rPr>
          <w:rFonts w:ascii="Arial" w:hAnsi="Arial" w:cs="Arial"/>
          <w:sz w:val="20"/>
          <w:szCs w:val="20"/>
        </w:rPr>
        <w:tab/>
      </w:r>
    </w:p>
    <w:p w14:paraId="64DE7147" w14:textId="00544163" w:rsidR="008B4CE4" w:rsidRDefault="005106FC" w:rsidP="008339BD">
      <w:pPr>
        <w:pStyle w:val="Listenabsatz"/>
        <w:numPr>
          <w:ilvl w:val="0"/>
          <w:numId w:val="5"/>
        </w:numPr>
        <w:spacing w:after="0" w:line="240" w:lineRule="auto"/>
        <w:jc w:val="both"/>
        <w:rPr>
          <w:rFonts w:ascii="Arial" w:hAnsi="Arial" w:cs="Arial"/>
          <w:sz w:val="20"/>
          <w:szCs w:val="20"/>
        </w:rPr>
      </w:pPr>
      <w:r>
        <w:rPr>
          <w:rFonts w:ascii="Arial" w:hAnsi="Arial" w:cs="Arial"/>
          <w:sz w:val="20"/>
          <w:szCs w:val="20"/>
        </w:rPr>
        <w:t>Prognose für 2020: Der fortschreitende Rückgang des Angebotes, für den aktuell kein Ende in Sicht ist, zwingt Unternehmen zunehmend zu umfangreicheren Veränderungen: Sie weichen entweder in die Randlagen aus oder versuchen die Bestandsflächen zu optimieren. Sinkender Leerstand, steigende Mieten – diese Entwicklung wird sich in München auch 2020 fortsetzen.</w:t>
      </w:r>
    </w:p>
    <w:bookmarkEnd w:id="2"/>
    <w:p w14:paraId="4172A8E0" w14:textId="77777777" w:rsidR="000F2AA6" w:rsidRPr="004D02F0" w:rsidRDefault="000F2AA6" w:rsidP="008D0542">
      <w:pPr>
        <w:widowControl w:val="0"/>
        <w:spacing w:after="0"/>
        <w:jc w:val="both"/>
        <w:rPr>
          <w:rFonts w:ascii="Arial" w:hAnsi="Arial" w:cs="Arial"/>
          <w:caps/>
          <w:color w:val="000000" w:themeColor="text1"/>
          <w:sz w:val="20"/>
          <w:szCs w:val="20"/>
        </w:rPr>
      </w:pPr>
    </w:p>
    <w:p w14:paraId="4AAB2CD2" w14:textId="7D9BC991" w:rsidR="32E3C701" w:rsidRPr="00934090" w:rsidRDefault="32E3C701" w:rsidP="32E3C701">
      <w:pPr>
        <w:jc w:val="both"/>
        <w:rPr>
          <w:i/>
          <w:iCs/>
        </w:rPr>
      </w:pPr>
      <w:r w:rsidRPr="00934090">
        <w:rPr>
          <w:rFonts w:ascii="Arial" w:eastAsia="Arial" w:hAnsi="Arial" w:cs="Arial"/>
          <w:i/>
          <w:iCs/>
          <w:caps/>
          <w:sz w:val="20"/>
          <w:szCs w:val="20"/>
          <w:lang w:val="de"/>
        </w:rPr>
        <w:t>ÜBER GERMAN PROPERTY PARTNERS</w:t>
      </w:r>
    </w:p>
    <w:p w14:paraId="24D83185" w14:textId="6DA4A297" w:rsidR="32E3C701" w:rsidRPr="00934090" w:rsidRDefault="32E3C701" w:rsidP="00934090">
      <w:pPr>
        <w:jc w:val="both"/>
        <w:rPr>
          <w:rFonts w:ascii="Arial" w:hAnsi="Arial" w:cs="Arial"/>
          <w:i/>
          <w:iCs/>
          <w:sz w:val="20"/>
          <w:szCs w:val="20"/>
        </w:rPr>
      </w:pPr>
      <w:r w:rsidRPr="00934090">
        <w:rPr>
          <w:rFonts w:ascii="Arial" w:eastAsia="Arial" w:hAnsi="Arial" w:cs="Arial"/>
          <w:i/>
          <w:iCs/>
          <w:sz w:val="20"/>
          <w:szCs w:val="20"/>
          <w:lang w:val="de"/>
        </w:rPr>
        <w:t xml:space="preserve">German Property Partners (GPP) ist ein deutschlandweites Netzwerk lokal führender Gewerbe-Immobiliendienstleister. Hierzu gehören Grossmann &amp; Berger, Anteon Immobilien, GREIF &amp; CONTZEN Immobilien, blackolive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Köln | Bonn,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über 400 Immobilienspezialisten für das Netzwerk tätig. </w:t>
      </w:r>
      <w:r w:rsidRPr="00934090">
        <w:rPr>
          <w:rFonts w:ascii="Arial" w:eastAsia="Arial" w:hAnsi="Arial" w:cs="Arial"/>
          <w:b/>
          <w:bCs/>
          <w:i/>
          <w:iCs/>
          <w:sz w:val="20"/>
          <w:szCs w:val="20"/>
          <w:lang w:val="de"/>
        </w:rPr>
        <w:t>2018</w:t>
      </w:r>
      <w:r w:rsidRPr="00934090">
        <w:rPr>
          <w:rFonts w:ascii="Arial" w:eastAsia="Arial" w:hAnsi="Arial" w:cs="Arial"/>
          <w:i/>
          <w:iCs/>
          <w:sz w:val="20"/>
          <w:szCs w:val="20"/>
          <w:lang w:val="de"/>
        </w:rPr>
        <w:t xml:space="preserve"> vermittelte German Property Partners deutschlandweit rund 556.200 m² Gewerbefläche und betreute ein Transaktionsvolumen in Höhe von rund 2,27 Mrd. €. </w:t>
      </w:r>
      <w:r w:rsidRPr="00934090">
        <w:rPr>
          <w:rFonts w:ascii="Arial" w:eastAsia="Arial" w:hAnsi="Arial" w:cs="Arial"/>
          <w:i/>
          <w:iCs/>
          <w:sz w:val="20"/>
          <w:szCs w:val="20"/>
        </w:rPr>
        <w:t>[</w:t>
      </w:r>
      <w:hyperlink>
        <w:r w:rsidRPr="00934090">
          <w:rPr>
            <w:rStyle w:val="Hyperlink"/>
            <w:rFonts w:ascii="Arial" w:eastAsia="Arial" w:hAnsi="Arial" w:cs="Arial"/>
            <w:i/>
            <w:iCs/>
            <w:sz w:val="20"/>
            <w:szCs w:val="20"/>
          </w:rPr>
          <w:t>www.germanpropertypartners.de</w:t>
        </w:r>
      </w:hyperlink>
      <w:r w:rsidRPr="00934090">
        <w:rPr>
          <w:rFonts w:ascii="Arial" w:eastAsia="Arial" w:hAnsi="Arial" w:cs="Arial"/>
          <w:i/>
          <w:iCs/>
          <w:sz w:val="20"/>
          <w:szCs w:val="20"/>
        </w:rPr>
        <w:t>]</w:t>
      </w:r>
    </w:p>
    <w:sectPr w:rsidR="32E3C701" w:rsidRPr="00934090" w:rsidSect="00DC19BC">
      <w:headerReference w:type="default" r:id="rId12"/>
      <w:footerReference w:type="default" r:id="rId13"/>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8F6B2" w14:textId="77777777" w:rsidR="00CE032F" w:rsidRDefault="00CE032F" w:rsidP="0055466B">
      <w:pPr>
        <w:spacing w:after="0" w:line="240" w:lineRule="auto"/>
      </w:pPr>
      <w:r>
        <w:separator/>
      </w:r>
    </w:p>
  </w:endnote>
  <w:endnote w:type="continuationSeparator" w:id="0">
    <w:p w14:paraId="02249D33" w14:textId="77777777" w:rsidR="00CE032F" w:rsidRDefault="00CE032F" w:rsidP="0055466B">
      <w:pPr>
        <w:spacing w:after="0" w:line="240" w:lineRule="auto"/>
      </w:pPr>
      <w:r>
        <w:continuationSeparator/>
      </w:r>
    </w:p>
  </w:endnote>
  <w:endnote w:type="continuationNotice" w:id="1">
    <w:p w14:paraId="4EE183C8" w14:textId="77777777" w:rsidR="00CE032F" w:rsidRDefault="00CE03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4C1D2" w14:textId="718F5586"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D36DFF0"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A32AE9">
      <w:rPr>
        <w:rFonts w:ascii="Arial" w:hAnsi="Arial" w:cs="Arial"/>
        <w:b/>
        <w:noProof/>
        <w:sz w:val="18"/>
        <w:szCs w:val="18"/>
      </w:rPr>
      <w:t>5</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A32AE9">
      <w:rPr>
        <w:rFonts w:ascii="Arial" w:hAnsi="Arial" w:cs="Arial"/>
        <w:b/>
        <w:noProof/>
        <w:sz w:val="18"/>
        <w:szCs w:val="18"/>
      </w:rPr>
      <w:t>5</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5F5E7" w14:textId="77777777" w:rsidR="00CE032F" w:rsidRDefault="00CE032F" w:rsidP="0055466B">
      <w:pPr>
        <w:spacing w:after="0" w:line="240" w:lineRule="auto"/>
      </w:pPr>
      <w:r>
        <w:separator/>
      </w:r>
    </w:p>
  </w:footnote>
  <w:footnote w:type="continuationSeparator" w:id="0">
    <w:p w14:paraId="492ECD25" w14:textId="77777777" w:rsidR="00CE032F" w:rsidRDefault="00CE032F" w:rsidP="0055466B">
      <w:pPr>
        <w:spacing w:after="0" w:line="240" w:lineRule="auto"/>
      </w:pPr>
      <w:r>
        <w:continuationSeparator/>
      </w:r>
    </w:p>
  </w:footnote>
  <w:footnote w:type="continuationNotice" w:id="1">
    <w:p w14:paraId="23D62B12" w14:textId="77777777" w:rsidR="00CE032F" w:rsidRDefault="00CE03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5D669FE0"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103AC"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442"/>
    <w:rsid w:val="000514C1"/>
    <w:rsid w:val="00051711"/>
    <w:rsid w:val="00051C92"/>
    <w:rsid w:val="00051E74"/>
    <w:rsid w:val="000524B6"/>
    <w:rsid w:val="000533D1"/>
    <w:rsid w:val="00053942"/>
    <w:rsid w:val="00053959"/>
    <w:rsid w:val="00053C98"/>
    <w:rsid w:val="00054372"/>
    <w:rsid w:val="00055A87"/>
    <w:rsid w:val="000562C5"/>
    <w:rsid w:val="00056395"/>
    <w:rsid w:val="00056443"/>
    <w:rsid w:val="00056ABC"/>
    <w:rsid w:val="00056B0B"/>
    <w:rsid w:val="00056EC7"/>
    <w:rsid w:val="00057551"/>
    <w:rsid w:val="000602BE"/>
    <w:rsid w:val="00060931"/>
    <w:rsid w:val="00060D5B"/>
    <w:rsid w:val="00061B3E"/>
    <w:rsid w:val="000621FA"/>
    <w:rsid w:val="00062407"/>
    <w:rsid w:val="00062C83"/>
    <w:rsid w:val="00062E5F"/>
    <w:rsid w:val="00063652"/>
    <w:rsid w:val="00063905"/>
    <w:rsid w:val="00063D38"/>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A9"/>
    <w:rsid w:val="000B39E0"/>
    <w:rsid w:val="000B529F"/>
    <w:rsid w:val="000B56EB"/>
    <w:rsid w:val="000B58F9"/>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15CD"/>
    <w:rsid w:val="00192E08"/>
    <w:rsid w:val="00193A07"/>
    <w:rsid w:val="00194A64"/>
    <w:rsid w:val="00194E60"/>
    <w:rsid w:val="001958A3"/>
    <w:rsid w:val="00196BC6"/>
    <w:rsid w:val="00196EE2"/>
    <w:rsid w:val="001973E8"/>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7F0"/>
    <w:rsid w:val="001B0941"/>
    <w:rsid w:val="001B0B17"/>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52E0"/>
    <w:rsid w:val="001D5413"/>
    <w:rsid w:val="001D5E7B"/>
    <w:rsid w:val="001D646D"/>
    <w:rsid w:val="001D64B8"/>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D01"/>
    <w:rsid w:val="00210E6A"/>
    <w:rsid w:val="00211497"/>
    <w:rsid w:val="00211C88"/>
    <w:rsid w:val="0021278F"/>
    <w:rsid w:val="00212D07"/>
    <w:rsid w:val="00212E58"/>
    <w:rsid w:val="002137C9"/>
    <w:rsid w:val="00213DC3"/>
    <w:rsid w:val="00215268"/>
    <w:rsid w:val="00215F50"/>
    <w:rsid w:val="00215F99"/>
    <w:rsid w:val="002160D9"/>
    <w:rsid w:val="00216286"/>
    <w:rsid w:val="00217089"/>
    <w:rsid w:val="00217939"/>
    <w:rsid w:val="002179F6"/>
    <w:rsid w:val="00217B23"/>
    <w:rsid w:val="00220D31"/>
    <w:rsid w:val="002224EE"/>
    <w:rsid w:val="00222A2F"/>
    <w:rsid w:val="00223044"/>
    <w:rsid w:val="002238A7"/>
    <w:rsid w:val="002247AC"/>
    <w:rsid w:val="00224A66"/>
    <w:rsid w:val="00224F59"/>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A7"/>
    <w:rsid w:val="00270A39"/>
    <w:rsid w:val="00270BED"/>
    <w:rsid w:val="002710E4"/>
    <w:rsid w:val="00271254"/>
    <w:rsid w:val="00271FE2"/>
    <w:rsid w:val="00272F85"/>
    <w:rsid w:val="00273547"/>
    <w:rsid w:val="00274970"/>
    <w:rsid w:val="00275553"/>
    <w:rsid w:val="00275ABD"/>
    <w:rsid w:val="00275ADD"/>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94C"/>
    <w:rsid w:val="002A3F58"/>
    <w:rsid w:val="002A3F7C"/>
    <w:rsid w:val="002A3FE5"/>
    <w:rsid w:val="002A474F"/>
    <w:rsid w:val="002A5301"/>
    <w:rsid w:val="002A5CEE"/>
    <w:rsid w:val="002A62EC"/>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721"/>
    <w:rsid w:val="002C1869"/>
    <w:rsid w:val="002C1AE3"/>
    <w:rsid w:val="002C2D58"/>
    <w:rsid w:val="002C3766"/>
    <w:rsid w:val="002C3A83"/>
    <w:rsid w:val="002C3EBC"/>
    <w:rsid w:val="002C3F32"/>
    <w:rsid w:val="002C424D"/>
    <w:rsid w:val="002C43B2"/>
    <w:rsid w:val="002C4EED"/>
    <w:rsid w:val="002C5A4B"/>
    <w:rsid w:val="002C66BA"/>
    <w:rsid w:val="002C66C5"/>
    <w:rsid w:val="002C727C"/>
    <w:rsid w:val="002C7C08"/>
    <w:rsid w:val="002D00A8"/>
    <w:rsid w:val="002D097C"/>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DA9"/>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3CE"/>
    <w:rsid w:val="003C2860"/>
    <w:rsid w:val="003C293D"/>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602D"/>
    <w:rsid w:val="0042611E"/>
    <w:rsid w:val="00426B1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1670"/>
    <w:rsid w:val="004E172C"/>
    <w:rsid w:val="004E280D"/>
    <w:rsid w:val="004E2C4A"/>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6DA6"/>
    <w:rsid w:val="005D7982"/>
    <w:rsid w:val="005E0BFF"/>
    <w:rsid w:val="005E0E5C"/>
    <w:rsid w:val="005E1285"/>
    <w:rsid w:val="005E12E3"/>
    <w:rsid w:val="005E26A5"/>
    <w:rsid w:val="005E2749"/>
    <w:rsid w:val="005E2BD5"/>
    <w:rsid w:val="005E3521"/>
    <w:rsid w:val="005E358D"/>
    <w:rsid w:val="005E45B8"/>
    <w:rsid w:val="005E534E"/>
    <w:rsid w:val="005E5936"/>
    <w:rsid w:val="005E6335"/>
    <w:rsid w:val="005E64F0"/>
    <w:rsid w:val="005E6BF1"/>
    <w:rsid w:val="005E70E1"/>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104BC"/>
    <w:rsid w:val="00610C35"/>
    <w:rsid w:val="006117E3"/>
    <w:rsid w:val="00611C25"/>
    <w:rsid w:val="006120FA"/>
    <w:rsid w:val="00612936"/>
    <w:rsid w:val="006132E7"/>
    <w:rsid w:val="00613E05"/>
    <w:rsid w:val="00614AF4"/>
    <w:rsid w:val="00614C1B"/>
    <w:rsid w:val="00615264"/>
    <w:rsid w:val="00615D10"/>
    <w:rsid w:val="006163B6"/>
    <w:rsid w:val="006177B3"/>
    <w:rsid w:val="00617B39"/>
    <w:rsid w:val="00620531"/>
    <w:rsid w:val="00620AA6"/>
    <w:rsid w:val="0062114C"/>
    <w:rsid w:val="006217CD"/>
    <w:rsid w:val="00622AFF"/>
    <w:rsid w:val="006231CA"/>
    <w:rsid w:val="00623851"/>
    <w:rsid w:val="00624745"/>
    <w:rsid w:val="00624C81"/>
    <w:rsid w:val="00624F42"/>
    <w:rsid w:val="00624FA7"/>
    <w:rsid w:val="006253DB"/>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A04"/>
    <w:rsid w:val="006940A0"/>
    <w:rsid w:val="00694342"/>
    <w:rsid w:val="00694390"/>
    <w:rsid w:val="0069458D"/>
    <w:rsid w:val="00694A40"/>
    <w:rsid w:val="006953B5"/>
    <w:rsid w:val="00695639"/>
    <w:rsid w:val="006958D9"/>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61ED"/>
    <w:rsid w:val="007067A6"/>
    <w:rsid w:val="00706B53"/>
    <w:rsid w:val="00706BED"/>
    <w:rsid w:val="00706DD1"/>
    <w:rsid w:val="00707074"/>
    <w:rsid w:val="007072E7"/>
    <w:rsid w:val="0070732A"/>
    <w:rsid w:val="00707BCE"/>
    <w:rsid w:val="00710EA8"/>
    <w:rsid w:val="00711177"/>
    <w:rsid w:val="00712133"/>
    <w:rsid w:val="0071300F"/>
    <w:rsid w:val="00713D5A"/>
    <w:rsid w:val="007154C0"/>
    <w:rsid w:val="0071573F"/>
    <w:rsid w:val="007157D7"/>
    <w:rsid w:val="007158D9"/>
    <w:rsid w:val="00716552"/>
    <w:rsid w:val="007172E7"/>
    <w:rsid w:val="00717864"/>
    <w:rsid w:val="00717E96"/>
    <w:rsid w:val="00720907"/>
    <w:rsid w:val="0072133E"/>
    <w:rsid w:val="0072168A"/>
    <w:rsid w:val="007219B2"/>
    <w:rsid w:val="00721E17"/>
    <w:rsid w:val="007224C9"/>
    <w:rsid w:val="007225AE"/>
    <w:rsid w:val="00722727"/>
    <w:rsid w:val="0072289C"/>
    <w:rsid w:val="007230FF"/>
    <w:rsid w:val="0072378A"/>
    <w:rsid w:val="007237E1"/>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40251"/>
    <w:rsid w:val="007406FF"/>
    <w:rsid w:val="007408C0"/>
    <w:rsid w:val="00740C56"/>
    <w:rsid w:val="00741580"/>
    <w:rsid w:val="00741719"/>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FEF"/>
    <w:rsid w:val="007760AD"/>
    <w:rsid w:val="0077650C"/>
    <w:rsid w:val="007767D3"/>
    <w:rsid w:val="0078024B"/>
    <w:rsid w:val="007807B4"/>
    <w:rsid w:val="00780A8D"/>
    <w:rsid w:val="00781008"/>
    <w:rsid w:val="0078118F"/>
    <w:rsid w:val="007811B3"/>
    <w:rsid w:val="00781434"/>
    <w:rsid w:val="0078187C"/>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CC"/>
    <w:rsid w:val="007F0FCF"/>
    <w:rsid w:val="007F1914"/>
    <w:rsid w:val="007F1B2F"/>
    <w:rsid w:val="007F1CED"/>
    <w:rsid w:val="007F25AB"/>
    <w:rsid w:val="007F2C99"/>
    <w:rsid w:val="007F2CB8"/>
    <w:rsid w:val="007F377A"/>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A44"/>
    <w:rsid w:val="008650F5"/>
    <w:rsid w:val="008660C7"/>
    <w:rsid w:val="0086650C"/>
    <w:rsid w:val="00866736"/>
    <w:rsid w:val="0086673D"/>
    <w:rsid w:val="00866E1B"/>
    <w:rsid w:val="008675D3"/>
    <w:rsid w:val="008677C2"/>
    <w:rsid w:val="008678E4"/>
    <w:rsid w:val="008679D5"/>
    <w:rsid w:val="00867AC8"/>
    <w:rsid w:val="0087057B"/>
    <w:rsid w:val="00871C96"/>
    <w:rsid w:val="00871F02"/>
    <w:rsid w:val="008722C8"/>
    <w:rsid w:val="00872F8E"/>
    <w:rsid w:val="00873115"/>
    <w:rsid w:val="00873285"/>
    <w:rsid w:val="00873E55"/>
    <w:rsid w:val="00874542"/>
    <w:rsid w:val="00874BC1"/>
    <w:rsid w:val="0087506E"/>
    <w:rsid w:val="00875356"/>
    <w:rsid w:val="00875429"/>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7C8"/>
    <w:rsid w:val="00894AB8"/>
    <w:rsid w:val="008952CA"/>
    <w:rsid w:val="008965DF"/>
    <w:rsid w:val="0089712D"/>
    <w:rsid w:val="00897348"/>
    <w:rsid w:val="008A0C1E"/>
    <w:rsid w:val="008A0DBD"/>
    <w:rsid w:val="008A114A"/>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3BE3"/>
    <w:rsid w:val="0090407A"/>
    <w:rsid w:val="00904184"/>
    <w:rsid w:val="0090450C"/>
    <w:rsid w:val="00904EA3"/>
    <w:rsid w:val="00905C9B"/>
    <w:rsid w:val="00905D12"/>
    <w:rsid w:val="009066E5"/>
    <w:rsid w:val="00906A46"/>
    <w:rsid w:val="00907020"/>
    <w:rsid w:val="0090755E"/>
    <w:rsid w:val="00911095"/>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5814"/>
    <w:rsid w:val="00945EDB"/>
    <w:rsid w:val="0094664E"/>
    <w:rsid w:val="00946B04"/>
    <w:rsid w:val="0094700F"/>
    <w:rsid w:val="009479A2"/>
    <w:rsid w:val="00947A77"/>
    <w:rsid w:val="00950B7B"/>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5F"/>
    <w:rsid w:val="009A745E"/>
    <w:rsid w:val="009A7FBF"/>
    <w:rsid w:val="009B0182"/>
    <w:rsid w:val="009B02A3"/>
    <w:rsid w:val="009B10DE"/>
    <w:rsid w:val="009B10E5"/>
    <w:rsid w:val="009B1244"/>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D4D"/>
    <w:rsid w:val="00A22207"/>
    <w:rsid w:val="00A222ED"/>
    <w:rsid w:val="00A23148"/>
    <w:rsid w:val="00A2346F"/>
    <w:rsid w:val="00A23769"/>
    <w:rsid w:val="00A2390F"/>
    <w:rsid w:val="00A23C55"/>
    <w:rsid w:val="00A24546"/>
    <w:rsid w:val="00A252DA"/>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63BC"/>
    <w:rsid w:val="00A36C7D"/>
    <w:rsid w:val="00A36D7D"/>
    <w:rsid w:val="00A36E80"/>
    <w:rsid w:val="00A36FB8"/>
    <w:rsid w:val="00A3789F"/>
    <w:rsid w:val="00A40216"/>
    <w:rsid w:val="00A403A9"/>
    <w:rsid w:val="00A4075D"/>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7E4"/>
    <w:rsid w:val="00AA7932"/>
    <w:rsid w:val="00AA7977"/>
    <w:rsid w:val="00AB018B"/>
    <w:rsid w:val="00AB14C6"/>
    <w:rsid w:val="00AB2005"/>
    <w:rsid w:val="00AB231E"/>
    <w:rsid w:val="00AB2364"/>
    <w:rsid w:val="00AB2ACD"/>
    <w:rsid w:val="00AB2DBC"/>
    <w:rsid w:val="00AB332F"/>
    <w:rsid w:val="00AB356C"/>
    <w:rsid w:val="00AB3C4D"/>
    <w:rsid w:val="00AB3EF0"/>
    <w:rsid w:val="00AB430B"/>
    <w:rsid w:val="00AB54AD"/>
    <w:rsid w:val="00AB5880"/>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7854"/>
    <w:rsid w:val="00AD04DF"/>
    <w:rsid w:val="00AD0555"/>
    <w:rsid w:val="00AD0833"/>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B5B"/>
    <w:rsid w:val="00BE6ECC"/>
    <w:rsid w:val="00BE6F43"/>
    <w:rsid w:val="00BE742A"/>
    <w:rsid w:val="00BF02C9"/>
    <w:rsid w:val="00BF0A17"/>
    <w:rsid w:val="00BF1552"/>
    <w:rsid w:val="00BF1585"/>
    <w:rsid w:val="00BF1B3A"/>
    <w:rsid w:val="00BF1CB4"/>
    <w:rsid w:val="00BF1D41"/>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23BA"/>
    <w:rsid w:val="00C123EC"/>
    <w:rsid w:val="00C1266E"/>
    <w:rsid w:val="00C12E2D"/>
    <w:rsid w:val="00C1365C"/>
    <w:rsid w:val="00C13CE6"/>
    <w:rsid w:val="00C13E4C"/>
    <w:rsid w:val="00C144DC"/>
    <w:rsid w:val="00C14FC0"/>
    <w:rsid w:val="00C154CD"/>
    <w:rsid w:val="00C15B37"/>
    <w:rsid w:val="00C15C60"/>
    <w:rsid w:val="00C164B4"/>
    <w:rsid w:val="00C16BC2"/>
    <w:rsid w:val="00C1721C"/>
    <w:rsid w:val="00C178C7"/>
    <w:rsid w:val="00C1791C"/>
    <w:rsid w:val="00C17ACA"/>
    <w:rsid w:val="00C2022C"/>
    <w:rsid w:val="00C207A5"/>
    <w:rsid w:val="00C209AF"/>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BCC"/>
    <w:rsid w:val="00C31FAB"/>
    <w:rsid w:val="00C3216A"/>
    <w:rsid w:val="00C32F8C"/>
    <w:rsid w:val="00C331F1"/>
    <w:rsid w:val="00C333C8"/>
    <w:rsid w:val="00C33948"/>
    <w:rsid w:val="00C33E58"/>
    <w:rsid w:val="00C33FE1"/>
    <w:rsid w:val="00C34009"/>
    <w:rsid w:val="00C34783"/>
    <w:rsid w:val="00C34982"/>
    <w:rsid w:val="00C369CD"/>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ADF"/>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161"/>
    <w:rsid w:val="00C87F08"/>
    <w:rsid w:val="00C9044A"/>
    <w:rsid w:val="00C904E8"/>
    <w:rsid w:val="00C90FA6"/>
    <w:rsid w:val="00C90FBD"/>
    <w:rsid w:val="00C91731"/>
    <w:rsid w:val="00C9178E"/>
    <w:rsid w:val="00C91B34"/>
    <w:rsid w:val="00C9307E"/>
    <w:rsid w:val="00C93C39"/>
    <w:rsid w:val="00C93E45"/>
    <w:rsid w:val="00C93EF2"/>
    <w:rsid w:val="00C947BB"/>
    <w:rsid w:val="00C94A6C"/>
    <w:rsid w:val="00C94E2F"/>
    <w:rsid w:val="00C96088"/>
    <w:rsid w:val="00C964E7"/>
    <w:rsid w:val="00C96C52"/>
    <w:rsid w:val="00C97C8D"/>
    <w:rsid w:val="00CA1BAD"/>
    <w:rsid w:val="00CA3147"/>
    <w:rsid w:val="00CA358B"/>
    <w:rsid w:val="00CA4510"/>
    <w:rsid w:val="00CA47CC"/>
    <w:rsid w:val="00CA4877"/>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719"/>
    <w:rsid w:val="00CE1906"/>
    <w:rsid w:val="00CE1E75"/>
    <w:rsid w:val="00CE263F"/>
    <w:rsid w:val="00CE279C"/>
    <w:rsid w:val="00CE301B"/>
    <w:rsid w:val="00CE379E"/>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C52"/>
    <w:rsid w:val="00D92ED1"/>
    <w:rsid w:val="00D9348A"/>
    <w:rsid w:val="00D939B5"/>
    <w:rsid w:val="00D93C21"/>
    <w:rsid w:val="00D94AF3"/>
    <w:rsid w:val="00D95413"/>
    <w:rsid w:val="00D96012"/>
    <w:rsid w:val="00D96DC8"/>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462"/>
    <w:rsid w:val="00DC34E9"/>
    <w:rsid w:val="00DC3561"/>
    <w:rsid w:val="00DC35F4"/>
    <w:rsid w:val="00DC3779"/>
    <w:rsid w:val="00DC43AD"/>
    <w:rsid w:val="00DC48BE"/>
    <w:rsid w:val="00DC4B73"/>
    <w:rsid w:val="00DC596C"/>
    <w:rsid w:val="00DC60D5"/>
    <w:rsid w:val="00DC65A1"/>
    <w:rsid w:val="00DC6C4F"/>
    <w:rsid w:val="00DC6C65"/>
    <w:rsid w:val="00DC7081"/>
    <w:rsid w:val="00DC736E"/>
    <w:rsid w:val="00DC7A64"/>
    <w:rsid w:val="00DD0985"/>
    <w:rsid w:val="00DD15F7"/>
    <w:rsid w:val="00DD1A9D"/>
    <w:rsid w:val="00DD3B04"/>
    <w:rsid w:val="00DD3DAB"/>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7A6"/>
    <w:rsid w:val="00E858F3"/>
    <w:rsid w:val="00E8634C"/>
    <w:rsid w:val="00E8673C"/>
    <w:rsid w:val="00E86956"/>
    <w:rsid w:val="00E869C9"/>
    <w:rsid w:val="00E86C0C"/>
    <w:rsid w:val="00E86EC9"/>
    <w:rsid w:val="00E86FDC"/>
    <w:rsid w:val="00E874E7"/>
    <w:rsid w:val="00E87649"/>
    <w:rsid w:val="00E87A32"/>
    <w:rsid w:val="00E9018B"/>
    <w:rsid w:val="00E90391"/>
    <w:rsid w:val="00E9069D"/>
    <w:rsid w:val="00E9096F"/>
    <w:rsid w:val="00E91318"/>
    <w:rsid w:val="00E91C78"/>
    <w:rsid w:val="00E92DC4"/>
    <w:rsid w:val="00E93247"/>
    <w:rsid w:val="00E9385C"/>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B0C"/>
    <w:rsid w:val="00ED5BDA"/>
    <w:rsid w:val="00ED5E20"/>
    <w:rsid w:val="00ED5FFC"/>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E84"/>
    <w:rsid w:val="00F31ED3"/>
    <w:rsid w:val="00F321E4"/>
    <w:rsid w:val="00F3266C"/>
    <w:rsid w:val="00F33188"/>
    <w:rsid w:val="00F332ED"/>
    <w:rsid w:val="00F341CA"/>
    <w:rsid w:val="00F345C7"/>
    <w:rsid w:val="00F34B56"/>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B93"/>
    <w:rsid w:val="00F77C44"/>
    <w:rsid w:val="00F80354"/>
    <w:rsid w:val="00F80729"/>
    <w:rsid w:val="00F80A7D"/>
    <w:rsid w:val="00F81227"/>
    <w:rsid w:val="00F821CB"/>
    <w:rsid w:val="00F82388"/>
    <w:rsid w:val="00F826BE"/>
    <w:rsid w:val="00F82A01"/>
    <w:rsid w:val="00F837C9"/>
    <w:rsid w:val="00F83FAD"/>
    <w:rsid w:val="00F851FD"/>
    <w:rsid w:val="00F85442"/>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5477"/>
    <w:rsid w:val="00FF557D"/>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2F8E6C-18B5-4F44-8B1B-3F6669F1B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4.xml><?xml version="1.0" encoding="utf-8"?>
<ds:datastoreItem xmlns:ds="http://schemas.openxmlformats.org/officeDocument/2006/customXml" ds:itemID="{6A377863-9C04-41CF-9992-1F296722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11295</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Dennis Weinacht</cp:lastModifiedBy>
  <cp:revision>115</cp:revision>
  <cp:lastPrinted>2020-01-03T12:43:00Z</cp:lastPrinted>
  <dcterms:created xsi:type="dcterms:W3CDTF">2019-03-31T10:36:00Z</dcterms:created>
  <dcterms:modified xsi:type="dcterms:W3CDTF">2020-01-03T13:02:00Z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