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0D45" w14:textId="77777777" w:rsidR="00B21A2D" w:rsidRPr="0023208F" w:rsidRDefault="00B21A2D" w:rsidP="00B21A2D">
      <w:pPr>
        <w:pStyle w:val="paragrap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Pressemitteilung</w:t>
      </w:r>
      <w:r w:rsidRPr="0023208F">
        <w:rPr>
          <w:rStyle w:val="eop"/>
          <w:rFonts w:asciiTheme="minorHAnsi" w:hAnsiTheme="minorHAnsi" w:cs="Arial"/>
          <w:b/>
          <w:bCs/>
          <w:sz w:val="22"/>
          <w:szCs w:val="22"/>
        </w:rPr>
        <w:t> </w:t>
      </w:r>
    </w:p>
    <w:p w14:paraId="656F0866" w14:textId="77777777" w:rsidR="00B21A2D" w:rsidRPr="00B21A2D" w:rsidRDefault="00B21A2D" w:rsidP="00B21A2D">
      <w:pPr>
        <w:tabs>
          <w:tab w:val="left" w:pos="3420"/>
          <w:tab w:val="left" w:pos="6480"/>
        </w:tabs>
        <w:rPr>
          <w:rFonts w:cstheme="minorHAnsi"/>
          <w:b/>
          <w:sz w:val="25"/>
          <w:szCs w:val="25"/>
        </w:rPr>
      </w:pPr>
      <w:r w:rsidRPr="00B21A2D">
        <w:rPr>
          <w:rFonts w:cstheme="minorHAnsi"/>
          <w:b/>
          <w:sz w:val="25"/>
          <w:szCs w:val="25"/>
        </w:rPr>
        <w:t>Stuttgarter Investmentmarkt legt im 4. Quartal mächtig zu</w:t>
      </w:r>
    </w:p>
    <w:p w14:paraId="6FA22677" w14:textId="77777777" w:rsidR="00B21A2D" w:rsidRPr="00B21A2D" w:rsidRDefault="00B21A2D" w:rsidP="00B21A2D">
      <w:pPr>
        <w:pStyle w:val="Listenabsatz"/>
        <w:numPr>
          <w:ilvl w:val="0"/>
          <w:numId w:val="1"/>
        </w:numPr>
        <w:tabs>
          <w:tab w:val="left" w:pos="3420"/>
          <w:tab w:val="left" w:pos="6480"/>
        </w:tabs>
        <w:spacing w:line="259" w:lineRule="auto"/>
        <w:rPr>
          <w:rFonts w:cstheme="minorHAnsi"/>
          <w:b/>
        </w:rPr>
      </w:pPr>
      <w:r w:rsidRPr="00B21A2D">
        <w:rPr>
          <w:rFonts w:cstheme="minorHAnsi"/>
          <w:b/>
        </w:rPr>
        <w:t>Stabile Preise für City-Immobilien</w:t>
      </w:r>
    </w:p>
    <w:p w14:paraId="3AAA9546" w14:textId="77777777" w:rsidR="00B21A2D" w:rsidRPr="00B21A2D" w:rsidRDefault="00B21A2D" w:rsidP="00B21A2D">
      <w:pPr>
        <w:pStyle w:val="Listenabsatz"/>
        <w:numPr>
          <w:ilvl w:val="0"/>
          <w:numId w:val="1"/>
        </w:numPr>
        <w:tabs>
          <w:tab w:val="left" w:pos="3420"/>
          <w:tab w:val="left" w:pos="6480"/>
        </w:tabs>
        <w:spacing w:line="259" w:lineRule="auto"/>
        <w:rPr>
          <w:rFonts w:cstheme="minorHAnsi"/>
          <w:b/>
        </w:rPr>
      </w:pPr>
      <w:r w:rsidRPr="00B21A2D">
        <w:rPr>
          <w:rFonts w:cstheme="minorHAnsi"/>
          <w:b/>
        </w:rPr>
        <w:t xml:space="preserve">Core-Produkte im Fokus </w:t>
      </w:r>
    </w:p>
    <w:p w14:paraId="3D2D6397" w14:textId="77777777" w:rsidR="00B21A2D" w:rsidRDefault="00B21A2D" w:rsidP="00B21A2D">
      <w:pPr>
        <w:pStyle w:val="paragraph"/>
        <w:spacing w:line="360" w:lineRule="auto"/>
        <w:jc w:val="both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23208F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1152646F" w14:textId="1D2EA82F" w:rsidR="00B21A2D" w:rsidRDefault="00B21A2D" w:rsidP="00B21A2D">
      <w:pPr>
        <w:tabs>
          <w:tab w:val="left" w:pos="3420"/>
          <w:tab w:val="left" w:pos="6480"/>
        </w:tabs>
        <w:spacing w:line="360" w:lineRule="auto"/>
        <w:jc w:val="both"/>
        <w:rPr>
          <w:rFonts w:cstheme="minorHAnsi"/>
        </w:rPr>
      </w:pPr>
      <w:r w:rsidRPr="00D138C5">
        <w:rPr>
          <w:rStyle w:val="normaltextrun"/>
          <w:rFonts w:ascii="Calibri" w:hAnsi="Calibri" w:cs="Arial"/>
          <w:b/>
          <w:bCs/>
        </w:rPr>
        <w:t xml:space="preserve">Stuttgart, </w:t>
      </w:r>
      <w:r>
        <w:rPr>
          <w:rStyle w:val="normaltextrun"/>
          <w:rFonts w:ascii="Calibri" w:hAnsi="Calibri" w:cs="Arial"/>
          <w:b/>
          <w:bCs/>
        </w:rPr>
        <w:t>5. Januar 2022</w:t>
      </w:r>
      <w:r w:rsidRPr="00D138C5">
        <w:rPr>
          <w:rStyle w:val="normaltextrun"/>
          <w:rFonts w:ascii="Calibri" w:hAnsi="Calibri" w:cs="Arial"/>
          <w:b/>
          <w:bCs/>
        </w:rPr>
        <w:t xml:space="preserve"> – </w:t>
      </w:r>
      <w:r w:rsidRPr="006B2AFA">
        <w:rPr>
          <w:rFonts w:cstheme="minorHAnsi"/>
        </w:rPr>
        <w:t xml:space="preserve">Im Jahr 2021 konnte der Stuttgarter Investmentmarkt deutlich zulegen. </w:t>
      </w:r>
      <w:r w:rsidR="006B2AFA" w:rsidRPr="006B2AFA">
        <w:rPr>
          <w:rFonts w:cstheme="minorHAnsi"/>
        </w:rPr>
        <w:t>G</w:t>
      </w:r>
      <w:r w:rsidR="006B2AFA" w:rsidRPr="006B2AFA">
        <w:rPr>
          <w:iCs/>
        </w:rPr>
        <w:t xml:space="preserve">roßvolumige Büro-Transaktionen im Core-Segment </w:t>
      </w:r>
      <w:r w:rsidR="006B2AFA" w:rsidRPr="006B2AFA">
        <w:rPr>
          <w:iCs/>
        </w:rPr>
        <w:t>sorgten für ein äußerst lebhaftes 4. Quartal.</w:t>
      </w:r>
      <w:r w:rsidRPr="006B2AFA">
        <w:rPr>
          <w:rFonts w:cstheme="minorHAnsi"/>
        </w:rPr>
        <w:t xml:space="preserve"> Trotz der andauernden Covid19-Pandemie mit all ihren Unwägbarkeiten und makro-ökonomischen Risiken, dominierte der Nachfrageüberhang das Marktgeschehen, vor allem vor dem Hintergrund fehlender Alternativanlagemöglichkeiten. Die Folge daraus sind weiter stabile </w:t>
      </w:r>
      <w:bookmarkStart w:id="0" w:name="_GoBack"/>
      <w:bookmarkEnd w:id="0"/>
      <w:r w:rsidRPr="006B2AFA">
        <w:rPr>
          <w:rFonts w:cstheme="minorHAnsi"/>
        </w:rPr>
        <w:t>bzw. gestiegene Preise mit einem Gesamttransaktionsvolumen von ca. 2,0 Mrd. Euro.</w:t>
      </w:r>
    </w:p>
    <w:p w14:paraId="3FB5EFF0" w14:textId="1BC2D5EF" w:rsidR="00B21A2D" w:rsidRDefault="00B21A2D" w:rsidP="00B21A2D">
      <w:pPr>
        <w:tabs>
          <w:tab w:val="left" w:pos="3420"/>
          <w:tab w:val="left" w:pos="6480"/>
        </w:tabs>
        <w:spacing w:line="360" w:lineRule="auto"/>
        <w:jc w:val="both"/>
        <w:rPr>
          <w:rFonts w:cstheme="minorHAnsi"/>
        </w:rPr>
      </w:pPr>
      <w:r w:rsidRPr="002077D6">
        <w:rPr>
          <w:rFonts w:cstheme="minorHAnsi"/>
        </w:rPr>
        <w:t>In Zeiten der wirtschaftlichen Volatilität wurden Core</w:t>
      </w:r>
      <w:r>
        <w:rPr>
          <w:rFonts w:cstheme="minorHAnsi"/>
        </w:rPr>
        <w:t>-</w:t>
      </w:r>
      <w:r w:rsidRPr="002077D6">
        <w:rPr>
          <w:rFonts w:cstheme="minorHAnsi"/>
        </w:rPr>
        <w:t>/</w:t>
      </w:r>
      <w:proofErr w:type="spellStart"/>
      <w:r w:rsidRPr="002077D6">
        <w:rPr>
          <w:rFonts w:cstheme="minorHAnsi"/>
        </w:rPr>
        <w:t>Core</w:t>
      </w:r>
      <w:r>
        <w:rPr>
          <w:rFonts w:cstheme="minorHAnsi"/>
        </w:rPr>
        <w:t>Plus</w:t>
      </w:r>
      <w:proofErr w:type="spellEnd"/>
      <w:r w:rsidRPr="002077D6">
        <w:rPr>
          <w:rFonts w:cstheme="minorHAnsi"/>
        </w:rPr>
        <w:t xml:space="preserve">-Produkte </w:t>
      </w:r>
      <w:r>
        <w:rPr>
          <w:rFonts w:cstheme="minorHAnsi"/>
        </w:rPr>
        <w:t>in guten Lagen und mit stabilem Cashflow</w:t>
      </w:r>
      <w:r w:rsidRPr="002077D6">
        <w:rPr>
          <w:rFonts w:cstheme="minorHAnsi"/>
        </w:rPr>
        <w:t xml:space="preserve"> verstärkt nachgefragt. </w:t>
      </w:r>
      <w:r>
        <w:rPr>
          <w:rFonts w:cstheme="minorHAnsi"/>
        </w:rPr>
        <w:t>Mit einem Marktanteil von ca. 60 % standen v</w:t>
      </w:r>
      <w:r w:rsidRPr="002077D6">
        <w:rPr>
          <w:rFonts w:cstheme="minorHAnsi"/>
        </w:rPr>
        <w:t>or allem Büroimmobilien im Fokus der Investoren</w:t>
      </w:r>
      <w:r>
        <w:rPr>
          <w:rFonts w:cstheme="minorHAnsi"/>
        </w:rPr>
        <w:t xml:space="preserve">, </w:t>
      </w:r>
      <w:r w:rsidRPr="002077D6">
        <w:rPr>
          <w:rFonts w:cstheme="minorHAnsi"/>
        </w:rPr>
        <w:t xml:space="preserve">gefolgt von </w:t>
      </w:r>
      <w:r>
        <w:rPr>
          <w:rFonts w:cstheme="minorHAnsi"/>
        </w:rPr>
        <w:t>gemischt genutzten Liegenschaften</w:t>
      </w:r>
      <w:r w:rsidRPr="002077D6">
        <w:rPr>
          <w:rFonts w:cstheme="minorHAnsi"/>
        </w:rPr>
        <w:t xml:space="preserve"> </w:t>
      </w:r>
      <w:r>
        <w:rPr>
          <w:rFonts w:cstheme="minorHAnsi"/>
        </w:rPr>
        <w:t xml:space="preserve">mit </w:t>
      </w:r>
      <w:r w:rsidRPr="002077D6">
        <w:rPr>
          <w:rFonts w:cstheme="minorHAnsi"/>
        </w:rPr>
        <w:t>ca. 1</w:t>
      </w:r>
      <w:r>
        <w:rPr>
          <w:rFonts w:cstheme="minorHAnsi"/>
        </w:rPr>
        <w:t>8</w:t>
      </w:r>
      <w:r w:rsidRPr="002077D6">
        <w:rPr>
          <w:rFonts w:cstheme="minorHAnsi"/>
        </w:rPr>
        <w:t xml:space="preserve"> %.</w:t>
      </w:r>
      <w:r>
        <w:rPr>
          <w:rFonts w:cstheme="minorHAnsi"/>
        </w:rPr>
        <w:t xml:space="preserve"> </w:t>
      </w:r>
      <w:r w:rsidRPr="002077D6">
        <w:rPr>
          <w:rFonts w:cstheme="minorHAnsi"/>
        </w:rPr>
        <w:t>Dominierende Käufergruppe waren 202</w:t>
      </w:r>
      <w:r>
        <w:rPr>
          <w:rFonts w:cstheme="minorHAnsi"/>
        </w:rPr>
        <w:t>1</w:t>
      </w:r>
      <w:r w:rsidRPr="002077D6">
        <w:rPr>
          <w:rFonts w:cstheme="minorHAnsi"/>
        </w:rPr>
        <w:t xml:space="preserve"> </w:t>
      </w:r>
      <w:r>
        <w:rPr>
          <w:rFonts w:cstheme="minorHAnsi"/>
        </w:rPr>
        <w:t>offene Spezialfonds</w:t>
      </w:r>
      <w:r w:rsidRPr="002077D6">
        <w:rPr>
          <w:rFonts w:cstheme="minorHAnsi"/>
        </w:rPr>
        <w:t xml:space="preserve"> mit einem Transaktionsvolumen von rund </w:t>
      </w:r>
      <w:r>
        <w:rPr>
          <w:rFonts w:cstheme="minorHAnsi"/>
        </w:rPr>
        <w:t>650</w:t>
      </w:r>
      <w:r w:rsidRPr="002077D6">
        <w:rPr>
          <w:rFonts w:cstheme="minorHAnsi"/>
        </w:rPr>
        <w:t xml:space="preserve"> Mio. €</w:t>
      </w:r>
      <w:r>
        <w:rPr>
          <w:rFonts w:cstheme="minorHAnsi"/>
        </w:rPr>
        <w:t>,</w:t>
      </w:r>
      <w:r w:rsidRPr="002077D6">
        <w:rPr>
          <w:rFonts w:cstheme="minorHAnsi"/>
        </w:rPr>
        <w:t xml:space="preserve"> </w:t>
      </w:r>
      <w:r>
        <w:rPr>
          <w:rFonts w:cstheme="minorHAnsi"/>
        </w:rPr>
        <w:t>verbunden mit</w:t>
      </w:r>
      <w:r w:rsidRPr="002077D6">
        <w:rPr>
          <w:rFonts w:cstheme="minorHAnsi"/>
        </w:rPr>
        <w:t xml:space="preserve"> einem Marktanteil von etwa 3</w:t>
      </w:r>
      <w:r>
        <w:rPr>
          <w:rFonts w:cstheme="minorHAnsi"/>
        </w:rPr>
        <w:t>3</w:t>
      </w:r>
      <w:r w:rsidRPr="002077D6">
        <w:rPr>
          <w:rFonts w:cstheme="minorHAnsi"/>
        </w:rPr>
        <w:t xml:space="preserve"> %. Auch </w:t>
      </w:r>
      <w:r>
        <w:rPr>
          <w:rFonts w:cstheme="minorHAnsi"/>
        </w:rPr>
        <w:t xml:space="preserve">Versicherungen waren </w:t>
      </w:r>
      <w:r w:rsidRPr="002077D6">
        <w:rPr>
          <w:rFonts w:cstheme="minorHAnsi"/>
        </w:rPr>
        <w:t xml:space="preserve">mit ca. </w:t>
      </w:r>
      <w:r>
        <w:rPr>
          <w:rFonts w:cstheme="minorHAnsi"/>
        </w:rPr>
        <w:t>18</w:t>
      </w:r>
      <w:r w:rsidRPr="002077D6">
        <w:rPr>
          <w:rFonts w:cstheme="minorHAnsi"/>
        </w:rPr>
        <w:t xml:space="preserve"> % </w:t>
      </w:r>
      <w:r>
        <w:rPr>
          <w:rFonts w:cstheme="minorHAnsi"/>
        </w:rPr>
        <w:t>des</w:t>
      </w:r>
      <w:r w:rsidRPr="002077D6">
        <w:rPr>
          <w:rFonts w:cstheme="minorHAnsi"/>
        </w:rPr>
        <w:t xml:space="preserve"> Investmentumsatz</w:t>
      </w:r>
      <w:r>
        <w:rPr>
          <w:rFonts w:cstheme="minorHAnsi"/>
        </w:rPr>
        <w:t xml:space="preserve"> sehr aktiv </w:t>
      </w:r>
      <w:r w:rsidRPr="002077D6">
        <w:rPr>
          <w:rFonts w:cstheme="minorHAnsi"/>
        </w:rPr>
        <w:t xml:space="preserve">am Markt. </w:t>
      </w:r>
      <w:r>
        <w:rPr>
          <w:rFonts w:cstheme="minorHAnsi"/>
        </w:rPr>
        <w:t>Wie bereits im Vorjahr, zählten Projektentwickler (ca. 47 %) zu der mit Abstand größten</w:t>
      </w:r>
      <w:r w:rsidRPr="002077D6">
        <w:rPr>
          <w:rFonts w:cstheme="minorHAnsi"/>
        </w:rPr>
        <w:t xml:space="preserve"> Verkäufergruppe</w:t>
      </w:r>
      <w:r>
        <w:rPr>
          <w:rFonts w:cstheme="minorHAnsi"/>
        </w:rPr>
        <w:t>. mit deutlicher Distanz gefolgt von der Gruppe der Fondsmanager (ca. 24 %)</w:t>
      </w:r>
      <w:r w:rsidRPr="002077D6">
        <w:rPr>
          <w:rFonts w:cstheme="minorHAnsi"/>
        </w:rPr>
        <w:t xml:space="preserve">. </w:t>
      </w:r>
      <w:r>
        <w:rPr>
          <w:rFonts w:cstheme="minorHAnsi"/>
        </w:rPr>
        <w:br/>
      </w:r>
    </w:p>
    <w:p w14:paraId="5C9F04FC" w14:textId="2B323207" w:rsidR="00B21A2D" w:rsidRDefault="00B21A2D" w:rsidP="00B21A2D">
      <w:pPr>
        <w:tabs>
          <w:tab w:val="left" w:pos="3420"/>
          <w:tab w:val="left" w:pos="6480"/>
        </w:tabs>
        <w:spacing w:line="360" w:lineRule="auto"/>
        <w:jc w:val="both"/>
        <w:rPr>
          <w:rFonts w:cstheme="minorHAnsi"/>
        </w:rPr>
      </w:pPr>
      <w:r w:rsidRPr="002077D6">
        <w:rPr>
          <w:rFonts w:cstheme="minorHAnsi"/>
        </w:rPr>
        <w:t>Das Jahr 202</w:t>
      </w:r>
      <w:r>
        <w:rPr>
          <w:rFonts w:cstheme="minorHAnsi"/>
        </w:rPr>
        <w:t xml:space="preserve">1 </w:t>
      </w:r>
      <w:r w:rsidRPr="002077D6">
        <w:rPr>
          <w:rFonts w:cstheme="minorHAnsi"/>
        </w:rPr>
        <w:t xml:space="preserve">startete </w:t>
      </w:r>
      <w:r>
        <w:rPr>
          <w:rFonts w:cstheme="minorHAnsi"/>
        </w:rPr>
        <w:t xml:space="preserve">verhalten, </w:t>
      </w:r>
      <w:r w:rsidRPr="002077D6">
        <w:rPr>
          <w:rFonts w:cstheme="minorHAnsi"/>
        </w:rPr>
        <w:t xml:space="preserve">mit Transaktionen im </w:t>
      </w:r>
      <w:r>
        <w:rPr>
          <w:rFonts w:cstheme="minorHAnsi"/>
        </w:rPr>
        <w:t>mittleren</w:t>
      </w:r>
      <w:r w:rsidRPr="002077D6">
        <w:rPr>
          <w:rFonts w:cstheme="minorHAnsi"/>
        </w:rPr>
        <w:t xml:space="preserve"> zweistelligen Millionenbereich und einem</w:t>
      </w:r>
      <w:r>
        <w:rPr>
          <w:rFonts w:cstheme="minorHAnsi"/>
        </w:rPr>
        <w:t>,</w:t>
      </w:r>
      <w:r w:rsidRPr="002077D6">
        <w:rPr>
          <w:rFonts w:cstheme="minorHAnsi"/>
        </w:rPr>
        <w:t xml:space="preserve"> </w:t>
      </w:r>
      <w:r>
        <w:rPr>
          <w:rFonts w:cstheme="minorHAnsi"/>
        </w:rPr>
        <w:t xml:space="preserve">im Vergleich zu den </w:t>
      </w:r>
      <w:r w:rsidRPr="002077D6">
        <w:rPr>
          <w:rFonts w:cstheme="minorHAnsi"/>
        </w:rPr>
        <w:t>Vorjahren</w:t>
      </w:r>
      <w:r>
        <w:rPr>
          <w:rFonts w:cstheme="minorHAnsi"/>
        </w:rPr>
        <w:t>,</w:t>
      </w:r>
      <w:r w:rsidRPr="002077D6">
        <w:rPr>
          <w:rFonts w:cstheme="minorHAnsi"/>
        </w:rPr>
        <w:t xml:space="preserve"> </w:t>
      </w:r>
      <w:r>
        <w:rPr>
          <w:rFonts w:cstheme="minorHAnsi"/>
        </w:rPr>
        <w:t>eher geringen</w:t>
      </w:r>
      <w:r w:rsidRPr="002077D6">
        <w:rPr>
          <w:rFonts w:cstheme="minorHAnsi"/>
        </w:rPr>
        <w:t xml:space="preserve"> Volumen von etwa </w:t>
      </w:r>
      <w:r>
        <w:rPr>
          <w:rFonts w:cstheme="minorHAnsi"/>
        </w:rPr>
        <w:t>260</w:t>
      </w:r>
      <w:r w:rsidRPr="002077D6">
        <w:rPr>
          <w:rFonts w:cstheme="minorHAnsi"/>
        </w:rPr>
        <w:t xml:space="preserve"> Mio. </w:t>
      </w:r>
      <w:r>
        <w:rPr>
          <w:rFonts w:cstheme="minorHAnsi"/>
        </w:rPr>
        <w:t>Euro</w:t>
      </w:r>
      <w:r w:rsidRPr="002077D6">
        <w:rPr>
          <w:rFonts w:cstheme="minorHAnsi"/>
        </w:rPr>
        <w:t xml:space="preserve">. </w:t>
      </w:r>
      <w:r>
        <w:rPr>
          <w:rFonts w:cstheme="minorHAnsi"/>
        </w:rPr>
        <w:t>Eine geringfügige Steigerung konnte das 2.</w:t>
      </w:r>
      <w:r w:rsidRPr="002077D6">
        <w:rPr>
          <w:rFonts w:cstheme="minorHAnsi"/>
        </w:rPr>
        <w:t xml:space="preserve"> Quartal</w:t>
      </w:r>
      <w:r>
        <w:rPr>
          <w:rFonts w:cstheme="minorHAnsi"/>
        </w:rPr>
        <w:t xml:space="preserve"> (ca. 305 Mio. Euro)</w:t>
      </w:r>
      <w:r w:rsidRPr="002077D6">
        <w:rPr>
          <w:rFonts w:cstheme="minorHAnsi"/>
        </w:rPr>
        <w:t xml:space="preserve"> </w:t>
      </w:r>
      <w:r>
        <w:rPr>
          <w:rFonts w:cstheme="minorHAnsi"/>
        </w:rPr>
        <w:t xml:space="preserve">verbuchen, die im 3. Quartal (ca. 372 Mio. Euro) nochmals ausgebaut werden konnte. Das 4. Quartal endete mit einem absoluten Rekordergebnis für den </w:t>
      </w:r>
      <w:r w:rsidRPr="002077D6">
        <w:rPr>
          <w:rFonts w:cstheme="minorHAnsi"/>
        </w:rPr>
        <w:t xml:space="preserve">Stuttgarter Immobilienmarkt </w:t>
      </w:r>
      <w:r>
        <w:rPr>
          <w:rFonts w:cstheme="minorHAnsi"/>
        </w:rPr>
        <w:t>(ca. 1.061 Mio. Euro).</w:t>
      </w:r>
    </w:p>
    <w:p w14:paraId="5B8F1030" w14:textId="77777777" w:rsidR="00B21A2D" w:rsidRDefault="00B21A2D" w:rsidP="00B21A2D">
      <w:pPr>
        <w:tabs>
          <w:tab w:val="left" w:pos="3420"/>
          <w:tab w:val="left" w:pos="648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Internationale Investoren spielten 2021 auf Käuferseite keine entscheidende Rolle (ca. 3 %)</w:t>
      </w:r>
      <w:r w:rsidRPr="002077D6">
        <w:rPr>
          <w:rFonts w:cstheme="minorHAnsi"/>
        </w:rPr>
        <w:t>.</w:t>
      </w:r>
      <w:r>
        <w:rPr>
          <w:rFonts w:cstheme="minorHAnsi"/>
        </w:rPr>
        <w:t xml:space="preserve"> Dies ist sicherlich durch die nach wie vor eingeschränkte Reisebedingungen, aber auch durch den enormen Wettbewerb mit den nationalen Investoren begründet. </w:t>
      </w:r>
      <w:r w:rsidRPr="002077D6">
        <w:rPr>
          <w:rFonts w:cstheme="minorHAnsi"/>
        </w:rPr>
        <w:t xml:space="preserve"> </w:t>
      </w:r>
    </w:p>
    <w:p w14:paraId="3EBB3EF0" w14:textId="77777777" w:rsidR="00B21A2D" w:rsidRDefault="00B21A2D" w:rsidP="00B21A2D">
      <w:pPr>
        <w:tabs>
          <w:tab w:val="left" w:pos="3420"/>
          <w:tab w:val="left" w:pos="6480"/>
        </w:tabs>
        <w:spacing w:line="360" w:lineRule="auto"/>
        <w:jc w:val="both"/>
        <w:rPr>
          <w:rFonts w:cstheme="minorHAnsi"/>
          <w:i/>
        </w:rPr>
      </w:pPr>
      <w:r w:rsidRPr="00331BF5">
        <w:rPr>
          <w:rFonts w:cstheme="minorHAnsi"/>
          <w:i/>
        </w:rPr>
        <w:t>„Trotz dem sich in der Umsetzung befindlichen Strukturwandels, mit all seinen Chancen und Risiken, bleibt der Stuttgarter Markt im Fokus nationaler und internationaler Investoren“,</w:t>
      </w:r>
      <w:r>
        <w:rPr>
          <w:rFonts w:cstheme="minorHAnsi"/>
        </w:rPr>
        <w:t xml:space="preserve"> </w:t>
      </w:r>
      <w:r w:rsidRPr="002077D6">
        <w:rPr>
          <w:rFonts w:cstheme="minorHAnsi"/>
        </w:rPr>
        <w:t>bestätigt Björn Holzwarth, geschäftsführender Gesellschafter von E</w:t>
      </w:r>
      <w:r>
        <w:rPr>
          <w:rFonts w:cstheme="minorHAnsi"/>
        </w:rPr>
        <w:t xml:space="preserve"> </w:t>
      </w:r>
      <w:r w:rsidRPr="002077D6">
        <w:rPr>
          <w:rFonts w:cstheme="minorHAnsi"/>
        </w:rPr>
        <w:t>&amp;</w:t>
      </w:r>
      <w:r>
        <w:rPr>
          <w:rFonts w:cstheme="minorHAnsi"/>
        </w:rPr>
        <w:t xml:space="preserve"> </w:t>
      </w:r>
      <w:r w:rsidRPr="002077D6">
        <w:rPr>
          <w:rFonts w:cstheme="minorHAnsi"/>
        </w:rPr>
        <w:t xml:space="preserve">G Real Estate. </w:t>
      </w:r>
      <w:r w:rsidRPr="00331BF5">
        <w:rPr>
          <w:rFonts w:cstheme="minorHAnsi"/>
          <w:i/>
        </w:rPr>
        <w:t xml:space="preserve">„Dieser </w:t>
      </w:r>
    </w:p>
    <w:p w14:paraId="784F1398" w14:textId="77777777" w:rsidR="00B21A2D" w:rsidRDefault="00B21A2D" w:rsidP="00B21A2D">
      <w:pPr>
        <w:tabs>
          <w:tab w:val="left" w:pos="3420"/>
          <w:tab w:val="left" w:pos="6480"/>
        </w:tabs>
        <w:spacing w:line="360" w:lineRule="auto"/>
        <w:jc w:val="both"/>
        <w:rPr>
          <w:rFonts w:cstheme="minorHAnsi"/>
          <w:i/>
        </w:rPr>
      </w:pPr>
    </w:p>
    <w:p w14:paraId="1A6CD6B5" w14:textId="306A47BE" w:rsidR="00B21A2D" w:rsidRPr="002077D6" w:rsidRDefault="00B21A2D" w:rsidP="00B21A2D">
      <w:pPr>
        <w:tabs>
          <w:tab w:val="left" w:pos="3420"/>
          <w:tab w:val="left" w:pos="6480"/>
        </w:tabs>
        <w:spacing w:line="360" w:lineRule="auto"/>
        <w:jc w:val="both"/>
        <w:rPr>
          <w:rFonts w:cstheme="minorHAnsi"/>
        </w:rPr>
      </w:pPr>
      <w:r w:rsidRPr="00331BF5">
        <w:rPr>
          <w:rFonts w:cstheme="minorHAnsi"/>
          <w:i/>
        </w:rPr>
        <w:t>Trend dürfte sich auch 2022 und 2023 fortsetzen. Aufgrund der Deal-Pipeline ist davon auszugehen, dass für 2022 ein Transaktionsvolumen von rund 1,5 Mrd. € zu erwarten sei.“</w:t>
      </w:r>
    </w:p>
    <w:p w14:paraId="5C75AC5A" w14:textId="7938D1AB" w:rsidR="00B21A2D" w:rsidRDefault="00B21A2D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13D0981E" w14:textId="44686847" w:rsidR="00CE36AE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74753A2A" w14:textId="3ECB189D" w:rsidR="00CE36AE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107C0865" w14:textId="015AB781" w:rsidR="00CE36AE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103E74CE" w14:textId="4713CB5E" w:rsidR="00CE36AE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5D6DB3E5" w14:textId="549B3926" w:rsidR="00CE36AE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61EC424A" w14:textId="3FB808C5" w:rsidR="00CE36AE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12353906" w14:textId="1ED94B49" w:rsidR="00CE36AE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1129FA87" w14:textId="127CB9B4" w:rsidR="00CE36AE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55ECEBC2" w14:textId="7D1D423F" w:rsidR="00CE36AE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668363BE" w14:textId="59966FC6" w:rsidR="00CE36AE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7B4AF384" w14:textId="77777777" w:rsidR="00CE36AE" w:rsidRPr="00D138C5" w:rsidRDefault="00CE36AE" w:rsidP="00B21A2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</w:p>
    <w:p w14:paraId="2961E74B" w14:textId="77777777" w:rsidR="00B21A2D" w:rsidRPr="00A370B2" w:rsidRDefault="00B21A2D" w:rsidP="00B21A2D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2BF2DF9F" w14:textId="77777777" w:rsidR="00B21A2D" w:rsidRPr="005F15BB" w:rsidRDefault="00B21A2D" w:rsidP="00B21A2D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In Baden-Württemberg und Bayern steht die </w:t>
      </w:r>
      <w:hyperlink r:id="rId8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E &amp; G Real Estate</w:t>
        </w:r>
      </w:hyperlink>
      <w:r w:rsidRPr="005F15BB">
        <w:rPr>
          <w:rStyle w:val="Hyperlink"/>
          <w:rFonts w:eastAsia="Times New Roman" w:cstheme="minorHAnsi"/>
          <w:sz w:val="18"/>
          <w:szCs w:val="16"/>
          <w:lang w:eastAsia="de-DE"/>
        </w:rPr>
        <w:t xml:space="preserve"> GmbH</w:t>
      </w:r>
      <w:r w:rsidRPr="005F15BB">
        <w:rPr>
          <w:rFonts w:eastAsia="Times New Roman" w:cstheme="minorHAnsi"/>
          <w:sz w:val="18"/>
          <w:szCs w:val="16"/>
          <w:lang w:eastAsia="de-DE"/>
        </w:rPr>
        <w:t xml:space="preserve"> für individuelle und persönliche Beratung beim Verkauf und der Vermietung von Gewerbe- und Wohnimmobilien. Neben dem Stuttgarter Stammsitz und der Münchner Niederlassung ist E &amp; G Real Estate, durch die Mehrheitsbeteiligung der Grossmann &amp; Berger GmbH seit Mai 2021 auch im norddeutschen Raum vertreten. Die insgesamt rund 250 Mitarbeiter profitieren von mehr als 85 Jahren Immobilienkompetenz und decken damit das gesamte Branchen-Dienstleistungsspektrum ab.</w:t>
      </w:r>
    </w:p>
    <w:p w14:paraId="1F799328" w14:textId="77777777" w:rsidR="00B21A2D" w:rsidRPr="005F15BB" w:rsidRDefault="00B21A2D" w:rsidP="00B21A2D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E &amp; G Real Estate ist Gründungsmitglied von </w:t>
      </w:r>
      <w:hyperlink r:id="rId9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German Property Partners</w:t>
        </w:r>
      </w:hyperlink>
      <w:r w:rsidRPr="005F15BB">
        <w:rPr>
          <w:rFonts w:eastAsia="Times New Roman" w:cstheme="minorHAnsi"/>
          <w:sz w:val="18"/>
          <w:szCs w:val="16"/>
          <w:lang w:eastAsia="de-DE"/>
        </w:rPr>
        <w:t xml:space="preserve"> (GPP) und bietet ein deutschlandweites Gewerbeimmobiliennetzwerk an allen Top-7-Standorten.</w:t>
      </w:r>
    </w:p>
    <w:p w14:paraId="160F2872" w14:textId="77777777" w:rsidR="00B21A2D" w:rsidRDefault="00B21A2D" w:rsidP="00B21A2D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5E8F58C1" w14:textId="77777777" w:rsidR="00B21A2D" w:rsidRDefault="00B21A2D" w:rsidP="00B21A2D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3C4CDEEC" w14:textId="77777777" w:rsidR="00B21A2D" w:rsidRPr="007C6E33" w:rsidRDefault="00B21A2D" w:rsidP="00B21A2D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6C10D268" w14:textId="77777777" w:rsidR="00B21A2D" w:rsidRPr="007C6E33" w:rsidRDefault="00B21A2D" w:rsidP="00B21A2D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5C64D558" w14:textId="77777777" w:rsidR="00B21A2D" w:rsidRPr="007C6E33" w:rsidRDefault="00B21A2D" w:rsidP="00B21A2D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23596AA9" w14:textId="77777777" w:rsidR="00B21A2D" w:rsidRPr="007C6E33" w:rsidRDefault="00B21A2D" w:rsidP="00B21A2D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Pr="007C6E33">
        <w:rPr>
          <w:rFonts w:eastAsia="Cambria" w:cs="Arial"/>
          <w:iCs/>
          <w:sz w:val="18"/>
          <w:szCs w:val="18"/>
        </w:rPr>
        <w:t>/</w:t>
      </w:r>
      <w:r>
        <w:rPr>
          <w:rFonts w:eastAsia="Cambria" w:cs="Arial"/>
          <w:iCs/>
          <w:sz w:val="18"/>
          <w:szCs w:val="18"/>
        </w:rPr>
        <w:t>20702-700</w:t>
      </w:r>
    </w:p>
    <w:p w14:paraId="385D9921" w14:textId="77777777" w:rsidR="00B21A2D" w:rsidRPr="0023208F" w:rsidRDefault="00B21A2D" w:rsidP="00B21A2D">
      <w:pPr>
        <w:spacing w:after="0" w:line="240" w:lineRule="auto"/>
      </w:pPr>
      <w:r>
        <w:rPr>
          <w:rFonts w:eastAsia="Cambria" w:cs="Arial"/>
          <w:iCs/>
          <w:sz w:val="18"/>
          <w:szCs w:val="18"/>
        </w:rPr>
        <w:t xml:space="preserve">E-Mail: </w:t>
      </w:r>
      <w:r w:rsidRPr="007C6E33">
        <w:rPr>
          <w:rFonts w:eastAsia="Cambria" w:cs="Arial"/>
          <w:iCs/>
          <w:sz w:val="18"/>
          <w:szCs w:val="18"/>
        </w:rPr>
        <w:t>Sarah.Hein@eug-re.de</w:t>
      </w:r>
    </w:p>
    <w:p w14:paraId="79C8689E" w14:textId="77777777" w:rsidR="00B21A2D" w:rsidRPr="0023208F" w:rsidRDefault="00B21A2D" w:rsidP="00B21A2D">
      <w:pPr>
        <w:spacing w:before="100" w:beforeAutospacing="1" w:after="100" w:afterAutospacing="1" w:line="240" w:lineRule="auto"/>
        <w:jc w:val="both"/>
        <w:textAlignment w:val="baseline"/>
      </w:pPr>
      <w:r w:rsidRPr="0023208F">
        <w:rPr>
          <w:rFonts w:eastAsia="Times New Roman" w:cs="Arial"/>
          <w:color w:val="000000"/>
          <w:lang w:eastAsia="de-DE"/>
        </w:rPr>
        <w:lastRenderedPageBreak/>
        <w:t> </w:t>
      </w:r>
    </w:p>
    <w:p w14:paraId="1774A4AA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0DDDC94" w14:textId="77777777" w:rsidR="00B05DC4" w:rsidRPr="0023208F" w:rsidRDefault="00B05DC4" w:rsidP="00B05DC4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  <w:lang w:eastAsia="de-DE"/>
        </w:rPr>
      </w:pPr>
    </w:p>
    <w:p w14:paraId="0A641D45" w14:textId="77777777" w:rsidR="002374F6" w:rsidRPr="0023208F" w:rsidRDefault="00B05DC4" w:rsidP="007C6E33">
      <w:pPr>
        <w:spacing w:before="100" w:beforeAutospacing="1" w:after="100" w:afterAutospacing="1" w:line="240" w:lineRule="auto"/>
        <w:jc w:val="both"/>
        <w:textAlignment w:val="baseline"/>
      </w:pPr>
      <w:r w:rsidRPr="0023208F">
        <w:rPr>
          <w:rFonts w:eastAsia="Times New Roman" w:cs="Arial"/>
          <w:color w:val="000000"/>
          <w:lang w:eastAsia="de-DE"/>
        </w:rPr>
        <w:t> </w:t>
      </w:r>
    </w:p>
    <w:sectPr w:rsidR="002374F6" w:rsidRPr="0023208F" w:rsidSect="0023208F">
      <w:headerReference w:type="default" r:id="rId10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6DB7A724" w:rsidR="0023208F" w:rsidRDefault="00C44C4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99620" wp14:editId="02955E6D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2609215" cy="4572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13939"/>
    <w:rsid w:val="00025A55"/>
    <w:rsid w:val="00025EBB"/>
    <w:rsid w:val="00037BF3"/>
    <w:rsid w:val="00054667"/>
    <w:rsid w:val="00073893"/>
    <w:rsid w:val="00084A80"/>
    <w:rsid w:val="000E0374"/>
    <w:rsid w:val="000E692D"/>
    <w:rsid w:val="00116C34"/>
    <w:rsid w:val="00131310"/>
    <w:rsid w:val="00147119"/>
    <w:rsid w:val="00187578"/>
    <w:rsid w:val="00191CB6"/>
    <w:rsid w:val="001C4516"/>
    <w:rsid w:val="001F6BB4"/>
    <w:rsid w:val="0020141E"/>
    <w:rsid w:val="0021417F"/>
    <w:rsid w:val="00227776"/>
    <w:rsid w:val="0023208F"/>
    <w:rsid w:val="0023404E"/>
    <w:rsid w:val="002374F6"/>
    <w:rsid w:val="00240221"/>
    <w:rsid w:val="00241BEC"/>
    <w:rsid w:val="002463B7"/>
    <w:rsid w:val="002617D7"/>
    <w:rsid w:val="0027407C"/>
    <w:rsid w:val="00284534"/>
    <w:rsid w:val="002A08AC"/>
    <w:rsid w:val="002C08C9"/>
    <w:rsid w:val="002D0597"/>
    <w:rsid w:val="002E0A61"/>
    <w:rsid w:val="002F610A"/>
    <w:rsid w:val="002F6529"/>
    <w:rsid w:val="003273C6"/>
    <w:rsid w:val="003278CA"/>
    <w:rsid w:val="00333AD8"/>
    <w:rsid w:val="003760C3"/>
    <w:rsid w:val="00380240"/>
    <w:rsid w:val="00386ED8"/>
    <w:rsid w:val="003941C0"/>
    <w:rsid w:val="003A0771"/>
    <w:rsid w:val="003C4D1A"/>
    <w:rsid w:val="003C751E"/>
    <w:rsid w:val="003D03F3"/>
    <w:rsid w:val="003D2240"/>
    <w:rsid w:val="003E14FE"/>
    <w:rsid w:val="003E6E27"/>
    <w:rsid w:val="003F3767"/>
    <w:rsid w:val="004039F3"/>
    <w:rsid w:val="00435113"/>
    <w:rsid w:val="004459F8"/>
    <w:rsid w:val="004470E3"/>
    <w:rsid w:val="004630F1"/>
    <w:rsid w:val="00467952"/>
    <w:rsid w:val="00474CED"/>
    <w:rsid w:val="004955F5"/>
    <w:rsid w:val="004A7A09"/>
    <w:rsid w:val="004C0F9D"/>
    <w:rsid w:val="004D2797"/>
    <w:rsid w:val="005041B8"/>
    <w:rsid w:val="0050732B"/>
    <w:rsid w:val="00511289"/>
    <w:rsid w:val="00527467"/>
    <w:rsid w:val="005412B3"/>
    <w:rsid w:val="005824EB"/>
    <w:rsid w:val="005A3E65"/>
    <w:rsid w:val="005C10F2"/>
    <w:rsid w:val="005C6BCC"/>
    <w:rsid w:val="005D2B69"/>
    <w:rsid w:val="005E51CE"/>
    <w:rsid w:val="00602B37"/>
    <w:rsid w:val="00621653"/>
    <w:rsid w:val="00634F0F"/>
    <w:rsid w:val="006606B2"/>
    <w:rsid w:val="00664A98"/>
    <w:rsid w:val="00665B97"/>
    <w:rsid w:val="006716ED"/>
    <w:rsid w:val="0067368B"/>
    <w:rsid w:val="00673FBB"/>
    <w:rsid w:val="006751A0"/>
    <w:rsid w:val="006755A7"/>
    <w:rsid w:val="00680A97"/>
    <w:rsid w:val="006A354A"/>
    <w:rsid w:val="006B2AFA"/>
    <w:rsid w:val="006C3E1F"/>
    <w:rsid w:val="006C56E2"/>
    <w:rsid w:val="006D4310"/>
    <w:rsid w:val="006F45BA"/>
    <w:rsid w:val="0072006C"/>
    <w:rsid w:val="00740F0C"/>
    <w:rsid w:val="00751ABA"/>
    <w:rsid w:val="00764F40"/>
    <w:rsid w:val="007744B8"/>
    <w:rsid w:val="00776280"/>
    <w:rsid w:val="007B0224"/>
    <w:rsid w:val="007B247B"/>
    <w:rsid w:val="007C0A7A"/>
    <w:rsid w:val="007C6E33"/>
    <w:rsid w:val="007D3A96"/>
    <w:rsid w:val="007F3185"/>
    <w:rsid w:val="008653E3"/>
    <w:rsid w:val="008873F2"/>
    <w:rsid w:val="008B0938"/>
    <w:rsid w:val="008D16A6"/>
    <w:rsid w:val="008D27B7"/>
    <w:rsid w:val="008E4054"/>
    <w:rsid w:val="009105B7"/>
    <w:rsid w:val="0091519C"/>
    <w:rsid w:val="00915FE8"/>
    <w:rsid w:val="00930478"/>
    <w:rsid w:val="00932A7F"/>
    <w:rsid w:val="00956685"/>
    <w:rsid w:val="00967682"/>
    <w:rsid w:val="009717CA"/>
    <w:rsid w:val="009724D2"/>
    <w:rsid w:val="009B2718"/>
    <w:rsid w:val="009B34F3"/>
    <w:rsid w:val="009C2B4A"/>
    <w:rsid w:val="009D4B65"/>
    <w:rsid w:val="009D7BA5"/>
    <w:rsid w:val="009E0BB6"/>
    <w:rsid w:val="009F7762"/>
    <w:rsid w:val="00A0417A"/>
    <w:rsid w:val="00A07CFA"/>
    <w:rsid w:val="00A370B2"/>
    <w:rsid w:val="00A40298"/>
    <w:rsid w:val="00A62581"/>
    <w:rsid w:val="00A70004"/>
    <w:rsid w:val="00AE75EB"/>
    <w:rsid w:val="00B05DC4"/>
    <w:rsid w:val="00B20A6C"/>
    <w:rsid w:val="00B21A2D"/>
    <w:rsid w:val="00B21BFF"/>
    <w:rsid w:val="00B4769D"/>
    <w:rsid w:val="00B62702"/>
    <w:rsid w:val="00BA05F1"/>
    <w:rsid w:val="00BA5DDA"/>
    <w:rsid w:val="00BD70ED"/>
    <w:rsid w:val="00BE09D0"/>
    <w:rsid w:val="00BE149F"/>
    <w:rsid w:val="00BE62C7"/>
    <w:rsid w:val="00C14CDA"/>
    <w:rsid w:val="00C165F8"/>
    <w:rsid w:val="00C207EB"/>
    <w:rsid w:val="00C3048A"/>
    <w:rsid w:val="00C30D9F"/>
    <w:rsid w:val="00C44C44"/>
    <w:rsid w:val="00C47794"/>
    <w:rsid w:val="00C62191"/>
    <w:rsid w:val="00C65144"/>
    <w:rsid w:val="00C7001C"/>
    <w:rsid w:val="00CA0559"/>
    <w:rsid w:val="00CA7AC8"/>
    <w:rsid w:val="00CC77C3"/>
    <w:rsid w:val="00CE36AE"/>
    <w:rsid w:val="00CE38E0"/>
    <w:rsid w:val="00D125C0"/>
    <w:rsid w:val="00D138C5"/>
    <w:rsid w:val="00D148D7"/>
    <w:rsid w:val="00D24A54"/>
    <w:rsid w:val="00D318CA"/>
    <w:rsid w:val="00D360DF"/>
    <w:rsid w:val="00D411D0"/>
    <w:rsid w:val="00D4375F"/>
    <w:rsid w:val="00D466F4"/>
    <w:rsid w:val="00D95AB0"/>
    <w:rsid w:val="00DC2B65"/>
    <w:rsid w:val="00DD5E8B"/>
    <w:rsid w:val="00DE601A"/>
    <w:rsid w:val="00DE7E77"/>
    <w:rsid w:val="00DF3DA0"/>
    <w:rsid w:val="00DF60E7"/>
    <w:rsid w:val="00E26B64"/>
    <w:rsid w:val="00E362C9"/>
    <w:rsid w:val="00E51ECA"/>
    <w:rsid w:val="00E663B0"/>
    <w:rsid w:val="00E81667"/>
    <w:rsid w:val="00EA48A1"/>
    <w:rsid w:val="00EC048A"/>
    <w:rsid w:val="00EF4C86"/>
    <w:rsid w:val="00F01105"/>
    <w:rsid w:val="00F038F6"/>
    <w:rsid w:val="00F10900"/>
    <w:rsid w:val="00F32FD2"/>
    <w:rsid w:val="00F43FDA"/>
    <w:rsid w:val="00F44059"/>
    <w:rsid w:val="00F471A9"/>
    <w:rsid w:val="00F53388"/>
    <w:rsid w:val="00F62B03"/>
    <w:rsid w:val="00F70F64"/>
    <w:rsid w:val="00F72A94"/>
    <w:rsid w:val="00F80AB4"/>
    <w:rsid w:val="00F968B3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955F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g-realestat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rmanpropertypartne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F5CD-E3FD-4611-9E31-E7571911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3</cp:revision>
  <cp:lastPrinted>2019-03-22T10:24:00Z</cp:lastPrinted>
  <dcterms:created xsi:type="dcterms:W3CDTF">2022-01-05T14:42:00Z</dcterms:created>
  <dcterms:modified xsi:type="dcterms:W3CDTF">2022-01-05T15:01:00Z</dcterms:modified>
</cp:coreProperties>
</file>