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EA640" w14:textId="15D43DD1" w:rsidR="00880E09" w:rsidRPr="0090126F" w:rsidRDefault="00552E1B" w:rsidP="00880E09">
      <w:pPr>
        <w:spacing w:after="0" w:line="360" w:lineRule="auto"/>
        <w:rPr>
          <w:rFonts w:ascii="Arial" w:hAnsi="Arial" w:cs="Arial"/>
          <w:b/>
        </w:rPr>
      </w:pPr>
      <w:r w:rsidRPr="0090126F">
        <w:rPr>
          <w:rFonts w:ascii="Arial" w:hAnsi="Arial" w:cs="Arial"/>
          <w:b/>
        </w:rPr>
        <w:t xml:space="preserve">Hamburg: </w:t>
      </w:r>
      <w:r w:rsidR="002C4D3D">
        <w:rPr>
          <w:rFonts w:ascii="Arial" w:hAnsi="Arial" w:cs="Arial"/>
          <w:b/>
        </w:rPr>
        <w:t>Vermietung</w:t>
      </w:r>
      <w:r w:rsidRPr="0090126F">
        <w:rPr>
          <w:rFonts w:ascii="Arial" w:hAnsi="Arial" w:cs="Arial"/>
          <w:b/>
        </w:rPr>
        <w:t xml:space="preserve"> </w:t>
      </w:r>
      <w:r w:rsidR="004C1FA7">
        <w:rPr>
          <w:rFonts w:ascii="Arial" w:hAnsi="Arial" w:cs="Arial"/>
          <w:b/>
        </w:rPr>
        <w:t xml:space="preserve">Industrie &amp; </w:t>
      </w:r>
      <w:r w:rsidR="00434F67" w:rsidRPr="0090126F">
        <w:rPr>
          <w:rFonts w:ascii="Arial" w:hAnsi="Arial" w:cs="Arial"/>
          <w:b/>
        </w:rPr>
        <w:t>Logistik</w:t>
      </w:r>
    </w:p>
    <w:p w14:paraId="31ACD92A" w14:textId="03961206" w:rsidR="00880E09" w:rsidRPr="0090126F" w:rsidRDefault="002C4D3D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Innenausstatter </w:t>
      </w:r>
      <w:r w:rsidR="005A3763">
        <w:rPr>
          <w:rFonts w:ascii="Arial" w:hAnsi="Arial" w:cs="Arial"/>
          <w:b/>
          <w:sz w:val="28"/>
          <w:szCs w:val="28"/>
        </w:rPr>
        <w:t>VARTAN.ROCKS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D762F">
        <w:rPr>
          <w:rFonts w:ascii="Arial" w:hAnsi="Arial" w:cs="Arial"/>
          <w:b/>
          <w:sz w:val="28"/>
          <w:szCs w:val="28"/>
        </w:rPr>
        <w:t>vergrößert sich</w:t>
      </w:r>
      <w:r>
        <w:rPr>
          <w:rFonts w:ascii="Arial" w:hAnsi="Arial" w:cs="Arial"/>
          <w:b/>
          <w:sz w:val="28"/>
          <w:szCs w:val="28"/>
        </w:rPr>
        <w:t xml:space="preserve"> in Bahrenfeld</w:t>
      </w:r>
    </w:p>
    <w:p w14:paraId="4F13FA19" w14:textId="77777777" w:rsidR="00063A33" w:rsidRPr="00063A33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C57410" w14:textId="495A270E" w:rsidR="0095228B" w:rsidRDefault="00434F67" w:rsidP="00FE0BB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, </w:t>
      </w:r>
      <w:r w:rsidR="00F82DC1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063A33" w:rsidRPr="00063A33">
        <w:rPr>
          <w:rFonts w:ascii="Arial" w:hAnsi="Arial" w:cs="Arial"/>
          <w:b/>
          <w:sz w:val="20"/>
          <w:szCs w:val="20"/>
        </w:rPr>
        <w:t xml:space="preserve">. </w:t>
      </w:r>
      <w:r w:rsidR="001568A5">
        <w:rPr>
          <w:rFonts w:ascii="Arial" w:hAnsi="Arial" w:cs="Arial"/>
          <w:b/>
          <w:sz w:val="20"/>
          <w:szCs w:val="20"/>
        </w:rPr>
        <w:t>Ju</w:t>
      </w:r>
      <w:r w:rsidR="00193F9A">
        <w:rPr>
          <w:rFonts w:ascii="Arial" w:hAnsi="Arial" w:cs="Arial"/>
          <w:b/>
          <w:sz w:val="20"/>
          <w:szCs w:val="20"/>
        </w:rPr>
        <w:t>l</w:t>
      </w:r>
      <w:r w:rsidR="001568A5">
        <w:rPr>
          <w:rFonts w:ascii="Arial" w:hAnsi="Arial" w:cs="Arial"/>
          <w:b/>
          <w:sz w:val="20"/>
          <w:szCs w:val="20"/>
        </w:rPr>
        <w:t>i</w:t>
      </w:r>
      <w:r w:rsidR="00327448">
        <w:rPr>
          <w:rFonts w:ascii="Arial" w:hAnsi="Arial" w:cs="Arial"/>
          <w:b/>
          <w:sz w:val="20"/>
          <w:szCs w:val="20"/>
        </w:rPr>
        <w:t xml:space="preserve"> 2021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754783">
        <w:rPr>
          <w:rFonts w:ascii="Arial" w:hAnsi="Arial" w:cs="Arial"/>
          <w:sz w:val="20"/>
          <w:szCs w:val="20"/>
        </w:rPr>
        <w:t xml:space="preserve"> VARTAN.ROCKS liefert Ausführungsarbeit, die kein Wenn und Aber kennt. Das Team setzt beispielweise den</w:t>
      </w:r>
      <w:r w:rsidR="005A3763">
        <w:rPr>
          <w:rFonts w:ascii="Arial" w:hAnsi="Arial" w:cs="Arial"/>
          <w:sz w:val="20"/>
          <w:szCs w:val="20"/>
        </w:rPr>
        <w:t xml:space="preserve"> Innenausbau von Gastronomie, Läden</w:t>
      </w:r>
      <w:r w:rsidR="00255A9B">
        <w:rPr>
          <w:rFonts w:ascii="Arial" w:hAnsi="Arial" w:cs="Arial"/>
          <w:sz w:val="20"/>
          <w:szCs w:val="20"/>
        </w:rPr>
        <w:t xml:space="preserve"> </w:t>
      </w:r>
      <w:r w:rsidR="005A3763">
        <w:rPr>
          <w:rFonts w:ascii="Arial" w:hAnsi="Arial" w:cs="Arial"/>
          <w:sz w:val="20"/>
          <w:szCs w:val="20"/>
        </w:rPr>
        <w:t xml:space="preserve">und </w:t>
      </w:r>
      <w:r w:rsidR="00ED762F">
        <w:rPr>
          <w:rFonts w:ascii="Arial" w:hAnsi="Arial" w:cs="Arial"/>
          <w:sz w:val="20"/>
          <w:szCs w:val="20"/>
        </w:rPr>
        <w:t>Vans</w:t>
      </w:r>
      <w:r w:rsidR="005A3763">
        <w:rPr>
          <w:rFonts w:ascii="Arial" w:hAnsi="Arial" w:cs="Arial"/>
          <w:sz w:val="20"/>
          <w:szCs w:val="20"/>
        </w:rPr>
        <w:t xml:space="preserve"> </w:t>
      </w:r>
      <w:r w:rsidR="00754783">
        <w:rPr>
          <w:rFonts w:ascii="Arial" w:hAnsi="Arial" w:cs="Arial"/>
          <w:sz w:val="20"/>
          <w:szCs w:val="20"/>
        </w:rPr>
        <w:t xml:space="preserve">um und </w:t>
      </w:r>
      <w:r w:rsidR="00E72668">
        <w:rPr>
          <w:rFonts w:ascii="Arial" w:hAnsi="Arial" w:cs="Arial"/>
          <w:sz w:val="20"/>
          <w:szCs w:val="20"/>
        </w:rPr>
        <w:t xml:space="preserve">ist </w:t>
      </w:r>
      <w:r w:rsidR="00E370FE">
        <w:rPr>
          <w:rFonts w:ascii="Arial" w:hAnsi="Arial" w:cs="Arial"/>
          <w:sz w:val="20"/>
          <w:szCs w:val="20"/>
        </w:rPr>
        <w:t xml:space="preserve">in den letzten Monaten </w:t>
      </w:r>
      <w:r w:rsidR="00754783">
        <w:rPr>
          <w:rFonts w:ascii="Arial" w:hAnsi="Arial" w:cs="Arial"/>
          <w:sz w:val="20"/>
          <w:szCs w:val="20"/>
        </w:rPr>
        <w:t xml:space="preserve">so </w:t>
      </w:r>
      <w:r w:rsidR="00E370FE">
        <w:rPr>
          <w:rFonts w:ascii="Arial" w:hAnsi="Arial" w:cs="Arial"/>
          <w:sz w:val="20"/>
          <w:szCs w:val="20"/>
        </w:rPr>
        <w:t xml:space="preserve">schnell </w:t>
      </w:r>
      <w:r w:rsidR="00E72668">
        <w:rPr>
          <w:rFonts w:ascii="Arial" w:hAnsi="Arial" w:cs="Arial"/>
          <w:sz w:val="20"/>
          <w:szCs w:val="20"/>
        </w:rPr>
        <w:t>gewachsen</w:t>
      </w:r>
      <w:r w:rsidR="00754783">
        <w:rPr>
          <w:rFonts w:ascii="Arial" w:hAnsi="Arial" w:cs="Arial"/>
          <w:sz w:val="20"/>
          <w:szCs w:val="20"/>
        </w:rPr>
        <w:t>, dass mehr Platz benötigt wurde</w:t>
      </w:r>
      <w:r w:rsidR="00ED762F">
        <w:rPr>
          <w:rFonts w:ascii="Arial" w:hAnsi="Arial" w:cs="Arial"/>
          <w:sz w:val="20"/>
          <w:szCs w:val="20"/>
        </w:rPr>
        <w:t xml:space="preserve">. Seinen neuen Standort hat das </w:t>
      </w:r>
      <w:r w:rsidR="000F7E9D">
        <w:rPr>
          <w:rFonts w:ascii="Arial" w:hAnsi="Arial" w:cs="Arial"/>
          <w:sz w:val="20"/>
          <w:szCs w:val="20"/>
        </w:rPr>
        <w:t>20</w:t>
      </w:r>
      <w:r w:rsidR="00F10B14">
        <w:rPr>
          <w:rFonts w:ascii="Arial" w:hAnsi="Arial" w:cs="Arial"/>
          <w:sz w:val="20"/>
          <w:szCs w:val="20"/>
        </w:rPr>
        <w:t>20</w:t>
      </w:r>
      <w:r w:rsidR="000F7E9D">
        <w:rPr>
          <w:rFonts w:ascii="Arial" w:hAnsi="Arial" w:cs="Arial"/>
          <w:sz w:val="20"/>
          <w:szCs w:val="20"/>
        </w:rPr>
        <w:t xml:space="preserve"> gegründete Hamburger Start-up </w:t>
      </w:r>
      <w:r w:rsidR="00ED762F">
        <w:rPr>
          <w:rFonts w:ascii="Arial" w:hAnsi="Arial" w:cs="Arial"/>
          <w:sz w:val="20"/>
          <w:szCs w:val="20"/>
        </w:rPr>
        <w:t>in der Boschstraße 1 in Bahrenfeld über Grossmann &amp; Berger, Mitglied von German Property Partners (GPP)</w:t>
      </w:r>
      <w:r w:rsidR="00072FA7">
        <w:rPr>
          <w:rFonts w:ascii="Arial" w:hAnsi="Arial" w:cs="Arial"/>
          <w:sz w:val="20"/>
          <w:szCs w:val="20"/>
        </w:rPr>
        <w:t>, gefunden</w:t>
      </w:r>
      <w:r w:rsidR="00ED762F">
        <w:rPr>
          <w:rFonts w:ascii="Arial" w:hAnsi="Arial" w:cs="Arial"/>
          <w:sz w:val="20"/>
          <w:szCs w:val="20"/>
        </w:rPr>
        <w:t xml:space="preserve">. Hierbei handelt es sich um </w:t>
      </w:r>
      <w:r w:rsidR="00E624F9">
        <w:rPr>
          <w:rFonts w:ascii="Arial" w:hAnsi="Arial" w:cs="Arial"/>
          <w:sz w:val="20"/>
          <w:szCs w:val="20"/>
        </w:rPr>
        <w:t xml:space="preserve">eine </w:t>
      </w:r>
      <w:r w:rsidR="000F7E9D">
        <w:rPr>
          <w:rFonts w:ascii="Arial" w:hAnsi="Arial" w:cs="Arial"/>
          <w:sz w:val="20"/>
          <w:szCs w:val="20"/>
        </w:rPr>
        <w:t xml:space="preserve">repräsentative </w:t>
      </w:r>
      <w:r w:rsidR="00E624F9">
        <w:rPr>
          <w:rFonts w:ascii="Arial" w:hAnsi="Arial" w:cs="Arial"/>
          <w:sz w:val="20"/>
          <w:szCs w:val="20"/>
        </w:rPr>
        <w:t xml:space="preserve">Halle mit </w:t>
      </w:r>
      <w:r w:rsidR="002D4349">
        <w:rPr>
          <w:rFonts w:ascii="Arial" w:hAnsi="Arial" w:cs="Arial"/>
          <w:sz w:val="20"/>
          <w:szCs w:val="20"/>
        </w:rPr>
        <w:t>angrenzendem Büro-</w:t>
      </w:r>
      <w:r w:rsidR="00E624F9">
        <w:rPr>
          <w:rFonts w:ascii="Arial" w:hAnsi="Arial" w:cs="Arial"/>
          <w:sz w:val="20"/>
          <w:szCs w:val="20"/>
        </w:rPr>
        <w:t>Trakt</w:t>
      </w:r>
      <w:r w:rsidR="00072FA7">
        <w:rPr>
          <w:rFonts w:ascii="Arial" w:hAnsi="Arial" w:cs="Arial"/>
          <w:sz w:val="20"/>
          <w:szCs w:val="20"/>
        </w:rPr>
        <w:t>. Die vermietbare Fläche umfasst</w:t>
      </w:r>
      <w:r w:rsidR="00ED762F">
        <w:rPr>
          <w:rFonts w:ascii="Arial" w:hAnsi="Arial" w:cs="Arial"/>
          <w:sz w:val="20"/>
          <w:szCs w:val="20"/>
        </w:rPr>
        <w:t xml:space="preserve"> rund </w:t>
      </w:r>
      <w:r w:rsidR="00072FA7">
        <w:rPr>
          <w:rFonts w:ascii="Arial" w:hAnsi="Arial" w:cs="Arial"/>
          <w:sz w:val="20"/>
          <w:szCs w:val="20"/>
        </w:rPr>
        <w:t>2.705 m²</w:t>
      </w:r>
      <w:r w:rsidR="0095228B">
        <w:rPr>
          <w:rFonts w:ascii="Arial" w:hAnsi="Arial" w:cs="Arial"/>
          <w:sz w:val="20"/>
          <w:szCs w:val="20"/>
        </w:rPr>
        <w:t>.</w:t>
      </w:r>
    </w:p>
    <w:p w14:paraId="1FF7A348" w14:textId="2ABDA613" w:rsidR="007656D4" w:rsidRDefault="007656D4" w:rsidP="00FE0BB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D30B964" w14:textId="36969FFC" w:rsidR="00696C72" w:rsidRPr="00696C72" w:rsidRDefault="00696C72" w:rsidP="00FE0BB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96C72">
        <w:rPr>
          <w:rFonts w:ascii="Arial" w:hAnsi="Arial" w:cs="Arial"/>
          <w:b/>
          <w:sz w:val="20"/>
          <w:szCs w:val="20"/>
        </w:rPr>
        <w:t>Licht zum Werken und Denken</w:t>
      </w:r>
    </w:p>
    <w:p w14:paraId="4898FDBE" w14:textId="594471B5" w:rsidR="002F0442" w:rsidRDefault="00E624F9" w:rsidP="00FE0BB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95228B">
        <w:rPr>
          <w:rFonts w:ascii="Arial" w:hAnsi="Arial" w:cs="Arial"/>
          <w:sz w:val="20"/>
          <w:szCs w:val="20"/>
        </w:rPr>
        <w:t xml:space="preserve">Halle </w:t>
      </w:r>
      <w:r w:rsidR="00E72668">
        <w:rPr>
          <w:rFonts w:ascii="Arial" w:hAnsi="Arial" w:cs="Arial"/>
          <w:sz w:val="20"/>
          <w:szCs w:val="20"/>
        </w:rPr>
        <w:t>bietet</w:t>
      </w:r>
      <w:r>
        <w:rPr>
          <w:rFonts w:ascii="Arial" w:hAnsi="Arial" w:cs="Arial"/>
          <w:sz w:val="20"/>
          <w:szCs w:val="20"/>
        </w:rPr>
        <w:t xml:space="preserve"> rund</w:t>
      </w:r>
      <w:r w:rsidR="002F0442">
        <w:rPr>
          <w:rFonts w:ascii="Arial" w:hAnsi="Arial" w:cs="Arial"/>
          <w:sz w:val="20"/>
          <w:szCs w:val="20"/>
        </w:rPr>
        <w:t xml:space="preserve"> </w:t>
      </w:r>
      <w:r w:rsidR="002F0442">
        <w:rPr>
          <w:rFonts w:ascii="Arial" w:hAnsi="Arial"/>
          <w:sz w:val="20"/>
          <w:szCs w:val="20"/>
        </w:rPr>
        <w:t xml:space="preserve">1.793 m² </w:t>
      </w:r>
      <w:r w:rsidR="00255A9B">
        <w:rPr>
          <w:rFonts w:ascii="Arial" w:hAnsi="Arial"/>
          <w:sz w:val="20"/>
          <w:szCs w:val="20"/>
        </w:rPr>
        <w:t>Lagerfläche</w:t>
      </w:r>
      <w:r w:rsidR="0095228B">
        <w:rPr>
          <w:rFonts w:ascii="Arial" w:hAnsi="Arial"/>
          <w:sz w:val="20"/>
          <w:szCs w:val="20"/>
        </w:rPr>
        <w:t xml:space="preserve">. </w:t>
      </w:r>
      <w:r w:rsidR="00FD0CB8">
        <w:rPr>
          <w:rFonts w:ascii="Arial" w:hAnsi="Arial"/>
          <w:sz w:val="20"/>
          <w:szCs w:val="20"/>
        </w:rPr>
        <w:t xml:space="preserve">Belichtet wird </w:t>
      </w:r>
      <w:r w:rsidR="00625CC3">
        <w:rPr>
          <w:rFonts w:ascii="Arial" w:hAnsi="Arial"/>
          <w:sz w:val="20"/>
          <w:szCs w:val="20"/>
        </w:rPr>
        <w:t>s</w:t>
      </w:r>
      <w:r w:rsidR="00FD0CB8">
        <w:rPr>
          <w:rFonts w:ascii="Arial" w:hAnsi="Arial"/>
          <w:sz w:val="20"/>
          <w:szCs w:val="20"/>
        </w:rPr>
        <w:t>ie über</w:t>
      </w:r>
      <w:r w:rsidR="00255A9B">
        <w:rPr>
          <w:rFonts w:ascii="Arial" w:hAnsi="Arial"/>
          <w:sz w:val="20"/>
          <w:szCs w:val="20"/>
        </w:rPr>
        <w:t xml:space="preserve"> großformatige Fenster und Lichtbänder</w:t>
      </w:r>
      <w:r w:rsidR="00FD0CB8">
        <w:rPr>
          <w:rFonts w:ascii="Arial" w:hAnsi="Arial"/>
          <w:sz w:val="20"/>
          <w:szCs w:val="20"/>
        </w:rPr>
        <w:t xml:space="preserve"> in der Decke. </w:t>
      </w:r>
      <w:r w:rsidR="007D4158">
        <w:rPr>
          <w:rFonts w:ascii="Arial" w:hAnsi="Arial"/>
          <w:sz w:val="20"/>
          <w:szCs w:val="20"/>
        </w:rPr>
        <w:t xml:space="preserve">Die Fläche ist unterteilt in Maschinenpark und Arbeitsbänke, wo das Team </w:t>
      </w:r>
      <w:r w:rsidR="00625CC3">
        <w:rPr>
          <w:rFonts w:ascii="Arial" w:hAnsi="Arial"/>
          <w:sz w:val="20"/>
          <w:szCs w:val="20"/>
        </w:rPr>
        <w:t>seine</w:t>
      </w:r>
      <w:r w:rsidR="007D4158">
        <w:rPr>
          <w:rFonts w:ascii="Arial" w:hAnsi="Arial"/>
          <w:sz w:val="20"/>
          <w:szCs w:val="20"/>
        </w:rPr>
        <w:t xml:space="preserve"> </w:t>
      </w:r>
      <w:r w:rsidR="00625CC3">
        <w:rPr>
          <w:rFonts w:ascii="Arial" w:hAnsi="Arial"/>
          <w:sz w:val="20"/>
          <w:szCs w:val="20"/>
        </w:rPr>
        <w:t xml:space="preserve">Projekte </w:t>
      </w:r>
      <w:r w:rsidR="000210A5">
        <w:rPr>
          <w:rFonts w:ascii="Arial" w:hAnsi="Arial"/>
          <w:sz w:val="20"/>
          <w:szCs w:val="20"/>
        </w:rPr>
        <w:t>umsetzt</w:t>
      </w:r>
      <w:r w:rsidR="00625CC3">
        <w:rPr>
          <w:rFonts w:ascii="Arial" w:hAnsi="Arial"/>
          <w:sz w:val="20"/>
          <w:szCs w:val="20"/>
        </w:rPr>
        <w:t xml:space="preserve">. </w:t>
      </w:r>
      <w:r w:rsidR="00255A9B">
        <w:rPr>
          <w:rFonts w:ascii="Arial" w:hAnsi="Arial"/>
          <w:sz w:val="20"/>
          <w:szCs w:val="20"/>
        </w:rPr>
        <w:t xml:space="preserve">An- und Auslieferungen </w:t>
      </w:r>
      <w:r w:rsidR="00696C72">
        <w:rPr>
          <w:rFonts w:ascii="Arial" w:hAnsi="Arial"/>
          <w:sz w:val="20"/>
          <w:szCs w:val="20"/>
        </w:rPr>
        <w:t xml:space="preserve">in und aus der Halle </w:t>
      </w:r>
      <w:r w:rsidR="00255A9B">
        <w:rPr>
          <w:rFonts w:ascii="Arial" w:hAnsi="Arial"/>
          <w:sz w:val="20"/>
          <w:szCs w:val="20"/>
        </w:rPr>
        <w:t>können ü</w:t>
      </w:r>
      <w:r w:rsidR="00E72668">
        <w:rPr>
          <w:rFonts w:ascii="Arial" w:hAnsi="Arial"/>
          <w:sz w:val="20"/>
          <w:szCs w:val="20"/>
        </w:rPr>
        <w:t xml:space="preserve">ber eine Rampe im Innenhof </w:t>
      </w:r>
      <w:r w:rsidR="00255A9B">
        <w:rPr>
          <w:rFonts w:ascii="Arial" w:hAnsi="Arial"/>
          <w:sz w:val="20"/>
          <w:szCs w:val="20"/>
        </w:rPr>
        <w:t>erfolgen</w:t>
      </w:r>
      <w:r w:rsidR="00E72668">
        <w:rPr>
          <w:rFonts w:ascii="Arial" w:hAnsi="Arial"/>
          <w:sz w:val="20"/>
          <w:szCs w:val="20"/>
        </w:rPr>
        <w:t xml:space="preserve">. </w:t>
      </w:r>
      <w:r w:rsidR="0095228B">
        <w:rPr>
          <w:rFonts w:ascii="Arial" w:hAnsi="Arial"/>
          <w:sz w:val="20"/>
          <w:szCs w:val="20"/>
        </w:rPr>
        <w:t xml:space="preserve">Das Bürogebäude mit drei Etagen umfasst </w:t>
      </w:r>
      <w:r>
        <w:rPr>
          <w:rFonts w:ascii="Arial" w:hAnsi="Arial"/>
          <w:sz w:val="20"/>
          <w:szCs w:val="20"/>
        </w:rPr>
        <w:t>rund</w:t>
      </w:r>
      <w:r w:rsidR="002F0442">
        <w:rPr>
          <w:rFonts w:ascii="Arial" w:hAnsi="Arial"/>
          <w:sz w:val="20"/>
          <w:szCs w:val="20"/>
        </w:rPr>
        <w:t xml:space="preserve"> 912 m² Bürofläche</w:t>
      </w:r>
      <w:r w:rsidR="00E72668">
        <w:rPr>
          <w:rFonts w:ascii="Arial" w:hAnsi="Arial"/>
          <w:sz w:val="20"/>
          <w:szCs w:val="20"/>
        </w:rPr>
        <w:t xml:space="preserve">, die </w:t>
      </w:r>
      <w:proofErr w:type="spellStart"/>
      <w:r w:rsidR="00E72668">
        <w:rPr>
          <w:rFonts w:ascii="Arial" w:hAnsi="Arial"/>
          <w:sz w:val="20"/>
          <w:szCs w:val="20"/>
        </w:rPr>
        <w:t>loftähnlich</w:t>
      </w:r>
      <w:proofErr w:type="spellEnd"/>
      <w:r w:rsidR="00E72668">
        <w:rPr>
          <w:rFonts w:ascii="Arial" w:hAnsi="Arial"/>
          <w:sz w:val="20"/>
          <w:szCs w:val="20"/>
        </w:rPr>
        <w:t xml:space="preserve"> mit Säulen, Sprossenfenstern und Stäbchenparkett ausgestattet sind</w:t>
      </w:r>
      <w:r w:rsidR="002F0442">
        <w:rPr>
          <w:rFonts w:ascii="Arial" w:hAnsi="Arial"/>
          <w:sz w:val="20"/>
          <w:szCs w:val="20"/>
        </w:rPr>
        <w:t>.</w:t>
      </w:r>
      <w:r w:rsidR="00255A9B">
        <w:rPr>
          <w:rFonts w:ascii="Arial" w:hAnsi="Arial"/>
          <w:sz w:val="20"/>
          <w:szCs w:val="20"/>
        </w:rPr>
        <w:t xml:space="preserve"> Vermieter des Gewerbe-Objekts</w:t>
      </w:r>
      <w:r w:rsidR="00FD0CB8">
        <w:rPr>
          <w:rFonts w:ascii="Arial" w:hAnsi="Arial"/>
          <w:sz w:val="20"/>
          <w:szCs w:val="20"/>
        </w:rPr>
        <w:t>, dessen</w:t>
      </w:r>
      <w:r w:rsidR="00FD0CB8">
        <w:rPr>
          <w:rFonts w:ascii="Arial" w:hAnsi="Arial" w:cs="Arial"/>
          <w:sz w:val="20"/>
          <w:szCs w:val="20"/>
        </w:rPr>
        <w:t xml:space="preserve"> Grundstück rund 2.882 m² groß ist und 25 Pkw-Stellplätzen Platz bietet, </w:t>
      </w:r>
      <w:r w:rsidR="00FD0CB8">
        <w:rPr>
          <w:rFonts w:ascii="Arial" w:hAnsi="Arial"/>
          <w:sz w:val="20"/>
          <w:szCs w:val="20"/>
        </w:rPr>
        <w:t xml:space="preserve">ist </w:t>
      </w:r>
      <w:r w:rsidR="005D2085">
        <w:rPr>
          <w:rFonts w:ascii="Arial" w:hAnsi="Arial"/>
          <w:sz w:val="20"/>
          <w:szCs w:val="20"/>
        </w:rPr>
        <w:t xml:space="preserve">die </w:t>
      </w:r>
      <w:r w:rsidR="00193F9A">
        <w:rPr>
          <w:rFonts w:ascii="Arial" w:hAnsi="Arial"/>
          <w:sz w:val="20"/>
          <w:szCs w:val="20"/>
        </w:rPr>
        <w:t>TJK Grundstücksgesellschaft</w:t>
      </w:r>
      <w:r w:rsidR="00FD0CB8">
        <w:rPr>
          <w:rFonts w:ascii="Arial" w:hAnsi="Arial" w:cs="Arial"/>
          <w:sz w:val="20"/>
          <w:szCs w:val="20"/>
        </w:rPr>
        <w:t>.</w:t>
      </w:r>
    </w:p>
    <w:p w14:paraId="5DC0D3CA" w14:textId="54B9D20A" w:rsidR="00900FDD" w:rsidRDefault="00900FDD" w:rsidP="00FE0BB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86EBA3" w14:textId="6BDC5F5C" w:rsidR="00696C72" w:rsidRPr="00696C72" w:rsidRDefault="00696C72" w:rsidP="00FE0BB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96C72">
        <w:rPr>
          <w:rFonts w:ascii="Arial" w:hAnsi="Arial" w:cs="Arial"/>
          <w:b/>
          <w:sz w:val="20"/>
          <w:szCs w:val="20"/>
        </w:rPr>
        <w:t>Über Standard hinaus</w:t>
      </w:r>
    </w:p>
    <w:p w14:paraId="77BBA62B" w14:textId="32E13E1C" w:rsidR="00900FDD" w:rsidRDefault="00900FDD" w:rsidP="00FE0BB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Über die Anschlussstellen Othmarschen und Volkspark erreicht VARTAN.ROCKS </w:t>
      </w:r>
      <w:r w:rsidR="00696C72">
        <w:rPr>
          <w:rFonts w:ascii="Arial" w:hAnsi="Arial" w:cs="Arial"/>
          <w:sz w:val="20"/>
          <w:szCs w:val="20"/>
        </w:rPr>
        <w:t>von</w:t>
      </w:r>
      <w:r>
        <w:rPr>
          <w:rFonts w:ascii="Arial" w:hAnsi="Arial" w:cs="Arial"/>
          <w:sz w:val="20"/>
          <w:szCs w:val="20"/>
        </w:rPr>
        <w:t xml:space="preserve"> seinem neuen Standort </w:t>
      </w:r>
      <w:r w:rsidR="00696C72">
        <w:rPr>
          <w:rFonts w:ascii="Arial" w:hAnsi="Arial" w:cs="Arial"/>
          <w:sz w:val="20"/>
          <w:szCs w:val="20"/>
        </w:rPr>
        <w:t xml:space="preserve">aus </w:t>
      </w:r>
      <w:r>
        <w:rPr>
          <w:rFonts w:ascii="Arial" w:hAnsi="Arial" w:cs="Arial"/>
          <w:sz w:val="20"/>
          <w:szCs w:val="20"/>
        </w:rPr>
        <w:t xml:space="preserve">unkompliziert die A7. Die Mitarbeiter </w:t>
      </w:r>
      <w:r w:rsidR="00696C72">
        <w:rPr>
          <w:rFonts w:ascii="Arial" w:hAnsi="Arial" w:cs="Arial"/>
          <w:sz w:val="20"/>
          <w:szCs w:val="20"/>
        </w:rPr>
        <w:t xml:space="preserve">gelangen </w:t>
      </w:r>
      <w:r>
        <w:rPr>
          <w:rFonts w:ascii="Arial" w:hAnsi="Arial" w:cs="Arial"/>
          <w:sz w:val="20"/>
          <w:szCs w:val="20"/>
        </w:rPr>
        <w:t xml:space="preserve">mit mehreren Buslinien direkt zu ihrem neuen Arbeitsplatz. Das Team hat u. a. Tim Mälzers </w:t>
      </w:r>
      <w:proofErr w:type="spellStart"/>
      <w:r>
        <w:rPr>
          <w:rFonts w:ascii="Arial" w:hAnsi="Arial" w:cs="Arial"/>
          <w:sz w:val="20"/>
          <w:szCs w:val="20"/>
        </w:rPr>
        <w:t>Bullerei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370FE">
        <w:rPr>
          <w:rFonts w:ascii="Arial" w:hAnsi="Arial" w:cs="Arial"/>
          <w:sz w:val="20"/>
          <w:szCs w:val="20"/>
        </w:rPr>
        <w:t xml:space="preserve">und das Studio von Armin </w:t>
      </w:r>
      <w:proofErr w:type="spellStart"/>
      <w:r w:rsidR="00E370FE">
        <w:rPr>
          <w:rFonts w:ascii="Arial" w:hAnsi="Arial" w:cs="Arial"/>
          <w:sz w:val="20"/>
          <w:szCs w:val="20"/>
        </w:rPr>
        <w:t>Morbach</w:t>
      </w:r>
      <w:proofErr w:type="spellEnd"/>
      <w:r>
        <w:rPr>
          <w:rFonts w:ascii="Arial" w:hAnsi="Arial" w:cs="Arial"/>
          <w:sz w:val="20"/>
          <w:szCs w:val="20"/>
        </w:rPr>
        <w:t xml:space="preserve"> ausgebaut</w:t>
      </w:r>
      <w:r w:rsidR="000210A5">
        <w:rPr>
          <w:rFonts w:ascii="Arial" w:hAnsi="Arial" w:cs="Arial"/>
          <w:sz w:val="20"/>
          <w:szCs w:val="20"/>
        </w:rPr>
        <w:t xml:space="preserve"> und darüber hinaus</w:t>
      </w:r>
      <w:r w:rsidR="00E370FE">
        <w:rPr>
          <w:rFonts w:ascii="Arial" w:hAnsi="Arial" w:cs="Arial"/>
          <w:sz w:val="20"/>
          <w:szCs w:val="20"/>
        </w:rPr>
        <w:t xml:space="preserve"> am Hausboot von</w:t>
      </w:r>
      <w:r w:rsidR="00D771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71EE">
        <w:rPr>
          <w:rFonts w:ascii="Arial" w:hAnsi="Arial" w:cs="Arial"/>
          <w:sz w:val="20"/>
          <w:szCs w:val="20"/>
        </w:rPr>
        <w:t>Fynn</w:t>
      </w:r>
      <w:proofErr w:type="spellEnd"/>
      <w:r w:rsidR="00D771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71EE">
        <w:rPr>
          <w:rFonts w:ascii="Arial" w:hAnsi="Arial" w:cs="Arial"/>
          <w:sz w:val="20"/>
          <w:szCs w:val="20"/>
        </w:rPr>
        <w:t>Kliemann</w:t>
      </w:r>
      <w:proofErr w:type="spellEnd"/>
      <w:r w:rsidR="00D771EE">
        <w:rPr>
          <w:rFonts w:ascii="Arial" w:hAnsi="Arial" w:cs="Arial"/>
          <w:sz w:val="20"/>
          <w:szCs w:val="20"/>
        </w:rPr>
        <w:t xml:space="preserve"> und Olli Schulz mitgearbeitet</w:t>
      </w:r>
      <w:r w:rsidR="00E370FE">
        <w:rPr>
          <w:rFonts w:ascii="Arial" w:hAnsi="Arial" w:cs="Arial"/>
          <w:sz w:val="20"/>
          <w:szCs w:val="20"/>
        </w:rPr>
        <w:t>.</w:t>
      </w:r>
    </w:p>
    <w:p w14:paraId="01E30A86" w14:textId="77777777" w:rsidR="002F0442" w:rsidRDefault="002F0442" w:rsidP="00FE0BB0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180"/>
      </w:tblGrid>
      <w:tr w:rsidR="00784917" w14:paraId="0A314AE3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6876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12625" w14:textId="2AD6738C" w:rsidR="00784917" w:rsidRDefault="00FE0BB0" w:rsidP="000210A5">
            <w:pPr>
              <w:spacing w:after="100"/>
            </w:pPr>
            <w:r w:rsidRPr="00FE0BB0">
              <w:rPr>
                <w:rFonts w:ascii="Arial" w:hAnsi="Arial"/>
                <w:sz w:val="20"/>
                <w:szCs w:val="20"/>
              </w:rPr>
              <w:t>Hallen</w:t>
            </w:r>
            <w:r w:rsidR="00434F67" w:rsidRPr="00FE0BB0">
              <w:rPr>
                <w:rFonts w:ascii="Arial" w:hAnsi="Arial"/>
                <w:sz w:val="20"/>
                <w:szCs w:val="20"/>
              </w:rPr>
              <w:t>fläche, Bürofläche</w:t>
            </w:r>
          </w:p>
        </w:tc>
      </w:tr>
      <w:tr w:rsidR="00784917" w14:paraId="08FEFFAA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29A3E" w14:textId="05A01532" w:rsidR="00784917" w:rsidRDefault="0032744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403B6" w14:textId="50332806" w:rsidR="00784917" w:rsidRDefault="00C12E39" w:rsidP="00FE0BB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Hamburg, Bahrenfeld</w:t>
            </w:r>
          </w:p>
        </w:tc>
      </w:tr>
      <w:tr w:rsidR="00784917" w14:paraId="2C0880BF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2C61E" w14:textId="77777777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750EE" w14:textId="07885FD9" w:rsidR="00784917" w:rsidRDefault="00C12E39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Boschstraße 1</w:t>
            </w:r>
          </w:p>
        </w:tc>
      </w:tr>
      <w:tr w:rsidR="00784917" w14:paraId="60DD842E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FE166" w14:textId="374F0AF6" w:rsidR="00784917" w:rsidRDefault="00C12E39" w:rsidP="00434F67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6E0DD" w14:textId="5E7C250D" w:rsidR="00784917" w:rsidRDefault="00193F9A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TJK Grundstücks-GmbH &amp; Co. KG</w:t>
            </w:r>
          </w:p>
        </w:tc>
      </w:tr>
      <w:tr w:rsidR="00784917" w14:paraId="4B479558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4C954" w14:textId="524BA336" w:rsidR="00784917" w:rsidRDefault="00C12E39" w:rsidP="00434F67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C7594" w14:textId="4C2B0787" w:rsidR="00784917" w:rsidRDefault="00C12E39" w:rsidP="00FE0BB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VARTAN.ROCKS GmbH</w:t>
            </w:r>
          </w:p>
        </w:tc>
      </w:tr>
      <w:tr w:rsidR="001C6ED8" w14:paraId="2C00AAFD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91E13" w14:textId="77777777"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36EDB" w14:textId="77777777"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FE0BB0">
              <w:rPr>
                <w:rFonts w:ascii="Arial" w:hAnsi="Arial"/>
                <w:sz w:val="20"/>
                <w:szCs w:val="20"/>
              </w:rPr>
              <w:t xml:space="preserve">Grossmann &amp; Berger </w:t>
            </w:r>
            <w:r>
              <w:rPr>
                <w:rFonts w:ascii="Arial" w:hAnsi="Arial"/>
                <w:sz w:val="20"/>
                <w:szCs w:val="20"/>
              </w:rPr>
              <w:t>GmbH</w:t>
            </w:r>
          </w:p>
        </w:tc>
      </w:tr>
      <w:tr w:rsidR="00784917" w14:paraId="13C89671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8740" w14:textId="3A7B8652" w:rsidR="00434F67" w:rsidRPr="00687320" w:rsidRDefault="00FE0BB0" w:rsidP="00FE0BB0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Vermietbare </w:t>
            </w:r>
            <w:r w:rsidR="001C6ED8" w:rsidRPr="00434F67">
              <w:rPr>
                <w:rFonts w:ascii="Arial" w:hAnsi="Arial"/>
                <w:b/>
                <w:sz w:val="20"/>
                <w:szCs w:val="20"/>
              </w:rPr>
              <w:t>Fläche</w:t>
            </w:r>
            <w:r w:rsidR="00687320">
              <w:rPr>
                <w:rFonts w:ascii="Arial" w:hAnsi="Arial"/>
                <w:b/>
                <w:sz w:val="20"/>
                <w:szCs w:val="20"/>
              </w:rPr>
              <w:br/>
            </w:r>
            <w:r w:rsidR="00687320">
              <w:rPr>
                <w:rFonts w:ascii="Arial" w:hAnsi="Arial"/>
                <w:sz w:val="20"/>
                <w:szCs w:val="20"/>
              </w:rPr>
              <w:t xml:space="preserve">   </w:t>
            </w:r>
            <w:r w:rsidR="00974853">
              <w:rPr>
                <w:rFonts w:ascii="Arial" w:hAnsi="Arial"/>
                <w:sz w:val="20"/>
                <w:szCs w:val="20"/>
              </w:rPr>
              <w:t xml:space="preserve">   </w:t>
            </w:r>
            <w:r w:rsidR="00687320">
              <w:rPr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</w:rPr>
              <w:t>Hallenfläche</w:t>
            </w:r>
            <w:r w:rsidR="00687320">
              <w:rPr>
                <w:rFonts w:ascii="Arial" w:hAnsi="Arial"/>
                <w:sz w:val="20"/>
                <w:szCs w:val="20"/>
              </w:rPr>
              <w:br/>
              <w:t xml:space="preserve">   </w:t>
            </w:r>
            <w:r w:rsidR="00974853">
              <w:rPr>
                <w:rFonts w:ascii="Arial" w:hAnsi="Arial"/>
                <w:sz w:val="20"/>
                <w:szCs w:val="20"/>
              </w:rPr>
              <w:t xml:space="preserve">   </w:t>
            </w:r>
            <w:r w:rsidR="00687320" w:rsidRPr="00687320">
              <w:rPr>
                <w:rFonts w:ascii="Arial" w:hAnsi="Arial"/>
                <w:sz w:val="20"/>
                <w:szCs w:val="20"/>
              </w:rPr>
              <w:t>-</w:t>
            </w:r>
            <w:r w:rsidR="00687320">
              <w:rPr>
                <w:rFonts w:ascii="Arial" w:hAnsi="Arial"/>
                <w:sz w:val="20"/>
                <w:szCs w:val="20"/>
              </w:rPr>
              <w:t xml:space="preserve"> </w:t>
            </w:r>
            <w:r w:rsidR="00761547" w:rsidRPr="00687320">
              <w:rPr>
                <w:rFonts w:ascii="Arial" w:hAnsi="Arial"/>
                <w:sz w:val="20"/>
                <w:szCs w:val="20"/>
              </w:rPr>
              <w:t>Büro</w:t>
            </w:r>
            <w:r>
              <w:rPr>
                <w:rFonts w:ascii="Arial" w:hAnsi="Arial"/>
                <w:sz w:val="20"/>
                <w:szCs w:val="20"/>
              </w:rPr>
              <w:t>fläche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65D5" w14:textId="4B87E7D4" w:rsidR="00434F67" w:rsidRPr="00434F67" w:rsidRDefault="001C6ED8" w:rsidP="0032744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C12E39">
              <w:rPr>
                <w:rFonts w:ascii="Arial" w:hAnsi="Arial"/>
                <w:sz w:val="20"/>
                <w:szCs w:val="20"/>
              </w:rPr>
              <w:t>2.705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  <w:r w:rsidR="00687320">
              <w:rPr>
                <w:rFonts w:ascii="Arial" w:hAnsi="Arial"/>
                <w:sz w:val="20"/>
                <w:szCs w:val="20"/>
              </w:rPr>
              <w:br/>
              <w:t xml:space="preserve">      </w:t>
            </w:r>
            <w:r w:rsidR="00761547">
              <w:rPr>
                <w:rFonts w:ascii="Arial" w:hAnsi="Arial"/>
                <w:sz w:val="20"/>
                <w:szCs w:val="20"/>
              </w:rPr>
              <w:t xml:space="preserve">- </w:t>
            </w:r>
            <w:r w:rsidR="008A5C4D">
              <w:rPr>
                <w:rFonts w:ascii="Arial" w:hAnsi="Arial"/>
                <w:sz w:val="20"/>
                <w:szCs w:val="20"/>
              </w:rPr>
              <w:t xml:space="preserve">ca. </w:t>
            </w:r>
            <w:r w:rsidR="00C12E39">
              <w:rPr>
                <w:rFonts w:ascii="Arial" w:hAnsi="Arial"/>
                <w:sz w:val="20"/>
                <w:szCs w:val="20"/>
              </w:rPr>
              <w:t>1.793</w:t>
            </w:r>
            <w:r w:rsidR="00434F67">
              <w:rPr>
                <w:rFonts w:ascii="Arial" w:hAnsi="Arial"/>
                <w:sz w:val="20"/>
                <w:szCs w:val="20"/>
              </w:rPr>
              <w:t xml:space="preserve"> m²</w:t>
            </w:r>
            <w:r w:rsidR="00687320">
              <w:rPr>
                <w:rFonts w:ascii="Arial" w:hAnsi="Arial"/>
                <w:sz w:val="20"/>
                <w:szCs w:val="20"/>
              </w:rPr>
              <w:br/>
              <w:t xml:space="preserve">      </w:t>
            </w:r>
            <w:r w:rsidR="00761547">
              <w:rPr>
                <w:rFonts w:ascii="Arial" w:hAnsi="Arial"/>
                <w:sz w:val="20"/>
                <w:szCs w:val="20"/>
              </w:rPr>
              <w:t xml:space="preserve">- </w:t>
            </w:r>
            <w:r w:rsidR="008A5C4D">
              <w:rPr>
                <w:rFonts w:ascii="Arial" w:hAnsi="Arial"/>
                <w:sz w:val="20"/>
                <w:szCs w:val="20"/>
              </w:rPr>
              <w:t xml:space="preserve">ca. </w:t>
            </w:r>
            <w:r w:rsidR="00C12E39">
              <w:rPr>
                <w:rFonts w:ascii="Arial" w:hAnsi="Arial"/>
                <w:sz w:val="20"/>
                <w:szCs w:val="20"/>
              </w:rPr>
              <w:t>912</w:t>
            </w:r>
            <w:r w:rsidR="00434F67"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  <w:tr w:rsidR="00784917" w14:paraId="6FCA01E1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01C69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Grundstück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93D3" w14:textId="16DA5F27" w:rsidR="00784917" w:rsidRDefault="001C6ED8" w:rsidP="00327448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845685">
              <w:rPr>
                <w:rFonts w:ascii="Arial" w:hAnsi="Arial"/>
                <w:sz w:val="20"/>
                <w:szCs w:val="20"/>
              </w:rPr>
              <w:t>2.882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14:paraId="63985BD8" w14:textId="0EC44967" w:rsidR="00AC6CBF" w:rsidRDefault="00AC6CBF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eNormal"/>
        <w:tblW w:w="971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9"/>
        <w:gridCol w:w="5750"/>
      </w:tblGrid>
      <w:tr w:rsidR="00686DE4" w14:paraId="4999AEA0" w14:textId="77777777" w:rsidTr="00DD1E6F">
        <w:trPr>
          <w:trHeight w:val="223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623F" w14:textId="6D370C94" w:rsidR="00686DE4" w:rsidRDefault="00686DE4" w:rsidP="004D2D43">
            <w:pPr>
              <w:spacing w:after="10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3EA8A91" wp14:editId="29981F29">
                  <wp:extent cx="2276475" cy="135288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88798-lang2#Straßenanicht (Verkaufsfläche, Lager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381" cy="1356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123E" w14:textId="77777777" w:rsidR="00686DE4" w:rsidRDefault="00686DE4" w:rsidP="004D2D4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14:paraId="0661F54C" w14:textId="17D7063E" w:rsidR="005742CA" w:rsidRDefault="005742CA" w:rsidP="005742CA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Kunden können direkt vor dem neuen </w:t>
            </w:r>
            <w:r w:rsidR="00625CC3">
              <w:rPr>
                <w:rFonts w:ascii="Arial" w:hAnsi="Arial"/>
                <w:sz w:val="20"/>
                <w:szCs w:val="20"/>
              </w:rPr>
              <w:t>Standort von VARTAN.ROCKS</w:t>
            </w:r>
            <w:r>
              <w:rPr>
                <w:rFonts w:ascii="Arial" w:hAnsi="Arial"/>
                <w:sz w:val="20"/>
                <w:szCs w:val="20"/>
              </w:rPr>
              <w:t xml:space="preserve"> parken. Angemietet hat das Start-up das Gewerbe-Objekt über Grossmann &amp; Berger.</w:t>
            </w:r>
          </w:p>
          <w:p w14:paraId="30F42B21" w14:textId="77777777" w:rsidR="005742CA" w:rsidRDefault="005742CA" w:rsidP="004D2D43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5576CCBF" w14:textId="5DE29624" w:rsidR="005742CA" w:rsidRDefault="005742CA" w:rsidP="004D2D4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Quelle: Felix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Krumreich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/ Grossmann &amp; Berger GmbH</w:t>
            </w:r>
          </w:p>
        </w:tc>
      </w:tr>
      <w:tr w:rsidR="009E3E76" w:rsidRPr="00F82DC1" w14:paraId="438C4312" w14:textId="77777777" w:rsidTr="00DD1E6F">
        <w:trPr>
          <w:trHeight w:val="223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3205" w14:textId="77014265" w:rsidR="009E3E76" w:rsidRDefault="00FE1AEC" w:rsidP="004D2D43">
            <w:pPr>
              <w:spacing w:after="100"/>
            </w:pPr>
            <w:r>
              <w:rPr>
                <w:noProof/>
                <w:lang w:eastAsia="de-DE"/>
              </w:rPr>
              <w:drawing>
                <wp:inline distT="0" distB="0" distL="0" distR="0" wp14:anchorId="3F4C5337" wp14:editId="3CDF9278">
                  <wp:extent cx="2286000" cy="1433642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02729" cy="144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E05A" w14:textId="77777777" w:rsidR="009E3E76" w:rsidRDefault="009E3E76" w:rsidP="004D2D4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14:paraId="1B76C42D" w14:textId="3BA93CD1" w:rsidR="009E3E76" w:rsidRDefault="007D4158" w:rsidP="004D2D4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Der Innenhof ist künstlerisch gestaltet, heißt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Kund</w:t>
            </w:r>
            <w:r w:rsidR="00625CC3">
              <w:rPr>
                <w:rFonts w:ascii="Arial" w:hAnsi="Arial"/>
                <w:sz w:val="20"/>
                <w:szCs w:val="20"/>
              </w:rPr>
              <w:t>en</w:t>
            </w:r>
            <w:r>
              <w:rPr>
                <w:rFonts w:ascii="Arial" w:hAnsi="Arial"/>
                <w:sz w:val="20"/>
                <w:szCs w:val="20"/>
              </w:rPr>
              <w:t>:innen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direkt willkommen und repräsentiert die Lebensphilosophie hinter VARTAN.ROCKS: bunt und offen. </w:t>
            </w:r>
          </w:p>
          <w:p w14:paraId="36509FFB" w14:textId="77777777" w:rsidR="009E3E76" w:rsidRDefault="009E3E76" w:rsidP="004D2D43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4E162B69" w14:textId="46FCE29A" w:rsidR="00E370FE" w:rsidRPr="00484343" w:rsidRDefault="009E3E76" w:rsidP="00484343">
            <w:pPr>
              <w:spacing w:after="100"/>
              <w:rPr>
                <w:lang w:val="en-GB"/>
              </w:rPr>
            </w:pPr>
            <w:proofErr w:type="spellStart"/>
            <w:r w:rsidRPr="00484343">
              <w:rPr>
                <w:rFonts w:ascii="Arial" w:hAnsi="Arial"/>
                <w:sz w:val="20"/>
                <w:szCs w:val="20"/>
                <w:lang w:val="en-GB"/>
              </w:rPr>
              <w:t>Quelle</w:t>
            </w:r>
            <w:proofErr w:type="spellEnd"/>
            <w:r w:rsidRPr="00484343">
              <w:rPr>
                <w:rFonts w:ascii="Arial" w:hAnsi="Arial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00484343" w:rsidRPr="00484343">
              <w:rPr>
                <w:rFonts w:ascii="Arial" w:hAnsi="Arial"/>
                <w:sz w:val="20"/>
                <w:szCs w:val="20"/>
                <w:lang w:val="en-GB"/>
              </w:rPr>
              <w:t xml:space="preserve">Linda </w:t>
            </w:r>
            <w:proofErr w:type="spellStart"/>
            <w:r w:rsidR="00484343" w:rsidRPr="00484343">
              <w:rPr>
                <w:rFonts w:ascii="Arial" w:hAnsi="Arial"/>
                <w:sz w:val="20"/>
                <w:szCs w:val="20"/>
                <w:lang w:val="en-GB"/>
              </w:rPr>
              <w:t>Pulver</w:t>
            </w:r>
            <w:proofErr w:type="spellEnd"/>
            <w:r w:rsidR="00686DE4" w:rsidRPr="00484343">
              <w:rPr>
                <w:rFonts w:ascii="Arial" w:hAnsi="Arial"/>
                <w:sz w:val="20"/>
                <w:szCs w:val="20"/>
                <w:lang w:val="en-GB"/>
              </w:rPr>
              <w:t xml:space="preserve"> / </w:t>
            </w:r>
            <w:r w:rsidR="007D4158" w:rsidRPr="00484343">
              <w:rPr>
                <w:rFonts w:ascii="Arial" w:hAnsi="Arial"/>
                <w:color w:val="000000" w:themeColor="text1"/>
                <w:sz w:val="20"/>
                <w:szCs w:val="20"/>
                <w:lang w:val="en-GB"/>
              </w:rPr>
              <w:t>VARTAN.ROCKS</w:t>
            </w:r>
          </w:p>
        </w:tc>
      </w:tr>
      <w:tr w:rsidR="00850269" w14:paraId="067316FE" w14:textId="77777777" w:rsidTr="00DD1E6F">
        <w:trPr>
          <w:trHeight w:val="2565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2088" w14:textId="6530416D" w:rsidR="00850269" w:rsidRDefault="007D4158" w:rsidP="004D2D43">
            <w:pPr>
              <w:spacing w:after="10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32CC5CA" wp14:editId="6802E86C">
                  <wp:extent cx="2305050" cy="1515272"/>
                  <wp:effectExtent l="0" t="0" r="0" b="8890"/>
                  <wp:docPr id="2" name="Grafik 2" descr="Ein Bild, das drinnen, Boden, Decke, Gebäu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drinnen, Boden, Decke, Gebäude enthält.&#10;&#10;Automatisch generierte Beschreibu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18009" cy="1523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E9D9" w14:textId="77777777" w:rsidR="00850269" w:rsidRDefault="00850269" w:rsidP="00850269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14:paraId="716E0C0F" w14:textId="73977D6D" w:rsidR="00850269" w:rsidRDefault="007D4158" w:rsidP="00850269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Die Halle sorgt durch ihre hohen Decken und großen Fensterfronten für viel Licht und </w:t>
            </w:r>
            <w:r w:rsidR="00625CC3">
              <w:rPr>
                <w:rFonts w:ascii="Arial" w:hAnsi="Arial"/>
                <w:sz w:val="20"/>
                <w:szCs w:val="20"/>
              </w:rPr>
              <w:t>verleiht</w:t>
            </w:r>
            <w:r>
              <w:rPr>
                <w:rFonts w:ascii="Arial" w:hAnsi="Arial"/>
                <w:sz w:val="20"/>
                <w:szCs w:val="20"/>
              </w:rPr>
              <w:t xml:space="preserve"> der Werkstatt einen unverwechselbaren Charakter.</w:t>
            </w:r>
            <w:r w:rsidR="009706F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5D1A0AC" w14:textId="77777777" w:rsidR="00850269" w:rsidRDefault="00850269" w:rsidP="00850269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658D31B2" w14:textId="39A3F00B" w:rsidR="007D4158" w:rsidRDefault="00850269" w:rsidP="00850269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Quelle: </w:t>
            </w:r>
            <w:r w:rsidR="00484343" w:rsidRPr="00484343">
              <w:rPr>
                <w:rFonts w:ascii="Arial" w:hAnsi="Arial"/>
                <w:sz w:val="20"/>
                <w:szCs w:val="20"/>
                <w:lang w:val="en-GB"/>
              </w:rPr>
              <w:t xml:space="preserve">Linda </w:t>
            </w:r>
            <w:proofErr w:type="spellStart"/>
            <w:r w:rsidR="00484343" w:rsidRPr="00484343">
              <w:rPr>
                <w:rFonts w:ascii="Arial" w:hAnsi="Arial"/>
                <w:sz w:val="20"/>
                <w:szCs w:val="20"/>
                <w:lang w:val="en-GB"/>
              </w:rPr>
              <w:t>Pulver</w:t>
            </w:r>
            <w:proofErr w:type="spellEnd"/>
            <w:r w:rsidR="00484343" w:rsidRPr="00484343">
              <w:rPr>
                <w:rFonts w:ascii="Arial" w:hAnsi="Arial"/>
                <w:sz w:val="20"/>
                <w:szCs w:val="20"/>
                <w:lang w:val="en-GB"/>
              </w:rPr>
              <w:t xml:space="preserve"> / </w:t>
            </w:r>
            <w:r w:rsidR="00686DE4" w:rsidRPr="007D4158">
              <w:rPr>
                <w:rFonts w:ascii="Arial" w:hAnsi="Arial"/>
                <w:color w:val="000000" w:themeColor="text1"/>
                <w:sz w:val="20"/>
                <w:szCs w:val="20"/>
              </w:rPr>
              <w:t>VARTAN.ROCKS</w:t>
            </w:r>
            <w:r w:rsidR="00686DE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3B5107E" w14:textId="77777777" w:rsidR="007D4158" w:rsidRDefault="007D4158" w:rsidP="00850269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3ED4D819" w14:textId="65936A8B" w:rsidR="007D4158" w:rsidRDefault="007D4158" w:rsidP="00850269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</w:tc>
      </w:tr>
      <w:tr w:rsidR="00686DE4" w:rsidRPr="00F82DC1" w14:paraId="31633168" w14:textId="77777777" w:rsidTr="00DD1E6F">
        <w:trPr>
          <w:trHeight w:val="2872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E5CB" w14:textId="35234545" w:rsidR="00686DE4" w:rsidRDefault="00625CC3" w:rsidP="004D2D43">
            <w:pPr>
              <w:spacing w:after="100"/>
              <w:rPr>
                <w:noProof/>
                <w:lang w:eastAsia="de-DE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drawing>
                <wp:inline distT="0" distB="0" distL="0" distR="0" wp14:anchorId="6CF7F3A8" wp14:editId="529B677A">
                  <wp:extent cx="1609060" cy="2326957"/>
                  <wp:effectExtent l="2858" t="0" r="0" b="0"/>
                  <wp:docPr id="7" name="Grafik 7" descr="Ein Bild, das Text, drinnen, Küchengerä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, drinnen, Küchengerät enthält.&#10;&#10;Automatisch generierte Beschreibu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614352" cy="2334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9A45" w14:textId="4E371348" w:rsidR="00686DE4" w:rsidRDefault="00686DE4" w:rsidP="00686DE4">
            <w:pPr>
              <w:spacing w:after="0" w:line="360" w:lineRule="auto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Bildunterschrift:</w:t>
            </w:r>
          </w:p>
          <w:p w14:paraId="19411D5D" w14:textId="7340A459" w:rsidR="00686DE4" w:rsidRPr="00DD1E6F" w:rsidRDefault="00686DE4" w:rsidP="00DD1E6F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DD1E6F">
              <w:rPr>
                <w:rFonts w:ascii="Arial" w:hAnsi="Arial"/>
                <w:sz w:val="20"/>
                <w:szCs w:val="20"/>
              </w:rPr>
              <w:t xml:space="preserve">Die Büroräumlichkeiten von VARTAN.ROCKS bieten die besten Voraussetzungen für eine optimale Zusammenarbeit </w:t>
            </w:r>
            <w:r w:rsidR="00DD1E6F">
              <w:rPr>
                <w:rFonts w:ascii="Arial" w:hAnsi="Arial"/>
                <w:sz w:val="20"/>
                <w:szCs w:val="20"/>
              </w:rPr>
              <w:t>von</w:t>
            </w:r>
            <w:r w:rsidRPr="00DD1E6F">
              <w:rPr>
                <w:rFonts w:ascii="Arial" w:hAnsi="Arial"/>
                <w:sz w:val="20"/>
                <w:szCs w:val="20"/>
              </w:rPr>
              <w:t xml:space="preserve"> Konzeption und Design der Kundenwünsche </w:t>
            </w:r>
            <w:r w:rsidR="00DD1E6F">
              <w:rPr>
                <w:rFonts w:ascii="Arial" w:hAnsi="Arial"/>
                <w:sz w:val="20"/>
                <w:szCs w:val="20"/>
              </w:rPr>
              <w:t>sowie</w:t>
            </w:r>
            <w:r w:rsidRPr="00DD1E6F">
              <w:rPr>
                <w:rFonts w:ascii="Arial" w:hAnsi="Arial"/>
                <w:sz w:val="20"/>
                <w:szCs w:val="20"/>
              </w:rPr>
              <w:t xml:space="preserve"> </w:t>
            </w:r>
            <w:r w:rsidR="005742CA" w:rsidRPr="00DD1E6F">
              <w:rPr>
                <w:rFonts w:ascii="Arial" w:hAnsi="Arial"/>
                <w:sz w:val="20"/>
                <w:szCs w:val="20"/>
              </w:rPr>
              <w:t>Ausführung</w:t>
            </w:r>
            <w:r w:rsidRPr="00DD1E6F">
              <w:rPr>
                <w:rFonts w:ascii="Arial" w:hAnsi="Arial"/>
                <w:sz w:val="20"/>
                <w:szCs w:val="20"/>
              </w:rPr>
              <w:t xml:space="preserve"> durch das Team in der Werkstatt.</w:t>
            </w:r>
          </w:p>
          <w:p w14:paraId="72103985" w14:textId="77777777" w:rsidR="00686DE4" w:rsidRDefault="00686DE4" w:rsidP="00686DE4">
            <w:pPr>
              <w:spacing w:after="0" w:line="360" w:lineRule="auto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2DA7264" w14:textId="3092B20D" w:rsidR="00686DE4" w:rsidRPr="00484343" w:rsidRDefault="005742CA" w:rsidP="005742CA">
            <w:pPr>
              <w:spacing w:after="0" w:line="360" w:lineRule="auto"/>
              <w:textAlignment w:val="baseline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484343">
              <w:rPr>
                <w:rFonts w:ascii="Arial" w:hAnsi="Arial"/>
                <w:sz w:val="20"/>
                <w:szCs w:val="20"/>
                <w:lang w:val="en-GB"/>
              </w:rPr>
              <w:t>Quelle</w:t>
            </w:r>
            <w:proofErr w:type="spellEnd"/>
            <w:r w:rsidRPr="00484343">
              <w:rPr>
                <w:rFonts w:ascii="Arial" w:hAnsi="Arial"/>
                <w:sz w:val="20"/>
                <w:szCs w:val="20"/>
                <w:lang w:val="en-GB"/>
              </w:rPr>
              <w:t xml:space="preserve">: </w:t>
            </w:r>
            <w:r w:rsidR="00484343" w:rsidRPr="00484343">
              <w:rPr>
                <w:rFonts w:ascii="Arial" w:hAnsi="Arial"/>
                <w:sz w:val="20"/>
                <w:szCs w:val="20"/>
                <w:lang w:val="en-GB"/>
              </w:rPr>
              <w:t xml:space="preserve">Linda </w:t>
            </w:r>
            <w:proofErr w:type="spellStart"/>
            <w:r w:rsidR="00484343" w:rsidRPr="00484343">
              <w:rPr>
                <w:rFonts w:ascii="Arial" w:hAnsi="Arial"/>
                <w:sz w:val="20"/>
                <w:szCs w:val="20"/>
                <w:lang w:val="en-GB"/>
              </w:rPr>
              <w:t>Pulver</w:t>
            </w:r>
            <w:proofErr w:type="spellEnd"/>
            <w:r w:rsidR="00484343" w:rsidRPr="00484343">
              <w:rPr>
                <w:rFonts w:ascii="Arial" w:hAnsi="Arial"/>
                <w:sz w:val="20"/>
                <w:szCs w:val="20"/>
                <w:lang w:val="en-GB"/>
              </w:rPr>
              <w:t xml:space="preserve"> / </w:t>
            </w:r>
            <w:r w:rsidR="00686DE4" w:rsidRPr="00484343">
              <w:rPr>
                <w:rFonts w:ascii="Arial" w:hAnsi="Arial"/>
                <w:color w:val="000000" w:themeColor="text1"/>
                <w:sz w:val="20"/>
                <w:szCs w:val="20"/>
                <w:lang w:val="en-GB"/>
              </w:rPr>
              <w:t>VARTAN.ROCKS</w:t>
            </w:r>
          </w:p>
        </w:tc>
      </w:tr>
    </w:tbl>
    <w:p w14:paraId="7E7C47E8" w14:textId="77777777" w:rsidR="00081E14" w:rsidRPr="00484343" w:rsidRDefault="00081E14" w:rsidP="001D1E61">
      <w:pPr>
        <w:spacing w:after="0" w:line="360" w:lineRule="auto"/>
        <w:textAlignment w:val="baseline"/>
        <w:rPr>
          <w:rFonts w:ascii="Arial" w:hAnsi="Arial" w:cs="Arial"/>
          <w:sz w:val="16"/>
          <w:szCs w:val="16"/>
          <w:lang w:val="en-GB"/>
        </w:rPr>
      </w:pPr>
    </w:p>
    <w:p w14:paraId="67084AD4" w14:textId="6E383CAA" w:rsidR="00503D8C" w:rsidRPr="00503D8C" w:rsidRDefault="00D60DC4" w:rsidP="001D1E61">
      <w:pPr>
        <w:spacing w:after="0" w:line="360" w:lineRule="auto"/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710F6" w14:textId="77777777" w:rsidR="00724E12" w:rsidRDefault="00724E12">
      <w:r>
        <w:separator/>
      </w:r>
    </w:p>
  </w:endnote>
  <w:endnote w:type="continuationSeparator" w:id="0">
    <w:p w14:paraId="6B19ACE4" w14:textId="77777777" w:rsidR="00724E12" w:rsidRDefault="0072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5D37" w14:textId="59367745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352852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352852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352852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7CD2B210" w14:textId="3EAADBF3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F82DC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F82DC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1DA34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63755D80" wp14:editId="2890DAEE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5B9F0" w14:textId="77777777" w:rsidR="00724E12" w:rsidRDefault="00724E12">
      <w:r>
        <w:separator/>
      </w:r>
    </w:p>
  </w:footnote>
  <w:footnote w:type="continuationSeparator" w:id="0">
    <w:p w14:paraId="287DB84D" w14:textId="77777777" w:rsidR="00724E12" w:rsidRDefault="0072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1D22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1996D5" wp14:editId="73B51CD5">
              <wp:simplePos x="0" y="0"/>
              <wp:positionH relativeFrom="column">
                <wp:posOffset>-91441</wp:posOffset>
              </wp:positionH>
              <wp:positionV relativeFrom="paragraph">
                <wp:posOffset>20955</wp:posOffset>
              </wp:positionV>
              <wp:extent cx="4829175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BB7B9" w14:textId="6B84A38A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116F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68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16F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1568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 w:rsidR="00116F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b.</w:t>
                          </w:r>
                          <w:r w:rsidR="001568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1996D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2pt;margin-top:1.65pt;width:38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" filled="f" stroked="f">
              <v:textbox style="mso-fit-shape-to-text:t">
                <w:txbxContent>
                  <w:p w14:paraId="582BB7B9" w14:textId="6B84A38A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116FD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1568A5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116FDE"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1568A5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 w:rsidR="00116FD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b.</w:t>
                    </w:r>
                    <w:r w:rsidR="001568A5">
                      <w:rPr>
                        <w:rFonts w:ascii="Arial" w:hAnsi="Arial" w:cs="Arial"/>
                        <w:sz w:val="16"/>
                        <w:szCs w:val="16"/>
                      </w:rPr>
                      <w:t>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422F8382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0023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5FEEF" wp14:editId="72E2020B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A6442" w14:textId="17C3A26D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68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52B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1568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 w:rsidR="00116F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b</w:t>
                          </w:r>
                          <w:r w:rsidR="001568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15FE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096A6442" w14:textId="17C3A26D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1568A5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52B52"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1568A5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 w:rsidR="00116FD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b</w:t>
                    </w:r>
                    <w:r w:rsidR="001568A5">
                      <w:rPr>
                        <w:rFonts w:ascii="Arial" w:hAnsi="Arial" w:cs="Arial"/>
                        <w:sz w:val="16"/>
                        <w:szCs w:val="16"/>
                      </w:rPr>
                      <w:t>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2107F0EB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4B5859"/>
    <w:multiLevelType w:val="hybridMultilevel"/>
    <w:tmpl w:val="EC38CD20"/>
    <w:lvl w:ilvl="0" w:tplc="9A9A7BFC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D2286"/>
    <w:multiLevelType w:val="hybridMultilevel"/>
    <w:tmpl w:val="D868A9AE"/>
    <w:lvl w:ilvl="0" w:tplc="9E3833C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83085"/>
    <w:multiLevelType w:val="hybridMultilevel"/>
    <w:tmpl w:val="2A429484"/>
    <w:lvl w:ilvl="0" w:tplc="D3EA7922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806E4"/>
    <w:multiLevelType w:val="hybridMultilevel"/>
    <w:tmpl w:val="96CC782C"/>
    <w:lvl w:ilvl="0" w:tplc="D3EA792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3B76"/>
    <w:multiLevelType w:val="hybridMultilevel"/>
    <w:tmpl w:val="3D22CD30"/>
    <w:lvl w:ilvl="0" w:tplc="FC3E880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8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9"/>
  </w:num>
  <w:num w:numId="14">
    <w:abstractNumId w:val="17"/>
  </w:num>
  <w:num w:numId="15">
    <w:abstractNumId w:val="18"/>
  </w:num>
  <w:num w:numId="16">
    <w:abstractNumId w:val="12"/>
  </w:num>
  <w:num w:numId="17">
    <w:abstractNumId w:val="14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F4F"/>
    <w:rsid w:val="000159FE"/>
    <w:rsid w:val="000210A5"/>
    <w:rsid w:val="00022F16"/>
    <w:rsid w:val="00023D78"/>
    <w:rsid w:val="0003075C"/>
    <w:rsid w:val="00031C11"/>
    <w:rsid w:val="00060743"/>
    <w:rsid w:val="00063A33"/>
    <w:rsid w:val="00066796"/>
    <w:rsid w:val="00072FA7"/>
    <w:rsid w:val="00076346"/>
    <w:rsid w:val="000766D7"/>
    <w:rsid w:val="00081E14"/>
    <w:rsid w:val="000B3315"/>
    <w:rsid w:val="000C4E6D"/>
    <w:rsid w:val="000C770D"/>
    <w:rsid w:val="000E03F3"/>
    <w:rsid w:val="000F1365"/>
    <w:rsid w:val="000F7E9D"/>
    <w:rsid w:val="001029C4"/>
    <w:rsid w:val="0011486D"/>
    <w:rsid w:val="00116FDE"/>
    <w:rsid w:val="00121E33"/>
    <w:rsid w:val="001324D6"/>
    <w:rsid w:val="00135BD2"/>
    <w:rsid w:val="00145F7A"/>
    <w:rsid w:val="00154825"/>
    <w:rsid w:val="001559CD"/>
    <w:rsid w:val="001568A5"/>
    <w:rsid w:val="001655B6"/>
    <w:rsid w:val="0017516B"/>
    <w:rsid w:val="00176F1D"/>
    <w:rsid w:val="00193F9A"/>
    <w:rsid w:val="001960CD"/>
    <w:rsid w:val="00196559"/>
    <w:rsid w:val="001A2ABE"/>
    <w:rsid w:val="001A360C"/>
    <w:rsid w:val="001C6ED8"/>
    <w:rsid w:val="001D14DA"/>
    <w:rsid w:val="001D1E61"/>
    <w:rsid w:val="001E6995"/>
    <w:rsid w:val="001E7678"/>
    <w:rsid w:val="001F1513"/>
    <w:rsid w:val="001F734B"/>
    <w:rsid w:val="00205769"/>
    <w:rsid w:val="00212FEC"/>
    <w:rsid w:val="002131BB"/>
    <w:rsid w:val="00227E31"/>
    <w:rsid w:val="00230F81"/>
    <w:rsid w:val="00232459"/>
    <w:rsid w:val="00254C6F"/>
    <w:rsid w:val="00255A9B"/>
    <w:rsid w:val="00275F10"/>
    <w:rsid w:val="00281E80"/>
    <w:rsid w:val="002834B0"/>
    <w:rsid w:val="00283671"/>
    <w:rsid w:val="00284E27"/>
    <w:rsid w:val="002A1973"/>
    <w:rsid w:val="002A698F"/>
    <w:rsid w:val="002B4541"/>
    <w:rsid w:val="002B72CA"/>
    <w:rsid w:val="002C2392"/>
    <w:rsid w:val="002C2503"/>
    <w:rsid w:val="002C49AF"/>
    <w:rsid w:val="002C4D3D"/>
    <w:rsid w:val="002C6328"/>
    <w:rsid w:val="002D1C5C"/>
    <w:rsid w:val="002D4349"/>
    <w:rsid w:val="002E6860"/>
    <w:rsid w:val="002F0411"/>
    <w:rsid w:val="002F0442"/>
    <w:rsid w:val="003024C5"/>
    <w:rsid w:val="00304CC6"/>
    <w:rsid w:val="00325E2A"/>
    <w:rsid w:val="00327448"/>
    <w:rsid w:val="0034786C"/>
    <w:rsid w:val="003517C9"/>
    <w:rsid w:val="00352852"/>
    <w:rsid w:val="00352B52"/>
    <w:rsid w:val="00370000"/>
    <w:rsid w:val="00373507"/>
    <w:rsid w:val="0038230E"/>
    <w:rsid w:val="00382529"/>
    <w:rsid w:val="00392AD5"/>
    <w:rsid w:val="003B4F44"/>
    <w:rsid w:val="003D4F64"/>
    <w:rsid w:val="003E099F"/>
    <w:rsid w:val="0040086D"/>
    <w:rsid w:val="004017D8"/>
    <w:rsid w:val="00411E03"/>
    <w:rsid w:val="004123B1"/>
    <w:rsid w:val="004209A6"/>
    <w:rsid w:val="004303A1"/>
    <w:rsid w:val="00434F67"/>
    <w:rsid w:val="00440DC9"/>
    <w:rsid w:val="004506D2"/>
    <w:rsid w:val="00456F40"/>
    <w:rsid w:val="004609BD"/>
    <w:rsid w:val="004661EE"/>
    <w:rsid w:val="00466741"/>
    <w:rsid w:val="00482437"/>
    <w:rsid w:val="00484343"/>
    <w:rsid w:val="00490ABA"/>
    <w:rsid w:val="004A2BEA"/>
    <w:rsid w:val="004A3C64"/>
    <w:rsid w:val="004A5AEA"/>
    <w:rsid w:val="004B2FDA"/>
    <w:rsid w:val="004B480A"/>
    <w:rsid w:val="004C1FA7"/>
    <w:rsid w:val="004C7592"/>
    <w:rsid w:val="004D7C94"/>
    <w:rsid w:val="004E339B"/>
    <w:rsid w:val="004E4562"/>
    <w:rsid w:val="004F077F"/>
    <w:rsid w:val="00501B02"/>
    <w:rsid w:val="005023DD"/>
    <w:rsid w:val="00503D8C"/>
    <w:rsid w:val="00522B84"/>
    <w:rsid w:val="00531A7F"/>
    <w:rsid w:val="005428C5"/>
    <w:rsid w:val="00543C55"/>
    <w:rsid w:val="0055136C"/>
    <w:rsid w:val="00552E1B"/>
    <w:rsid w:val="005554C7"/>
    <w:rsid w:val="005742CA"/>
    <w:rsid w:val="00582B99"/>
    <w:rsid w:val="005A3763"/>
    <w:rsid w:val="005A6990"/>
    <w:rsid w:val="005A6C87"/>
    <w:rsid w:val="005B0FC9"/>
    <w:rsid w:val="005B66D3"/>
    <w:rsid w:val="005B6830"/>
    <w:rsid w:val="005C4556"/>
    <w:rsid w:val="005C5302"/>
    <w:rsid w:val="005D2085"/>
    <w:rsid w:val="005E362E"/>
    <w:rsid w:val="0061109D"/>
    <w:rsid w:val="00612AA0"/>
    <w:rsid w:val="006138CB"/>
    <w:rsid w:val="006224C4"/>
    <w:rsid w:val="006225EA"/>
    <w:rsid w:val="00625CC3"/>
    <w:rsid w:val="006261DF"/>
    <w:rsid w:val="006370DE"/>
    <w:rsid w:val="00642074"/>
    <w:rsid w:val="006635D4"/>
    <w:rsid w:val="00686DE4"/>
    <w:rsid w:val="00687320"/>
    <w:rsid w:val="006944A9"/>
    <w:rsid w:val="00695E58"/>
    <w:rsid w:val="00696C72"/>
    <w:rsid w:val="006A1329"/>
    <w:rsid w:val="006D2BF7"/>
    <w:rsid w:val="006E0F35"/>
    <w:rsid w:val="00715819"/>
    <w:rsid w:val="00720DFF"/>
    <w:rsid w:val="00724E12"/>
    <w:rsid w:val="00727E24"/>
    <w:rsid w:val="00751F62"/>
    <w:rsid w:val="00754783"/>
    <w:rsid w:val="00761547"/>
    <w:rsid w:val="00762CC5"/>
    <w:rsid w:val="007656D4"/>
    <w:rsid w:val="00784917"/>
    <w:rsid w:val="007906B4"/>
    <w:rsid w:val="007946B2"/>
    <w:rsid w:val="00797699"/>
    <w:rsid w:val="007D4158"/>
    <w:rsid w:val="007E759D"/>
    <w:rsid w:val="00810923"/>
    <w:rsid w:val="00812471"/>
    <w:rsid w:val="008227C8"/>
    <w:rsid w:val="008261A5"/>
    <w:rsid w:val="0083382E"/>
    <w:rsid w:val="00845685"/>
    <w:rsid w:val="00850269"/>
    <w:rsid w:val="00855325"/>
    <w:rsid w:val="00862E34"/>
    <w:rsid w:val="00865915"/>
    <w:rsid w:val="00871832"/>
    <w:rsid w:val="00872BE8"/>
    <w:rsid w:val="00880E09"/>
    <w:rsid w:val="00886CCE"/>
    <w:rsid w:val="00896B33"/>
    <w:rsid w:val="008A5C4D"/>
    <w:rsid w:val="008A62FB"/>
    <w:rsid w:val="008A77B7"/>
    <w:rsid w:val="008A7E11"/>
    <w:rsid w:val="008B0F67"/>
    <w:rsid w:val="008C608D"/>
    <w:rsid w:val="008E461D"/>
    <w:rsid w:val="008E6315"/>
    <w:rsid w:val="008F08E5"/>
    <w:rsid w:val="008F5213"/>
    <w:rsid w:val="00900FDD"/>
    <w:rsid w:val="0090126F"/>
    <w:rsid w:val="00920C9C"/>
    <w:rsid w:val="00922754"/>
    <w:rsid w:val="00925781"/>
    <w:rsid w:val="009258D0"/>
    <w:rsid w:val="00935AB3"/>
    <w:rsid w:val="00936622"/>
    <w:rsid w:val="00941C0F"/>
    <w:rsid w:val="0095228B"/>
    <w:rsid w:val="00952D22"/>
    <w:rsid w:val="00960D6A"/>
    <w:rsid w:val="009706F4"/>
    <w:rsid w:val="009734CE"/>
    <w:rsid w:val="00974853"/>
    <w:rsid w:val="00996E1A"/>
    <w:rsid w:val="009B7BC7"/>
    <w:rsid w:val="009C18F5"/>
    <w:rsid w:val="009C274A"/>
    <w:rsid w:val="009D24DA"/>
    <w:rsid w:val="009D5D75"/>
    <w:rsid w:val="009E3E76"/>
    <w:rsid w:val="009F32A2"/>
    <w:rsid w:val="009F54CE"/>
    <w:rsid w:val="00A0493B"/>
    <w:rsid w:val="00A06264"/>
    <w:rsid w:val="00A0656E"/>
    <w:rsid w:val="00A1331A"/>
    <w:rsid w:val="00A1639A"/>
    <w:rsid w:val="00A215C9"/>
    <w:rsid w:val="00A37428"/>
    <w:rsid w:val="00A47445"/>
    <w:rsid w:val="00A5364B"/>
    <w:rsid w:val="00A53F6B"/>
    <w:rsid w:val="00A615E0"/>
    <w:rsid w:val="00A65E2B"/>
    <w:rsid w:val="00A74AA0"/>
    <w:rsid w:val="00A77100"/>
    <w:rsid w:val="00A87C5E"/>
    <w:rsid w:val="00A97ADB"/>
    <w:rsid w:val="00AA5BCA"/>
    <w:rsid w:val="00AC3644"/>
    <w:rsid w:val="00AC41F0"/>
    <w:rsid w:val="00AC6CBF"/>
    <w:rsid w:val="00AD17B7"/>
    <w:rsid w:val="00B077D5"/>
    <w:rsid w:val="00B200E4"/>
    <w:rsid w:val="00B25DF8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841CB"/>
    <w:rsid w:val="00B93817"/>
    <w:rsid w:val="00BA0B96"/>
    <w:rsid w:val="00BA59CF"/>
    <w:rsid w:val="00BB002B"/>
    <w:rsid w:val="00BB15DA"/>
    <w:rsid w:val="00BB340D"/>
    <w:rsid w:val="00BC2A3A"/>
    <w:rsid w:val="00BC64EC"/>
    <w:rsid w:val="00BD073D"/>
    <w:rsid w:val="00BE56AC"/>
    <w:rsid w:val="00BF3AFD"/>
    <w:rsid w:val="00BF7A22"/>
    <w:rsid w:val="00C105F4"/>
    <w:rsid w:val="00C12E39"/>
    <w:rsid w:val="00C14676"/>
    <w:rsid w:val="00C1606C"/>
    <w:rsid w:val="00C23180"/>
    <w:rsid w:val="00C27286"/>
    <w:rsid w:val="00C41492"/>
    <w:rsid w:val="00C42CCF"/>
    <w:rsid w:val="00C702B5"/>
    <w:rsid w:val="00C70389"/>
    <w:rsid w:val="00C7240B"/>
    <w:rsid w:val="00C904B6"/>
    <w:rsid w:val="00C96DF4"/>
    <w:rsid w:val="00C96E0B"/>
    <w:rsid w:val="00CC1337"/>
    <w:rsid w:val="00CC48DF"/>
    <w:rsid w:val="00CD2F26"/>
    <w:rsid w:val="00CD70E7"/>
    <w:rsid w:val="00CD7363"/>
    <w:rsid w:val="00CE0C1F"/>
    <w:rsid w:val="00CE455F"/>
    <w:rsid w:val="00CE6A2C"/>
    <w:rsid w:val="00CF0BF9"/>
    <w:rsid w:val="00CF5957"/>
    <w:rsid w:val="00CF5BB8"/>
    <w:rsid w:val="00D04BA2"/>
    <w:rsid w:val="00D077B0"/>
    <w:rsid w:val="00D22D42"/>
    <w:rsid w:val="00D34638"/>
    <w:rsid w:val="00D36D8D"/>
    <w:rsid w:val="00D4455E"/>
    <w:rsid w:val="00D45711"/>
    <w:rsid w:val="00D500FC"/>
    <w:rsid w:val="00D51597"/>
    <w:rsid w:val="00D5326E"/>
    <w:rsid w:val="00D55867"/>
    <w:rsid w:val="00D60DC4"/>
    <w:rsid w:val="00D634A3"/>
    <w:rsid w:val="00D72339"/>
    <w:rsid w:val="00D73E47"/>
    <w:rsid w:val="00D74ABB"/>
    <w:rsid w:val="00D771EE"/>
    <w:rsid w:val="00D8382B"/>
    <w:rsid w:val="00D83CB7"/>
    <w:rsid w:val="00D85C78"/>
    <w:rsid w:val="00D97FA8"/>
    <w:rsid w:val="00DC7B25"/>
    <w:rsid w:val="00DD1E6F"/>
    <w:rsid w:val="00DD384D"/>
    <w:rsid w:val="00DD4D71"/>
    <w:rsid w:val="00DD6B73"/>
    <w:rsid w:val="00DF264E"/>
    <w:rsid w:val="00DF3178"/>
    <w:rsid w:val="00E112C9"/>
    <w:rsid w:val="00E11969"/>
    <w:rsid w:val="00E158F7"/>
    <w:rsid w:val="00E2087E"/>
    <w:rsid w:val="00E2308B"/>
    <w:rsid w:val="00E31B15"/>
    <w:rsid w:val="00E36818"/>
    <w:rsid w:val="00E370FE"/>
    <w:rsid w:val="00E47B97"/>
    <w:rsid w:val="00E624F9"/>
    <w:rsid w:val="00E634CC"/>
    <w:rsid w:val="00E72668"/>
    <w:rsid w:val="00E82F0E"/>
    <w:rsid w:val="00E96FAC"/>
    <w:rsid w:val="00EA129F"/>
    <w:rsid w:val="00ED0582"/>
    <w:rsid w:val="00ED762F"/>
    <w:rsid w:val="00EE31F6"/>
    <w:rsid w:val="00EE36DC"/>
    <w:rsid w:val="00F044EE"/>
    <w:rsid w:val="00F10717"/>
    <w:rsid w:val="00F10B14"/>
    <w:rsid w:val="00F3320B"/>
    <w:rsid w:val="00F40E92"/>
    <w:rsid w:val="00F41947"/>
    <w:rsid w:val="00F419F5"/>
    <w:rsid w:val="00F435AA"/>
    <w:rsid w:val="00F63636"/>
    <w:rsid w:val="00F67928"/>
    <w:rsid w:val="00F76C6A"/>
    <w:rsid w:val="00F82DC1"/>
    <w:rsid w:val="00F83BF1"/>
    <w:rsid w:val="00F86B88"/>
    <w:rsid w:val="00F90CB9"/>
    <w:rsid w:val="00F91AAB"/>
    <w:rsid w:val="00FB064F"/>
    <w:rsid w:val="00FB144F"/>
    <w:rsid w:val="00FB159A"/>
    <w:rsid w:val="00FB4D77"/>
    <w:rsid w:val="00FC497D"/>
    <w:rsid w:val="00FD0035"/>
    <w:rsid w:val="00FD076B"/>
    <w:rsid w:val="00FD0CB8"/>
    <w:rsid w:val="00FE0BB0"/>
    <w:rsid w:val="00FE1AEC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0C1A8B4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D1E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1E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1E6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1E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1E6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file01\userhomes$\NBC\Documents\FlowFact\7D959CF981294680BB6518DB08941120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653D-594D-4C6E-A4D8-CDED29FE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14</cp:revision>
  <cp:lastPrinted>2020-11-24T12:32:00Z</cp:lastPrinted>
  <dcterms:created xsi:type="dcterms:W3CDTF">2021-06-09T12:38:00Z</dcterms:created>
  <dcterms:modified xsi:type="dcterms:W3CDTF">2021-07-08T07:48:00Z</dcterms:modified>
</cp:coreProperties>
</file>